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permissão especial</w:t>
      </w:r>
      <w:r>
        <w:rPr>
          <w:rFonts w:ascii="Segoe UI" w:hAnsi="Segoe UI"/>
          <w:b w:val="0"/>
          <w:i w:val="0"/>
        </w:rPr>
        <w:t xml:space="preserve"> — não cadastra, não confere, e a devolução dele espera conferência. É de propósito: permissão por digitação seria permissão por engano de digitação. Para dar acesso ao painel, use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