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1F3864"/>
          <w:sz w:val="40"/>
          <w:szCs w:val="40"/>
        </w:rPr>
        <w:t xml:space="preserve">AI Literacy for Primary School Teachers</w:t>
      </w:r>
    </w:p>
    <w:p>
      <w:pPr>
        <w:spacing w:after="400"/>
        <w:jc w:val="center"/>
      </w:pPr>
      <w:r>
        <w:rPr>
          <w:b/>
          <w:bCs/>
          <w:color w:val="0E7C7B"/>
          <w:sz w:val="34"/>
          <w:szCs w:val="34"/>
        </w:rPr>
        <w:t xml:space="preserve">Course Glossary</w:t>
      </w:r>
    </w:p>
    <w:p>
      <w:pPr>
        <w:spacing w:after="400"/>
        <w:jc w:val="center"/>
      </w:pPr>
      <w:r>
        <w:rPr>
          <w:i/>
          <w:iCs/>
          <w:sz w:val="22"/>
          <w:szCs w:val="22"/>
        </w:rPr>
        <w:t xml:space="preserve">Key terms in Artificial Intelligence, the Science of Learning, and the Frameworks Used Throughout This Course</w:t>
      </w:r>
    </w:p>
    <w:p>
      <w:pPr>
        <w:jc w:val="center"/>
      </w:pPr>
      <w:r>
        <w:rPr>
          <w:color w:val="666666"/>
          <w:sz w:val="20"/>
          <w:szCs w:val="20"/>
        </w:rPr>
        <w:t xml:space="preserve">Companion reference for AI Literacy for Primary School Teachers</w:t>
      </w:r>
    </w:p>
    <w:p>
      <w:r>
        <w:br w:type="page"/>
      </w:r>
    </w:p>
    <w:p>
      <w:pPr>
        <w:pStyle w:val="Heading1"/>
        <w:spacing w:after="200" w:before="400"/>
      </w:pPr>
      <w:r>
        <w:t xml:space="preserve">How to Use This Glossary</w:t>
      </w:r>
    </w:p>
    <w:p>
      <w:pPr>
        <w:spacing w:after="160"/>
      </w:pPr>
      <w:r>
        <w:t xml:space="preserve">This glossary collects the key terms introduced across all ten modules of the course, grouped into three sections: AI and Technology Terms, Science of Learning Terms, and Frameworks and Policy Terms. Definitions are written in the same plain, classroom-facing language used in the course videos and screens, not textbook-technical language. Where a definition draws on a specific source, that source is noted in parentheses and appears in full in the course's References list.</w:t>
      </w:r>
    </w:p>
    <w:p>
      <w:r>
        <w:br w:type="page"/>
      </w:r>
    </w:p>
    <w:p>
      <w:pPr>
        <w:pStyle w:val="Heading1"/>
        <w:spacing w:after="200" w:before="400"/>
      </w:pPr>
      <w:r>
        <w:t xml:space="preserve">Section 1 — AI and Technology Terms</w:t>
      </w:r>
    </w:p>
    <w:p>
      <w:pPr>
        <w:spacing w:after="180"/>
      </w:pPr>
      <w:r>
        <w:rPr>
          <w:b/>
          <w:bCs/>
        </w:rPr>
        <w:t xml:space="preserve">Artificial Intelligence (AI) — </w:t>
      </w:r>
      <w:r>
        <w:t xml:space="preserve">Computer systems that perform tasks which normally require human intelligence, such as recognising images, understanding language, or generating new content. Broadly defined as a system that perceives its environment and takes actions to achieve a goal.</w:t>
      </w:r>
      <w:r>
        <w:rPr>
          <w:i/>
          <w:iCs/>
          <w:color w:val="666666"/>
          <w:sz w:val="20"/>
          <w:szCs w:val="20"/>
        </w:rPr>
        <w:t xml:space="preserve">  (Russell &amp; Norvig, 2020; Module 1)</w:t>
      </w:r>
    </w:p>
    <w:p>
      <w:pPr>
        <w:spacing w:after="180"/>
      </w:pPr>
      <w:r>
        <w:rPr>
          <w:b/>
          <w:bCs/>
        </w:rPr>
        <w:t xml:space="preserve">Bias (Algorithmic Bias) — </w:t>
      </w:r>
      <w:r>
        <w:t xml:space="preserve">The tendency of an AI system, having learned from existing text or data, to reproduce and amplify existing social biases and stereotypes present in that training material.</w:t>
      </w:r>
      <w:r>
        <w:rPr>
          <w:i/>
          <w:iCs/>
          <w:color w:val="666666"/>
          <w:sz w:val="20"/>
          <w:szCs w:val="20"/>
        </w:rPr>
        <w:t xml:space="preserve">  (Kasneci et al., 2023; Module 4)</w:t>
      </w:r>
    </w:p>
    <w:p>
      <w:pPr>
        <w:spacing w:after="180"/>
      </w:pPr>
      <w:r>
        <w:rPr>
          <w:b/>
          <w:bCs/>
        </w:rPr>
        <w:t xml:space="preserve">Education-Specific AI Platform — </w:t>
      </w:r>
      <w:r>
        <w:t xml:space="preserve">An AI tool built specifically for teaching tasks (e.g., MagicSchool AI, Diffit, Curipod, Brisk Teaching, Eduaide.ai), typically pre-built with teacher-relevant templates such as differentiated reading passages or rubric generators.</w:t>
      </w:r>
      <w:r>
        <w:rPr>
          <w:i/>
          <w:iCs/>
          <w:color w:val="666666"/>
          <w:sz w:val="20"/>
          <w:szCs w:val="20"/>
        </w:rPr>
        <w:t xml:space="preserve">  (Module 5)</w:t>
      </w:r>
    </w:p>
    <w:p>
      <w:pPr>
        <w:spacing w:after="180"/>
      </w:pPr>
      <w:r>
        <w:rPr>
          <w:b/>
          <w:bCs/>
        </w:rPr>
        <w:t xml:space="preserve">General AI (Artificial General Intelligence, AGI) — </w:t>
      </w:r>
      <w:r>
        <w:t xml:space="preserve">A hypothetical system with flexible, human-like intelligence across any domain. General AI does not currently exist, despite how it is sometimes portrayed in media.</w:t>
      </w:r>
      <w:r>
        <w:rPr>
          <w:i/>
          <w:iCs/>
          <w:color w:val="666666"/>
          <w:sz w:val="20"/>
          <w:szCs w:val="20"/>
        </w:rPr>
        <w:t xml:space="preserve">  (Module 1)</w:t>
      </w:r>
    </w:p>
    <w:p>
      <w:pPr>
        <w:spacing w:after="180"/>
      </w:pPr>
      <w:r>
        <w:rPr>
          <w:b/>
          <w:bCs/>
        </w:rPr>
        <w:t xml:space="preserve">General-Purpose AI Assistant — </w:t>
      </w:r>
      <w:r>
        <w:t xml:space="preserve">A flexible AI chat tool (e.g., ChatGPT, Gemini, Copilot) not built specifically for education, requiring the user to write clear prompts and check every output carefully.</w:t>
      </w:r>
      <w:r>
        <w:rPr>
          <w:i/>
          <w:iCs/>
          <w:color w:val="666666"/>
          <w:sz w:val="20"/>
          <w:szCs w:val="20"/>
        </w:rPr>
        <w:t xml:space="preserve">  (Module 5)</w:t>
      </w:r>
    </w:p>
    <w:p>
      <w:pPr>
        <w:spacing w:after="180"/>
      </w:pPr>
      <w:r>
        <w:rPr>
          <w:b/>
          <w:bCs/>
        </w:rPr>
        <w:t xml:space="preserve">Generative AI — </w:t>
      </w:r>
      <w:r>
        <w:t xml:space="preserve">AI that produces genuinely new content — text, images, or explanations — rather than simply following a fixed set of programmed rules. This flexibility is also what allows it to confidently produce incorrect content.</w:t>
      </w:r>
      <w:r>
        <w:rPr>
          <w:i/>
          <w:iCs/>
          <w:color w:val="666666"/>
          <w:sz w:val="20"/>
          <w:szCs w:val="20"/>
        </w:rPr>
        <w:t xml:space="preserve">  (Holmes et al., 2019; Zawacki-Richter et al., 2019; Module 1)</w:t>
      </w:r>
    </w:p>
    <w:p>
      <w:pPr>
        <w:spacing w:after="180"/>
      </w:pPr>
      <w:r>
        <w:rPr>
          <w:b/>
          <w:bCs/>
        </w:rPr>
        <w:t xml:space="preserve">Hallucination — </w:t>
      </w:r>
      <w:r>
        <w:t xml:space="preserve">Fluent, confident-sounding AI output that is nonsensical or unfaithful to the source material. An intrinsic hallucination directly contradicts the given input; an extrinsic hallucination is an unverifiable addition not supported by any input.</w:t>
      </w:r>
      <w:r>
        <w:rPr>
          <w:i/>
          <w:iCs/>
          <w:color w:val="666666"/>
          <w:sz w:val="20"/>
          <w:szCs w:val="20"/>
        </w:rPr>
        <w:t xml:space="preserve">  (Ji et al., 2023; Module 4)</w:t>
      </w:r>
    </w:p>
    <w:p>
      <w:pPr>
        <w:spacing w:after="180"/>
      </w:pPr>
      <w:r>
        <w:rPr>
          <w:b/>
          <w:bCs/>
        </w:rPr>
        <w:t xml:space="preserve">Large Language Model (LLM) — </w:t>
      </w:r>
      <w:r>
        <w:t xml:space="preserve">A generative AI system trained on enormous amounts of text that learns statistical patterns of language and generates new text by predicting the most likely next word, one word at a time.</w:t>
      </w:r>
      <w:r>
        <w:rPr>
          <w:i/>
          <w:iCs/>
          <w:color w:val="666666"/>
          <w:sz w:val="20"/>
          <w:szCs w:val="20"/>
        </w:rPr>
        <w:t xml:space="preserve">  (Kasneci et al., 2023; Module 1)</w:t>
      </w:r>
    </w:p>
    <w:p>
      <w:pPr>
        <w:spacing w:after="180"/>
      </w:pPr>
      <w:r>
        <w:rPr>
          <w:b/>
          <w:bCs/>
        </w:rPr>
        <w:t xml:space="preserve">Machine Learning — </w:t>
      </w:r>
      <w:r>
        <w:t xml:space="preserve">An approach in which a system is shown large amounts of example data and learns statistical patterns from those examples on its own, rather than following explicit programmed rules.</w:t>
      </w:r>
      <w:r>
        <w:rPr>
          <w:i/>
          <w:iCs/>
          <w:color w:val="666666"/>
          <w:sz w:val="20"/>
          <w:szCs w:val="20"/>
        </w:rPr>
        <w:t xml:space="preserve">  (Russell &amp; Norvig, 2020; Module 1)</w:t>
      </w:r>
    </w:p>
    <w:p>
      <w:pPr>
        <w:spacing w:after="180"/>
      </w:pPr>
      <w:r>
        <w:rPr>
          <w:b/>
          <w:bCs/>
        </w:rPr>
        <w:t xml:space="preserve">Narrow AI (Weak AI) — </w:t>
      </w:r>
      <w:r>
        <w:t xml:space="preserve">AI that is very good at one type of task — translating text, recognising a face, generating an essay — but has no broader understanding or awareness beyond that task. Every AI tool teachers currently use is narrow AI.</w:t>
      </w:r>
      <w:r>
        <w:rPr>
          <w:i/>
          <w:iCs/>
          <w:color w:val="666666"/>
          <w:sz w:val="20"/>
          <w:szCs w:val="20"/>
        </w:rPr>
        <w:t xml:space="preserve">  (Module 1)</w:t>
      </w:r>
    </w:p>
    <w:p>
      <w:pPr>
        <w:spacing w:after="180"/>
      </w:pPr>
      <w:r>
        <w:rPr>
          <w:b/>
          <w:bCs/>
        </w:rPr>
        <w:t xml:space="preserve">Over-Reliance / Cognitive Offloading — </w:t>
      </w:r>
      <w:r>
        <w:t xml:space="preserve">The risk that habitual dependence on an AI tool erodes a person's own underlying skill or produces shallower engagement with material than working unaided.</w:t>
      </w:r>
      <w:r>
        <w:rPr>
          <w:i/>
          <w:iCs/>
          <w:color w:val="666666"/>
          <w:sz w:val="20"/>
          <w:szCs w:val="20"/>
        </w:rPr>
        <w:t xml:space="preserve">  (Budzyń et al., 2025; Melumad &amp; Yun, 2025; Module 4)</w:t>
      </w:r>
    </w:p>
    <w:p>
      <w:pPr>
        <w:spacing w:after="180"/>
      </w:pPr>
      <w:r>
        <w:rPr>
          <w:b/>
          <w:bCs/>
        </w:rPr>
        <w:t xml:space="preserve">Prompt — </w:t>
      </w:r>
      <w:r>
        <w:t xml:space="preserve">The instruction or question a person gives to an AI tool to generate a response. Well-constructed prompts (e.g., following the PARTS formula) produce more usable first drafts.</w:t>
      </w:r>
      <w:r>
        <w:rPr>
          <w:i/>
          <w:iCs/>
          <w:color w:val="666666"/>
          <w:sz w:val="20"/>
          <w:szCs w:val="20"/>
        </w:rPr>
        <w:t xml:space="preserve">  (Module 5)</w:t>
      </w:r>
    </w:p>
    <w:p>
      <w:pPr>
        <w:spacing w:after="180"/>
      </w:pPr>
      <w:r>
        <w:rPr>
          <w:b/>
          <w:bCs/>
        </w:rPr>
        <w:t xml:space="preserve">Reinforcement Learning — </w:t>
      </w:r>
      <w:r>
        <w:t xml:space="preserve">A type of machine learning in which a system learns through trial and error, with actions that move it toward a goal being rewarded.</w:t>
      </w:r>
      <w:r>
        <w:rPr>
          <w:i/>
          <w:iCs/>
          <w:color w:val="666666"/>
          <w:sz w:val="20"/>
          <w:szCs w:val="20"/>
        </w:rPr>
        <w:t xml:space="preserve">  (Module 1)</w:t>
      </w:r>
    </w:p>
    <w:p>
      <w:pPr>
        <w:spacing w:after="180"/>
      </w:pPr>
      <w:r>
        <w:rPr>
          <w:b/>
          <w:bCs/>
        </w:rPr>
        <w:t xml:space="preserve">Rule-Based System — </w:t>
      </w:r>
      <w:r>
        <w:t xml:space="preserve">Older-style software that follows explicit, human-written instructions ('if the student answers A, show message B') and can only ever do exactly what was programmed, with no ability to learn from new examples.</w:t>
      </w:r>
      <w:r>
        <w:rPr>
          <w:i/>
          <w:iCs/>
          <w:color w:val="666666"/>
          <w:sz w:val="20"/>
          <w:szCs w:val="20"/>
        </w:rPr>
        <w:t xml:space="preserve">  (Module 1)</w:t>
      </w:r>
    </w:p>
    <w:p>
      <w:pPr>
        <w:spacing w:after="180"/>
      </w:pPr>
      <w:r>
        <w:rPr>
          <w:b/>
          <w:bCs/>
        </w:rPr>
        <w:t xml:space="preserve">Supervised Learning — </w:t>
      </w:r>
      <w:r>
        <w:t xml:space="preserve">A type of machine learning in which a model is trained on labelled examples (e.g., photos already tagged 'cat' or 'dog') so that it can label new, unseen examples.</w:t>
      </w:r>
      <w:r>
        <w:rPr>
          <w:i/>
          <w:iCs/>
          <w:color w:val="666666"/>
          <w:sz w:val="20"/>
          <w:szCs w:val="20"/>
        </w:rPr>
        <w:t xml:space="preserve">  (Module 1)</w:t>
      </w:r>
    </w:p>
    <w:p>
      <w:pPr>
        <w:spacing w:after="180"/>
      </w:pPr>
      <w:r>
        <w:rPr>
          <w:b/>
          <w:bCs/>
        </w:rPr>
        <w:t xml:space="preserve">Transformer — </w:t>
      </w:r>
      <w:r>
        <w:t xml:space="preserve">The underlying architecture behind modern large language models, which allows a model to weigh the relevance of every word in a passage against every other word simultaneously, rather than reading strictly left to right.</w:t>
      </w:r>
      <w:r>
        <w:rPr>
          <w:i/>
          <w:iCs/>
          <w:color w:val="666666"/>
          <w:sz w:val="20"/>
          <w:szCs w:val="20"/>
        </w:rPr>
        <w:t xml:space="preserve">  (Vaswani et al., 2017; Module 1)</w:t>
      </w:r>
    </w:p>
    <w:p>
      <w:pPr>
        <w:spacing w:after="180"/>
      </w:pPr>
      <w:r>
        <w:rPr>
          <w:b/>
          <w:bCs/>
        </w:rPr>
        <w:t xml:space="preserve">Unsupervised Learning — </w:t>
      </w:r>
      <w:r>
        <w:t xml:space="preserve">A type of machine learning in which a system finds patterns or groupings in unlabelled data on its own, without being told the correct answer in advance.</w:t>
      </w:r>
      <w:r>
        <w:rPr>
          <w:i/>
          <w:iCs/>
          <w:color w:val="666666"/>
          <w:sz w:val="20"/>
          <w:szCs w:val="20"/>
        </w:rPr>
        <w:t xml:space="preserve">  (Module 1)</w:t>
      </w:r>
    </w:p>
    <w:p>
      <w:r>
        <w:br w:type="page"/>
      </w:r>
    </w:p>
    <w:p>
      <w:pPr>
        <w:pStyle w:val="Heading1"/>
        <w:spacing w:after="200" w:before="400"/>
      </w:pPr>
      <w:r>
        <w:t xml:space="preserve">Section 2 — Science of Learning Terms</w:t>
      </w:r>
    </w:p>
    <w:p>
      <w:pPr>
        <w:spacing w:after="180"/>
      </w:pPr>
      <w:r>
        <w:rPr>
          <w:b/>
          <w:bCs/>
        </w:rPr>
        <w:t xml:space="preserve">Cognitive Load — </w:t>
      </w:r>
      <w:r>
        <w:t xml:space="preserve">The demand placed on a learner's limited working memory by a task. Effective teaching manages cognitive load by breaking new content into small steps and avoiding unnecessary complexity.</w:t>
      </w:r>
      <w:r>
        <w:rPr>
          <w:i/>
          <w:iCs/>
          <w:color w:val="666666"/>
          <w:sz w:val="20"/>
          <w:szCs w:val="20"/>
        </w:rPr>
        <w:t xml:space="preserve">  (Module 3)</w:t>
      </w:r>
    </w:p>
    <w:p>
      <w:pPr>
        <w:spacing w:after="180"/>
      </w:pPr>
      <w:r>
        <w:rPr>
          <w:b/>
          <w:bCs/>
        </w:rPr>
        <w:t xml:space="preserve">Desirable Difficulty — </w:t>
      </w:r>
      <w:r>
        <w:t xml:space="preserve">A condition that makes learning feel slower or harder in the moment but produces stronger, more durable learning — for example, struggling to retrieve an answer rather than being shown it immediately.</w:t>
      </w:r>
      <w:r>
        <w:rPr>
          <w:i/>
          <w:iCs/>
          <w:color w:val="666666"/>
          <w:sz w:val="20"/>
          <w:szCs w:val="20"/>
        </w:rPr>
        <w:t xml:space="preserve">  (Bjork &amp; Bjork, 2011; Module 3)</w:t>
      </w:r>
    </w:p>
    <w:p>
      <w:pPr>
        <w:spacing w:after="180"/>
      </w:pPr>
      <w:r>
        <w:rPr>
          <w:b/>
          <w:bCs/>
        </w:rPr>
        <w:t xml:space="preserve">Feedback (Three-Question Model) — </w:t>
      </w:r>
      <w:r>
        <w:t xml:space="preserve">Effective feedback that answers three questions: Where am I going? How am I going? Where to next? Feedback answering all three does more for learning than a grade alone.</w:t>
      </w:r>
      <w:r>
        <w:rPr>
          <w:i/>
          <w:iCs/>
          <w:color w:val="666666"/>
          <w:sz w:val="20"/>
          <w:szCs w:val="20"/>
        </w:rPr>
        <w:t xml:space="preserve">  (Hattie &amp; Timperley, 2007; Module 6)</w:t>
      </w:r>
    </w:p>
    <w:p>
      <w:pPr>
        <w:spacing w:after="180"/>
      </w:pPr>
      <w:r>
        <w:rPr>
          <w:b/>
          <w:bCs/>
        </w:rPr>
        <w:t xml:space="preserve">Formative Assessment — </w:t>
      </w:r>
      <w:r>
        <w:t xml:space="preserve">Assessment used on an ongoing basis to adjust teaching and learning while it is still in progress, rather than to deliver a final judgement.</w:t>
      </w:r>
      <w:r>
        <w:rPr>
          <w:i/>
          <w:iCs/>
          <w:color w:val="666666"/>
          <w:sz w:val="20"/>
          <w:szCs w:val="20"/>
        </w:rPr>
        <w:t xml:space="preserve">  (Black &amp; Wiliam, 1998; Module 6)</w:t>
      </w:r>
    </w:p>
    <w:p>
      <w:pPr>
        <w:spacing w:after="180"/>
      </w:pPr>
      <w:r>
        <w:rPr>
          <w:b/>
          <w:bCs/>
        </w:rPr>
        <w:t xml:space="preserve">Interleaving — </w:t>
      </w:r>
      <w:r>
        <w:t xml:space="preserve">Mixing different topics or problem types during study or practice, rather than practising one type repeatedly before moving to the next — a further evidence-based technique related to desirable difficulty.</w:t>
      </w:r>
      <w:r>
        <w:rPr>
          <w:i/>
          <w:iCs/>
          <w:color w:val="666666"/>
          <w:sz w:val="20"/>
          <w:szCs w:val="20"/>
        </w:rPr>
        <w:t xml:space="preserve">  (Module 3)</w:t>
      </w:r>
    </w:p>
    <w:p>
      <w:pPr>
        <w:spacing w:after="180"/>
      </w:pPr>
      <w:r>
        <w:rPr>
          <w:b/>
          <w:bCs/>
        </w:rPr>
        <w:t xml:space="preserve">Metacognition — </w:t>
      </w:r>
      <w:r>
        <w:t xml:space="preserve">A learner's awareness and understanding of their own thinking and learning processes, including recognising what they do and do not yet know.</w:t>
      </w:r>
      <w:r>
        <w:rPr>
          <w:i/>
          <w:iCs/>
          <w:color w:val="666666"/>
          <w:sz w:val="20"/>
          <w:szCs w:val="20"/>
        </w:rPr>
        <w:t xml:space="preserve">  (Module 3)</w:t>
      </w:r>
    </w:p>
    <w:p>
      <w:pPr>
        <w:spacing w:after="180"/>
      </w:pPr>
      <w:r>
        <w:rPr>
          <w:b/>
          <w:bCs/>
        </w:rPr>
        <w:t xml:space="preserve">Retrieval Practice (Practice Testing) — </w:t>
      </w:r>
      <w:r>
        <w:t xml:space="preserve">A learning technique in which a learner actively recalls information from memory rather than passively rereading it. One of the most effective, evidence-backed learning techniques identified in the research.</w:t>
      </w:r>
      <w:r>
        <w:rPr>
          <w:i/>
          <w:iCs/>
          <w:color w:val="666666"/>
          <w:sz w:val="20"/>
          <w:szCs w:val="20"/>
        </w:rPr>
        <w:t xml:space="preserve">  (Dunlosky et al., 2013; Module 3)</w:t>
      </w:r>
    </w:p>
    <w:p>
      <w:pPr>
        <w:spacing w:after="180"/>
      </w:pPr>
      <w:r>
        <w:rPr>
          <w:b/>
          <w:bCs/>
        </w:rPr>
        <w:t xml:space="preserve">Spaced Practice (Distributed Practice) — </w:t>
      </w:r>
      <w:r>
        <w:t xml:space="preserve">A learning technique in which study or review sessions are spread out over time rather than concentrated in a single session ('cramming'), producing stronger long-term retention.</w:t>
      </w:r>
      <w:r>
        <w:rPr>
          <w:i/>
          <w:iCs/>
          <w:color w:val="666666"/>
          <w:sz w:val="20"/>
          <w:szCs w:val="20"/>
        </w:rPr>
        <w:t xml:space="preserve">  (Dunlosky et al., 2013; Module 3)</w:t>
      </w:r>
    </w:p>
    <w:p>
      <w:pPr>
        <w:spacing w:after="180"/>
      </w:pPr>
      <w:r>
        <w:rPr>
          <w:b/>
          <w:bCs/>
        </w:rPr>
        <w:t xml:space="preserve">Summative Assessment — </w:t>
      </w:r>
      <w:r>
        <w:t xml:space="preserve">Assessment used to deliver a final judgement of a student's achievement, typically at the end of a unit or course.</w:t>
      </w:r>
      <w:r>
        <w:rPr>
          <w:i/>
          <w:iCs/>
          <w:color w:val="666666"/>
          <w:sz w:val="20"/>
          <w:szCs w:val="20"/>
        </w:rPr>
        <w:t xml:space="preserve">  (Black &amp; Wiliam, 1998; Module 6)</w:t>
      </w:r>
    </w:p>
    <w:p>
      <w:pPr>
        <w:spacing w:after="180"/>
      </w:pPr>
      <w:r>
        <w:rPr>
          <w:b/>
          <w:bCs/>
        </w:rPr>
        <w:t xml:space="preserve">Working Memory — </w:t>
      </w:r>
      <w:r>
        <w:t xml:space="preserve">The limited mental workspace that holds only a handful of new items at once. Understanding its limits is central to effective lesson design.</w:t>
      </w:r>
      <w:r>
        <w:rPr>
          <w:i/>
          <w:iCs/>
          <w:color w:val="666666"/>
          <w:sz w:val="20"/>
          <w:szCs w:val="20"/>
        </w:rPr>
        <w:t xml:space="preserve">  (Module 3)</w:t>
      </w:r>
    </w:p>
    <w:p>
      <w:r>
        <w:br w:type="page"/>
      </w:r>
    </w:p>
    <w:p>
      <w:pPr>
        <w:pStyle w:val="Heading1"/>
        <w:spacing w:after="200" w:before="400"/>
      </w:pPr>
      <w:r>
        <w:t xml:space="preserve">Section 3 — Frameworks and Policy Terms</w:t>
      </w:r>
    </w:p>
    <w:p>
      <w:pPr>
        <w:spacing w:after="180"/>
      </w:pPr>
      <w:r>
        <w:rPr>
          <w:b/>
          <w:bCs/>
        </w:rPr>
        <w:t xml:space="preserve">Acquire / Deepen / Create — </w:t>
      </w:r>
      <w:r>
        <w:t xml:space="preserve">The three progression levels used by the UNESCO AI Competency Framework for Teachers and by Cambodia's MoEYS and KAPE (2026) national guidance, moving from foundational understanding, to applied practice, to reflective ongoing growth.</w:t>
      </w:r>
      <w:r>
        <w:rPr>
          <w:i/>
          <w:iCs/>
          <w:color w:val="666666"/>
          <w:sz w:val="20"/>
          <w:szCs w:val="20"/>
        </w:rPr>
        <w:t xml:space="preserve">  (Miao &amp; Shiohira, 2024; MoEYS &amp; KAPE, 2026; Module 0)</w:t>
      </w:r>
    </w:p>
    <w:p>
      <w:pPr>
        <w:spacing w:after="180"/>
      </w:pPr>
      <w:r>
        <w:rPr>
          <w:b/>
          <w:bCs/>
        </w:rPr>
        <w:t xml:space="preserve">DigCompEdu — </w:t>
      </w:r>
      <w:r>
        <w:t xml:space="preserve">The European Framework for the Digital Competence of Educators, describing six areas of educator digital competence. It predates the generative-AI wave but remains useful for locating AI skills within a teacher's broader digital-competence profile.</w:t>
      </w:r>
      <w:r>
        <w:rPr>
          <w:i/>
          <w:iCs/>
          <w:color w:val="666666"/>
          <w:sz w:val="20"/>
          <w:szCs w:val="20"/>
        </w:rPr>
        <w:t xml:space="preserve">  (Redecker, 2017; Module 2)</w:t>
      </w:r>
    </w:p>
    <w:p>
      <w:pPr>
        <w:spacing w:after="180"/>
      </w:pPr>
      <w:r>
        <w:rPr>
          <w:b/>
          <w:bCs/>
        </w:rPr>
        <w:t xml:space="preserve">PARTS Formula — </w:t>
      </w:r>
      <w:r>
        <w:t xml:space="preserve">A prompt-writing formula recommended in Cambodia's national AI guidance for teachers: Purpose, Audience, Role, Tone/Type, Specifics — giving an AI tool enough context to produce a usable first draft.</w:t>
      </w:r>
      <w:r>
        <w:rPr>
          <w:i/>
          <w:iCs/>
          <w:color w:val="666666"/>
          <w:sz w:val="20"/>
          <w:szCs w:val="20"/>
        </w:rPr>
        <w:t xml:space="preserve">  (MoEYS &amp; KAPE, 2026; Module 5)</w:t>
      </w:r>
    </w:p>
    <w:p>
      <w:pPr>
        <w:spacing w:after="180"/>
      </w:pPr>
      <w:r>
        <w:rPr>
          <w:b/>
          <w:bCs/>
        </w:rPr>
        <w:t xml:space="preserve">Proportionality Principle — </w:t>
      </w:r>
      <w:r>
        <w:t xml:space="preserve">A guiding principle from UNESCO's Recommendation on the Ethics of Artificial Intelligence stating that the level of scrutiny and safeguard applied to an AI use case should match its level of risk, with the highest scrutiny reserved for uses affecting vulnerable groups such as children.</w:t>
      </w:r>
      <w:r>
        <w:rPr>
          <w:i/>
          <w:iCs/>
          <w:color w:val="666666"/>
          <w:sz w:val="20"/>
          <w:szCs w:val="20"/>
        </w:rPr>
        <w:t xml:space="preserve">  (UNESCO, 2021; Module 7)</w:t>
      </w:r>
    </w:p>
    <w:p>
      <w:pPr>
        <w:spacing w:after="180"/>
      </w:pPr>
      <w:r>
        <w:rPr>
          <w:b/>
          <w:bCs/>
        </w:rPr>
        <w:t xml:space="preserve">TPACK (Technological Pedagogical Content Knowledge) — </w:t>
      </w:r>
      <w:r>
        <w:t xml:space="preserve">A model describing effective teaching as the intersection of Content Knowledge, Pedagogical Knowledge, and Technological Knowledge. Generative AI is best understood as a new layer of Technological Knowledge that must combine with the other two to be useful.</w:t>
      </w:r>
      <w:r>
        <w:rPr>
          <w:i/>
          <w:iCs/>
          <w:color w:val="666666"/>
          <w:sz w:val="20"/>
          <w:szCs w:val="20"/>
        </w:rPr>
        <w:t xml:space="preserve">  (Mishra &amp; Koehler, 2006; Module 2)</w:t>
      </w:r>
    </w:p>
    <w:p>
      <w:pPr>
        <w:spacing w:after="180"/>
      </w:pPr>
      <w:r>
        <w:rPr>
          <w:b/>
          <w:bCs/>
        </w:rPr>
        <w:t xml:space="preserve">Understand / Apply / Create — </w:t>
      </w:r>
      <w:r>
        <w:t xml:space="preserve">The three progression levels used by the UNESCO AI Competency Framework for Students, describing how a student's engagement with AI concepts deepens over time.</w:t>
      </w:r>
      <w:r>
        <w:rPr>
          <w:i/>
          <w:iCs/>
          <w:color w:val="666666"/>
          <w:sz w:val="20"/>
          <w:szCs w:val="20"/>
        </w:rPr>
        <w:t xml:space="preserve">  (Miao, Shiohira, &amp; Lao, 2024; Module 8)</w:t>
      </w:r>
    </w:p>
    <w:p>
      <w:pPr>
        <w:spacing w:after="180"/>
      </w:pPr>
      <w:r>
        <w:rPr>
          <w:b/>
          <w:bCs/>
        </w:rPr>
        <w:t xml:space="preserve">UNESCO AI Competency Framework for Students (AI CFS) — </w:t>
      </w:r>
      <w:r>
        <w:t xml:space="preserve">A companion framework describing twelve student competencies across four dimensions, progressing through Understand, Apply, and Create levels. For primary-age children, the Understand level is the appropriate target.</w:t>
      </w:r>
      <w:r>
        <w:rPr>
          <w:i/>
          <w:iCs/>
          <w:color w:val="666666"/>
          <w:sz w:val="20"/>
          <w:szCs w:val="20"/>
        </w:rPr>
        <w:t xml:space="preserve">  (Miao, Shiohira, &amp; Lao, 2024; Module 8)</w:t>
      </w:r>
    </w:p>
    <w:p>
      <w:pPr>
        <w:spacing w:after="180"/>
      </w:pPr>
      <w:r>
        <w:rPr>
          <w:b/>
          <w:bCs/>
        </w:rPr>
        <w:t xml:space="preserve">UNESCO AI Competency Framework for Teachers (AI CFT) — </w:t>
      </w:r>
      <w:r>
        <w:t xml:space="preserve">A framework organising teacher AI competencies into five aspects — human-centred mindset, ethics of AI, AI foundations and applications, AI pedagogy, and AI for professional development — each assessed across three progression levels. This whole course is structured around it.</w:t>
      </w:r>
      <w:r>
        <w:rPr>
          <w:i/>
          <w:iCs/>
          <w:color w:val="666666"/>
          <w:sz w:val="20"/>
          <w:szCs w:val="20"/>
        </w:rPr>
        <w:t xml:space="preserve">  (Miao &amp; Shiohira, 2024; Module 2)</w:t>
      </w:r>
    </w:p>
    <w:p>
      <w:pPr>
        <w:spacing w:after="180"/>
      </w:pPr>
      <w:r>
        <w:rPr>
          <w:b/>
          <w:bCs/>
        </w:rPr>
        <w:t xml:space="preserve">UNICEF's Nine Guidelines for AI and Children — </w:t>
      </w:r>
      <w:r>
        <w:t xml:space="preserve">A set of nine guidelines spanning support for children's development, protection of data and privacy, safety, and inclusion, emphasising that AI systems should be designed with children's best interests as a primary consideration.</w:t>
      </w:r>
      <w:r>
        <w:rPr>
          <w:i/>
          <w:iCs/>
          <w:color w:val="666666"/>
          <w:sz w:val="20"/>
          <w:szCs w:val="20"/>
        </w:rPr>
        <w:t xml:space="preserve">  (UNICEF, 2021; Module 7)</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AI Literacy Course — Glossary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2026-07-21T05:49:40.843Z</dcterms:created>
  <dcterms:modified xsi:type="dcterms:W3CDTF">2026-07-21T05:49:40.850Z</dcterms:modified>
</cp:coreProperties>
</file>

<file path=docProps/custom.xml><?xml version="1.0" encoding="utf-8"?>
<Properties xmlns="http://schemas.openxmlformats.org/officeDocument/2006/custom-properties" xmlns:vt="http://schemas.openxmlformats.org/officeDocument/2006/docPropsVTypes"/>
</file>