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56"/>
          <w:szCs w:val="56"/>
        </w:rPr>
        <w:t xml:space="preserve">AI Literacy for Teachers</w:t>
      </w:r>
    </w:p>
    <w:p>
      <w:pPr>
        <w:spacing w:after="100" w:before="200"/>
        <w:jc w:val="center"/>
      </w:pPr>
      <w:r>
        <w:rPr>
          <w:color w:val="595959"/>
          <w:sz w:val="30"/>
          <w:szCs w:val="30"/>
        </w:rPr>
        <w:t xml:space="preserve">A Self-Paced Online Curriculum</w:t>
      </w:r>
    </w:p>
    <w:p>
      <w:pPr>
        <w:spacing w:after="100"/>
        <w:jc w:val="center"/>
      </w:pPr>
      <w:r>
        <w:rPr>
          <w:i/>
          <w:iCs/>
          <w:color w:val="595959"/>
          <w:sz w:val="22"/>
          <w:szCs w:val="22"/>
        </w:rPr>
        <w:t xml:space="preserve">Aligned to the UNESCO AI Competency Framework for Teachers (AI CFT) and for Students (AI CFS)</w:t>
      </w:r>
    </w:p>
    <w:p>
      <w:pPr>
        <w:spacing w:after="800" w:before="400"/>
        <w:jc w:val="center"/>
      </w:pPr>
      <w:r>
        <w:rPr>
          <w:color w:val="595959"/>
          <w:sz w:val="22"/>
          <w:szCs w:val="22"/>
        </w:rPr>
        <w:t xml:space="preserve">3–4 Week Part-Time Format  |  9 Modules  |  Certificate Upon Completion</w:t>
      </w:r>
    </w:p>
    <w:p>
      <w:r>
        <w:br w:type="page"/>
      </w:r>
    </w:p>
    <w:p>
      <w:pPr>
        <w:pStyle w:val="Heading1"/>
        <w:spacing w:after="160" w:before="360"/>
      </w:pPr>
      <w:r>
        <w:t xml:space="preserve">Course Overview</w:t>
      </w:r>
    </w:p>
    <w:p>
      <w:pPr>
        <w:spacing w:after="120"/>
      </w:pPr>
      <w:r>
        <w:t xml:space="preserve">This course builds foundational and applied AI literacy for practicing teachers, grounded in the UNESCO AI Competency Framework for Teachers. It moves from conceptual understanding (what AI is and isn't) through the science of learning, ethical caution, and practical classroom tools, ending with how teachers can help students build their own AI literacy.</w:t>
      </w:r>
    </w:p>
    <w:p>
      <w:pPr>
        <w:spacing w:after="40" w:before="120"/>
      </w:pPr>
      <w:r>
        <w:rPr>
          <w:b/>
          <w:bCs/>
          <w:color w:val="1F4E5F"/>
        </w:rPr>
        <w:t xml:space="preserve">Audience</w:t>
      </w:r>
    </w:p>
    <w:p>
      <w:pPr>
        <w:spacing w:after="120"/>
      </w:pPr>
      <w:r>
        <w:t xml:space="preserve">In-service teachers and teacher educators with no assumed prior technical background in AI.</w:t>
      </w:r>
    </w:p>
    <w:p>
      <w:pPr>
        <w:spacing w:after="40" w:before="120"/>
      </w:pPr>
      <w:r>
        <w:rPr>
          <w:b/>
          <w:bCs/>
          <w:color w:val="1F4E5F"/>
        </w:rPr>
        <w:t xml:space="preserve">Format</w:t>
      </w:r>
    </w:p>
    <w:p>
      <w:pPr>
        <w:spacing w:after="120"/>
      </w:pPr>
      <w:r>
        <w:t xml:space="preserve">Fully self-paced and online. Each module combines short readings/videos, a hands-on activity, and a brief knowledge check. Modules are designed to be completed independently, in any order after Module 0, though sequential completion is recommended.</w:t>
      </w:r>
    </w:p>
    <w:p>
      <w:pPr>
        <w:spacing w:after="40" w:before="120"/>
      </w:pPr>
      <w:r>
        <w:rPr>
          <w:b/>
          <w:bCs/>
          <w:color w:val="1F4E5F"/>
        </w:rPr>
        <w:t xml:space="preserve">Duration</w:t>
      </w:r>
    </w:p>
    <w:p>
      <w:pPr>
        <w:spacing w:after="120"/>
      </w:pPr>
      <w:r>
        <w:t xml:space="preserve">Designed for a 3–4 week part-time schedule, at roughly 3–5 hours per week (approximately 15–18 hours total).</w:t>
      </w:r>
    </w:p>
    <w:p>
      <w:pPr>
        <w:spacing w:after="40" w:before="120"/>
      </w:pPr>
      <w:r>
        <w:rPr>
          <w:b/>
          <w:bCs/>
          <w:color w:val="1F4E5F"/>
        </w:rPr>
        <w:t xml:space="preserve">Prerequisites</w:t>
      </w:r>
    </w:p>
    <w:p>
      <w:pPr>
        <w:spacing w:after="120"/>
      </w:pPr>
      <w:r>
        <w:t xml:space="preserve">None. Module 0 orients learners to the course and confirms basic digital access (internet browser and, ideally, access to try a chatbot tool).</w:t>
      </w:r>
    </w:p>
    <w:p>
      <w:pPr>
        <w:pStyle w:val="Heading1"/>
        <w:spacing w:after="160" w:before="360"/>
      </w:pPr>
      <w:r>
        <w:t xml:space="preserve">Overall Learning Outcomes</w:t>
      </w:r>
    </w:p>
    <w:p>
      <w:pPr>
        <w:spacing w:after="120"/>
      </w:pPr>
      <w:r>
        <w:t xml:space="preserve">By the end of this course, teachers will be able to:</w:t>
      </w:r>
    </w:p>
    <w:p>
      <w:pPr>
        <w:pStyle w:val="ListParagraph"/>
        <w:numPr>
          <w:ilvl w:val="0"/>
          <w:numId w:val="2"/>
        </w:numPr>
        <w:spacing w:after="60"/>
      </w:pPr>
      <w:r>
        <w:t xml:space="preserve">Explain what AI is, how it works at a conceptual level, and correct common misconceptions</w:t>
      </w:r>
    </w:p>
    <w:p>
      <w:pPr>
        <w:pStyle w:val="ListParagraph"/>
        <w:numPr>
          <w:ilvl w:val="0"/>
          <w:numId w:val="2"/>
        </w:numPr>
        <w:spacing w:after="60"/>
      </w:pPr>
      <w:r>
        <w:t xml:space="preserve">Locate their own practice within the UNESCO AI Competency Framework for Teachers</w:t>
      </w:r>
    </w:p>
    <w:p>
      <w:pPr>
        <w:pStyle w:val="ListParagraph"/>
        <w:numPr>
          <w:ilvl w:val="0"/>
          <w:numId w:val="2"/>
        </w:numPr>
        <w:spacing w:after="60"/>
      </w:pPr>
      <w:r>
        <w:t xml:space="preserve">Apply learning-science principles (cognitive load, desirable difficulty) when deciding how and when to use AI in teaching</w:t>
      </w:r>
    </w:p>
    <w:p>
      <w:pPr>
        <w:pStyle w:val="ListParagraph"/>
        <w:numPr>
          <w:ilvl w:val="0"/>
          <w:numId w:val="2"/>
        </w:numPr>
        <w:spacing w:after="60"/>
      </w:pPr>
      <w:r>
        <w:t xml:space="preserve">Critically evaluate AI outputs for accuracy, bias, and privacy risk before using them</w:t>
      </w:r>
    </w:p>
    <w:p>
      <w:pPr>
        <w:pStyle w:val="ListParagraph"/>
        <w:numPr>
          <w:ilvl w:val="0"/>
          <w:numId w:val="2"/>
        </w:numPr>
        <w:spacing w:after="60"/>
      </w:pPr>
      <w:r>
        <w:t xml:space="preserve">Use AI tools for lesson preparation and prompt them effectively using the PARTS formula</w:t>
      </w:r>
    </w:p>
    <w:p>
      <w:pPr>
        <w:pStyle w:val="ListParagraph"/>
        <w:numPr>
          <w:ilvl w:val="0"/>
          <w:numId w:val="2"/>
        </w:numPr>
        <w:spacing w:after="60"/>
      </w:pPr>
      <w:r>
        <w:t xml:space="preserve">Use AI responsibly to support — never replace — formative and summative feedback to students</w:t>
      </w:r>
    </w:p>
    <w:p>
      <w:pPr>
        <w:pStyle w:val="ListParagraph"/>
        <w:numPr>
          <w:ilvl w:val="0"/>
          <w:numId w:val="2"/>
        </w:numPr>
        <w:spacing w:after="60"/>
      </w:pPr>
      <w:r>
        <w:t xml:space="preserve">Apply child-safety and ethical safeguards when using AI in the classroom</w:t>
      </w:r>
    </w:p>
    <w:p>
      <w:pPr>
        <w:pStyle w:val="ListParagraph"/>
        <w:numPr>
          <w:ilvl w:val="0"/>
          <w:numId w:val="2"/>
        </w:numPr>
        <w:spacing w:after="60"/>
      </w:pPr>
      <w:r>
        <w:t xml:space="preserve">Design simple activities that help students build their own age-appropriate AI literacy</w:t>
      </w:r>
    </w:p>
    <w:p>
      <w:pPr>
        <w:pStyle w:val="Heading1"/>
        <w:spacing w:after="160" w:before="360"/>
      </w:pPr>
      <w:r>
        <w:t xml:space="preserve">Course Structure and Pacing</w:t>
      </w:r>
    </w:p>
    <w:p>
      <w:pPr>
        <w:spacing w:after="120"/>
      </w:pPr>
      <w:r>
        <w:t xml:space="preserve">The course is organized into 9 modules (numbered 0–8), grouped into 4 weekly blocks. Learners work through content at their own pace within each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1400"/>
        <w:gridCol w:w="1600"/>
      </w:tblGrid>
      <w:tr>
        <w:tc>
          <w:tcPr>
            <w:tcW w:type="dxa" w:w="1400"/>
            <w:shd w:fill="1F4E5F" w:val="clear"/>
            <w:tcMar>
              <w:top w:type="dxa" w:w="100"/>
              <w:left w:type="dxa" w:w="120"/>
              <w:bottom w:type="dxa" w:w="100"/>
              <w:right w:type="dxa" w:w="120"/>
            </w:tcMar>
            <w:vAlign w:val="center"/>
          </w:tcPr>
          <w:p>
            <w:r>
              <w:rPr>
                <w:b/>
                <w:bCs/>
                <w:color w:val="FFFFFF"/>
                <w:sz w:val="20"/>
                <w:szCs w:val="20"/>
              </w:rPr>
              <w:t xml:space="preserve">Week</w:t>
            </w:r>
          </w:p>
        </w:tc>
        <w:tc>
          <w:tcPr>
            <w:tcW w:type="dxa" w:w="4600"/>
            <w:shd w:fill="1F4E5F" w:val="clear"/>
            <w:tcMar>
              <w:top w:type="dxa" w:w="100"/>
              <w:left w:type="dxa" w:w="120"/>
              <w:bottom w:type="dxa" w:w="100"/>
              <w:right w:type="dxa" w:w="120"/>
            </w:tcMar>
            <w:vAlign w:val="center"/>
          </w:tcPr>
          <w:p>
            <w:r>
              <w:rPr>
                <w:b/>
                <w:bCs/>
                <w:color w:val="FFFFFF"/>
                <w:sz w:val="20"/>
                <w:szCs w:val="20"/>
              </w:rPr>
              <w:t xml:space="preserve">Focus</w:t>
            </w:r>
          </w:p>
        </w:tc>
        <w:tc>
          <w:tcPr>
            <w:tcW w:type="dxa" w:w="1400"/>
            <w:shd w:fill="1F4E5F" w:val="clear"/>
            <w:tcMar>
              <w:top w:type="dxa" w:w="100"/>
              <w:left w:type="dxa" w:w="120"/>
              <w:bottom w:type="dxa" w:w="100"/>
              <w:right w:type="dxa" w:w="120"/>
            </w:tcMar>
            <w:vAlign w:val="center"/>
          </w:tcPr>
          <w:p>
            <w:r>
              <w:rPr>
                <w:b/>
                <w:bCs/>
                <w:color w:val="FFFFFF"/>
                <w:sz w:val="20"/>
                <w:szCs w:val="20"/>
              </w:rPr>
              <w:t xml:space="preserve">Modules</w:t>
            </w:r>
          </w:p>
        </w:tc>
        <w:tc>
          <w:tcPr>
            <w:tcW w:type="dxa" w:w="1600"/>
            <w:shd w:fill="1F4E5F" w:val="clear"/>
            <w:tcMar>
              <w:top w:type="dxa" w:w="100"/>
              <w:left w:type="dxa" w:w="120"/>
              <w:bottom w:type="dxa" w:w="100"/>
              <w:right w:type="dxa" w:w="120"/>
            </w:tcMar>
            <w:vAlign w:val="center"/>
          </w:tcPr>
          <w:p>
            <w:r>
              <w:rPr>
                <w:b/>
                <w:bCs/>
                <w:color w:val="FFFFFF"/>
                <w:sz w:val="20"/>
                <w:szCs w:val="20"/>
              </w:rPr>
              <w:t xml:space="preserve">Est. Hours</w:t>
            </w:r>
          </w:p>
        </w:tc>
      </w:tr>
      <w:tr>
        <w:tc>
          <w:tcPr>
            <w:tcW w:type="dxa" w:w="1400"/>
            <w:tcMar>
              <w:top w:type="dxa" w:w="100"/>
              <w:left w:type="dxa" w:w="120"/>
              <w:bottom w:type="dxa" w:w="100"/>
              <w:right w:type="dxa" w:w="120"/>
            </w:tcMar>
            <w:vAlign w:val="center"/>
          </w:tcPr>
          <w:p>
            <w:r>
              <w:rPr>
                <w:b w:val="false"/>
                <w:bCs w:val="false"/>
                <w:color w:val="000000"/>
                <w:sz w:val="20"/>
                <w:szCs w:val="20"/>
              </w:rPr>
              <w:t xml:space="preserve">Week 1</w:t>
            </w:r>
          </w:p>
        </w:tc>
        <w:tc>
          <w:tcPr>
            <w:tcW w:type="dxa" w:w="4600"/>
            <w:tcMar>
              <w:top w:type="dxa" w:w="100"/>
              <w:left w:type="dxa" w:w="120"/>
              <w:bottom w:type="dxa" w:w="100"/>
              <w:right w:type="dxa" w:w="120"/>
            </w:tcMar>
            <w:vAlign w:val="center"/>
          </w:tcPr>
          <w:p>
            <w:r>
              <w:rPr>
                <w:b w:val="false"/>
                <w:bCs w:val="false"/>
                <w:color w:val="000000"/>
                <w:sz w:val="20"/>
                <w:szCs w:val="20"/>
              </w:rPr>
              <w:t xml:space="preserve">Foundations — what AI is and how it fits the teaching profession</w:t>
            </w:r>
          </w:p>
        </w:tc>
        <w:tc>
          <w:tcPr>
            <w:tcW w:type="dxa" w:w="1400"/>
            <w:tcMar>
              <w:top w:type="dxa" w:w="100"/>
              <w:left w:type="dxa" w:w="120"/>
              <w:bottom w:type="dxa" w:w="100"/>
              <w:right w:type="dxa" w:w="120"/>
            </w:tcMar>
            <w:vAlign w:val="center"/>
          </w:tcPr>
          <w:p>
            <w:r>
              <w:rPr>
                <w:b w:val="false"/>
                <w:bCs w:val="false"/>
                <w:color w:val="000000"/>
                <w:sz w:val="20"/>
                <w:szCs w:val="20"/>
              </w:rPr>
              <w:t xml:space="preserve">0, 1, 2</w:t>
            </w:r>
          </w:p>
        </w:tc>
        <w:tc>
          <w:tcPr>
            <w:tcW w:type="dxa" w:w="1600"/>
            <w:tcMar>
              <w:top w:type="dxa" w:w="100"/>
              <w:left w:type="dxa" w:w="120"/>
              <w:bottom w:type="dxa" w:w="100"/>
              <w:right w:type="dxa" w:w="120"/>
            </w:tcMar>
            <w:vAlign w:val="center"/>
          </w:tcPr>
          <w:p>
            <w:r>
              <w:rPr>
                <w:b w:val="false"/>
                <w:bCs w:val="false"/>
                <w:color w:val="000000"/>
                <w:sz w:val="20"/>
                <w:szCs w:val="20"/>
              </w:rPr>
              <w:t xml:space="preserve">~4–5 hrs</w:t>
            </w:r>
          </w:p>
        </w:tc>
      </w:tr>
      <w:tr>
        <w:tc>
          <w:tcPr>
            <w:tcW w:type="dxa" w:w="1400"/>
            <w:shd w:fill="EAF1F3" w:val="clear"/>
            <w:tcMar>
              <w:top w:type="dxa" w:w="100"/>
              <w:left w:type="dxa" w:w="120"/>
              <w:bottom w:type="dxa" w:w="100"/>
              <w:right w:type="dxa" w:w="120"/>
            </w:tcMar>
            <w:vAlign w:val="center"/>
          </w:tcPr>
          <w:p>
            <w:r>
              <w:rPr>
                <w:b w:val="false"/>
                <w:bCs w:val="false"/>
                <w:color w:val="000000"/>
                <w:sz w:val="20"/>
                <w:szCs w:val="20"/>
              </w:rPr>
              <w:t xml:space="preserve">Week 2</w:t>
            </w:r>
          </w:p>
        </w:tc>
        <w:tc>
          <w:tcPr>
            <w:tcW w:type="dxa" w:w="4600"/>
            <w:shd w:fill="EAF1F3" w:val="clear"/>
            <w:tcMar>
              <w:top w:type="dxa" w:w="100"/>
              <w:left w:type="dxa" w:w="120"/>
              <w:bottom w:type="dxa" w:w="100"/>
              <w:right w:type="dxa" w:w="120"/>
            </w:tcMar>
            <w:vAlign w:val="center"/>
          </w:tcPr>
          <w:p>
            <w:r>
              <w:rPr>
                <w:b w:val="false"/>
                <w:bCs w:val="false"/>
                <w:color w:val="000000"/>
                <w:sz w:val="20"/>
                <w:szCs w:val="20"/>
              </w:rPr>
              <w:t xml:space="preserve">Learning science and critical caution</w:t>
            </w:r>
          </w:p>
        </w:tc>
        <w:tc>
          <w:tcPr>
            <w:tcW w:type="dxa" w:w="1400"/>
            <w:shd w:fill="EAF1F3" w:val="clear"/>
            <w:tcMar>
              <w:top w:type="dxa" w:w="100"/>
              <w:left w:type="dxa" w:w="120"/>
              <w:bottom w:type="dxa" w:w="100"/>
              <w:right w:type="dxa" w:w="120"/>
            </w:tcMar>
            <w:vAlign w:val="center"/>
          </w:tcPr>
          <w:p>
            <w:r>
              <w:rPr>
                <w:b w:val="false"/>
                <w:bCs w:val="false"/>
                <w:color w:val="000000"/>
                <w:sz w:val="20"/>
                <w:szCs w:val="20"/>
              </w:rPr>
              <w:t xml:space="preserve">3, 4</w:t>
            </w:r>
          </w:p>
        </w:tc>
        <w:tc>
          <w:tcPr>
            <w:tcW w:type="dxa" w:w="1600"/>
            <w:shd w:fill="EAF1F3" w:val="clear"/>
            <w:tcMar>
              <w:top w:type="dxa" w:w="100"/>
              <w:left w:type="dxa" w:w="120"/>
              <w:bottom w:type="dxa" w:w="100"/>
              <w:right w:type="dxa" w:w="120"/>
            </w:tcMar>
            <w:vAlign w:val="center"/>
          </w:tcPr>
          <w:p>
            <w:r>
              <w:rPr>
                <w:b w:val="false"/>
                <w:bCs w:val="false"/>
                <w:color w:val="000000"/>
                <w:sz w:val="20"/>
                <w:szCs w:val="20"/>
              </w:rPr>
              <w:t xml:space="preserve">~3.5–4.5 hrs</w:t>
            </w:r>
          </w:p>
        </w:tc>
      </w:tr>
      <w:tr>
        <w:tc>
          <w:tcPr>
            <w:tcW w:type="dxa" w:w="1400"/>
            <w:tcMar>
              <w:top w:type="dxa" w:w="100"/>
              <w:left w:type="dxa" w:w="120"/>
              <w:bottom w:type="dxa" w:w="100"/>
              <w:right w:type="dxa" w:w="120"/>
            </w:tcMar>
            <w:vAlign w:val="center"/>
          </w:tcPr>
          <w:p>
            <w:r>
              <w:rPr>
                <w:b w:val="false"/>
                <w:bCs w:val="false"/>
                <w:color w:val="000000"/>
                <w:sz w:val="20"/>
                <w:szCs w:val="20"/>
              </w:rPr>
              <w:t xml:space="preserve">Week 3</w:t>
            </w:r>
          </w:p>
        </w:tc>
        <w:tc>
          <w:tcPr>
            <w:tcW w:type="dxa" w:w="4600"/>
            <w:tcMar>
              <w:top w:type="dxa" w:w="100"/>
              <w:left w:type="dxa" w:w="120"/>
              <w:bottom w:type="dxa" w:w="100"/>
              <w:right w:type="dxa" w:w="120"/>
            </w:tcMar>
            <w:vAlign w:val="center"/>
          </w:tcPr>
          <w:p>
            <w:r>
              <w:rPr>
                <w:b w:val="false"/>
                <w:bCs w:val="false"/>
                <w:color w:val="000000"/>
                <w:sz w:val="20"/>
                <w:szCs w:val="20"/>
              </w:rPr>
              <w:t xml:space="preserve">Practical application — tools, feedback, assessment</w:t>
            </w:r>
          </w:p>
        </w:tc>
        <w:tc>
          <w:tcPr>
            <w:tcW w:type="dxa" w:w="1400"/>
            <w:tcMar>
              <w:top w:type="dxa" w:w="100"/>
              <w:left w:type="dxa" w:w="120"/>
              <w:bottom w:type="dxa" w:w="100"/>
              <w:right w:type="dxa" w:w="120"/>
            </w:tcMar>
            <w:vAlign w:val="center"/>
          </w:tcPr>
          <w:p>
            <w:r>
              <w:rPr>
                <w:b w:val="false"/>
                <w:bCs w:val="false"/>
                <w:color w:val="000000"/>
                <w:sz w:val="20"/>
                <w:szCs w:val="20"/>
              </w:rPr>
              <w:t xml:space="preserve">5, 6</w:t>
            </w:r>
          </w:p>
        </w:tc>
        <w:tc>
          <w:tcPr>
            <w:tcW w:type="dxa" w:w="1600"/>
            <w:tcMar>
              <w:top w:type="dxa" w:w="100"/>
              <w:left w:type="dxa" w:w="120"/>
              <w:bottom w:type="dxa" w:w="100"/>
              <w:right w:type="dxa" w:w="120"/>
            </w:tcMar>
            <w:vAlign w:val="center"/>
          </w:tcPr>
          <w:p>
            <w:r>
              <w:rPr>
                <w:b w:val="false"/>
                <w:bCs w:val="false"/>
                <w:color w:val="000000"/>
                <w:sz w:val="20"/>
                <w:szCs w:val="20"/>
              </w:rPr>
              <w:t xml:space="preserve">~3–4 hrs</w:t>
            </w:r>
          </w:p>
        </w:tc>
      </w:tr>
      <w:tr>
        <w:tc>
          <w:tcPr>
            <w:tcW w:type="dxa" w:w="1400"/>
            <w:shd w:fill="EAF1F3" w:val="clear"/>
            <w:tcMar>
              <w:top w:type="dxa" w:w="100"/>
              <w:left w:type="dxa" w:w="120"/>
              <w:bottom w:type="dxa" w:w="100"/>
              <w:right w:type="dxa" w:w="120"/>
            </w:tcMar>
            <w:vAlign w:val="center"/>
          </w:tcPr>
          <w:p>
            <w:r>
              <w:rPr>
                <w:b w:val="false"/>
                <w:bCs w:val="false"/>
                <w:color w:val="000000"/>
                <w:sz w:val="20"/>
                <w:szCs w:val="20"/>
              </w:rPr>
              <w:t xml:space="preserve">Week 4</w:t>
            </w:r>
          </w:p>
        </w:tc>
        <w:tc>
          <w:tcPr>
            <w:tcW w:type="dxa" w:w="4600"/>
            <w:shd w:fill="EAF1F3" w:val="clear"/>
            <w:tcMar>
              <w:top w:type="dxa" w:w="100"/>
              <w:left w:type="dxa" w:w="120"/>
              <w:bottom w:type="dxa" w:w="100"/>
              <w:right w:type="dxa" w:w="120"/>
            </w:tcMar>
            <w:vAlign w:val="center"/>
          </w:tcPr>
          <w:p>
            <w:r>
              <w:rPr>
                <w:b w:val="false"/>
                <w:bCs w:val="false"/>
                <w:color w:val="000000"/>
                <w:sz w:val="20"/>
                <w:szCs w:val="20"/>
              </w:rPr>
              <w:t xml:space="preserve">Safety, ethics, and preparing students — plus capstone</w:t>
            </w:r>
          </w:p>
        </w:tc>
        <w:tc>
          <w:tcPr>
            <w:tcW w:type="dxa" w:w="1400"/>
            <w:shd w:fill="EAF1F3" w:val="clear"/>
            <w:tcMar>
              <w:top w:type="dxa" w:w="100"/>
              <w:left w:type="dxa" w:w="120"/>
              <w:bottom w:type="dxa" w:w="100"/>
              <w:right w:type="dxa" w:w="120"/>
            </w:tcMar>
            <w:vAlign w:val="center"/>
          </w:tcPr>
          <w:p>
            <w:r>
              <w:rPr>
                <w:b w:val="false"/>
                <w:bCs w:val="false"/>
                <w:color w:val="000000"/>
                <w:sz w:val="20"/>
                <w:szCs w:val="20"/>
              </w:rPr>
              <w:t xml:space="preserve">7, 8</w:t>
            </w:r>
          </w:p>
        </w:tc>
        <w:tc>
          <w:tcPr>
            <w:tcW w:type="dxa" w:w="1600"/>
            <w:shd w:fill="EAF1F3" w:val="clear"/>
            <w:tcMar>
              <w:top w:type="dxa" w:w="100"/>
              <w:left w:type="dxa" w:w="120"/>
              <w:bottom w:type="dxa" w:w="100"/>
              <w:right w:type="dxa" w:w="120"/>
            </w:tcMar>
            <w:vAlign w:val="center"/>
          </w:tcPr>
          <w:p>
            <w:r>
              <w:rPr>
                <w:b w:val="false"/>
                <w:bCs w:val="false"/>
                <w:color w:val="000000"/>
                <w:sz w:val="20"/>
                <w:szCs w:val="20"/>
              </w:rPr>
              <w:t xml:space="preserve">~3–4 hrs</w:t>
            </w:r>
          </w:p>
        </w:tc>
      </w:tr>
    </w:tbl>
    <w:p>
      <w:r>
        <w:br w:type="page"/>
      </w:r>
    </w:p>
    <w:p>
      <w:pPr>
        <w:pStyle w:val="Heading1"/>
        <w:spacing w:after="160" w:before="360"/>
      </w:pPr>
      <w:r>
        <w:t xml:space="preserve">Module-by-Module Outline</w:t>
      </w:r>
    </w:p>
    <w:p>
      <w:pPr>
        <w:pStyle w:val="Heading2"/>
        <w:spacing w:after="120" w:before="280"/>
      </w:pPr>
      <w:r>
        <w:t xml:space="preserve">Module 0: Why We Need AI Literacy</w:t>
      </w:r>
    </w:p>
    <w:p>
      <w:pPr>
        <w:spacing w:after="140"/>
      </w:pPr>
      <w:r>
        <w:rPr>
          <w:b/>
          <w:bCs/>
          <w:color w:val="595959"/>
          <w:sz w:val="20"/>
          <w:szCs w:val="20"/>
        </w:rPr>
        <w:t xml:space="preserve">Framework link: </w:t>
      </w:r>
      <w:r>
        <w:rPr>
          <w:i/>
          <w:iCs/>
          <w:color w:val="595959"/>
          <w:sz w:val="20"/>
          <w:szCs w:val="20"/>
        </w:rPr>
        <w:t xml:space="preserve">UNESCO AI CFT — Human-centred mindset</w:t>
      </w:r>
      <w:r>
        <w:rPr>
          <w:color w:val="595959"/>
          <w:sz w:val="20"/>
          <w:szCs w:val="20"/>
        </w:rPr>
        <w:t xml:space="preserve">   |   </w:t>
      </w:r>
      <w:r>
        <w:rPr>
          <w:b/>
          <w:bCs/>
          <w:color w:val="595959"/>
          <w:sz w:val="20"/>
          <w:szCs w:val="20"/>
        </w:rPr>
        <w:t xml:space="preserve">Estimated time: </w:t>
      </w:r>
      <w:r>
        <w:rPr>
          <w:color w:val="595959"/>
          <w:sz w:val="20"/>
          <w:szCs w:val="20"/>
        </w:rPr>
        <w:t xml:space="preserve">45–60 min</w:t>
      </w:r>
    </w:p>
    <w:p>
      <w:pPr>
        <w:spacing w:after="40" w:before="120"/>
      </w:pPr>
      <w:r>
        <w:rPr>
          <w:b/>
          <w:bCs/>
          <w:color w:val="1F4E5F"/>
        </w:rPr>
        <w:t xml:space="preserve">Learning objectives</w:t>
      </w:r>
    </w:p>
    <w:p>
      <w:pPr>
        <w:pStyle w:val="ListParagraph"/>
        <w:numPr>
          <w:ilvl w:val="0"/>
          <w:numId w:val="2"/>
        </w:numPr>
        <w:spacing w:after="60"/>
      </w:pPr>
      <w:r>
        <w:t xml:space="preserve">Explain why AI literacy is essential professional knowledge for teachers, not just an optional extra</w:t>
      </w:r>
    </w:p>
    <w:p>
      <w:pPr>
        <w:pStyle w:val="ListParagraph"/>
        <w:numPr>
          <w:ilvl w:val="0"/>
          <w:numId w:val="2"/>
        </w:numPr>
        <w:spacing w:after="60"/>
      </w:pPr>
      <w:r>
        <w:t xml:space="preserve">Understand the structure of this course and the requirements for earning the certificate</w:t>
      </w:r>
    </w:p>
    <w:p>
      <w:pPr>
        <w:pStyle w:val="ListParagraph"/>
        <w:numPr>
          <w:ilvl w:val="0"/>
          <w:numId w:val="2"/>
        </w:numPr>
        <w:spacing w:after="60"/>
      </w:pPr>
      <w:r>
        <w:t xml:space="preserve">Set a personal learning goal for the course</w:t>
      </w:r>
    </w:p>
    <w:p>
      <w:pPr>
        <w:spacing w:after="40" w:before="120"/>
      </w:pPr>
      <w:r>
        <w:rPr>
          <w:b/>
          <w:bCs/>
          <w:color w:val="1F4E5F"/>
        </w:rPr>
        <w:t xml:space="preserve">Key topics</w:t>
      </w:r>
    </w:p>
    <w:p>
      <w:pPr>
        <w:pStyle w:val="ListParagraph"/>
        <w:numPr>
          <w:ilvl w:val="0"/>
          <w:numId w:val="2"/>
        </w:numPr>
        <w:spacing w:after="60"/>
      </w:pPr>
      <w:r>
        <w:t xml:space="preserve">Why AI literacy belongs in core teacher competency, not as an add-on</w:t>
      </w:r>
    </w:p>
    <w:p>
      <w:pPr>
        <w:pStyle w:val="ListParagraph"/>
        <w:numPr>
          <w:ilvl w:val="0"/>
          <w:numId w:val="2"/>
        </w:numPr>
        <w:spacing w:after="60"/>
      </w:pPr>
      <w:r>
        <w:t xml:space="preserve">How this course is organized: modules, pacing, and support</w:t>
      </w:r>
    </w:p>
    <w:p>
      <w:pPr>
        <w:pStyle w:val="ListParagraph"/>
        <w:numPr>
          <w:ilvl w:val="0"/>
          <w:numId w:val="2"/>
        </w:numPr>
        <w:spacing w:after="60"/>
      </w:pPr>
      <w:r>
        <w:t xml:space="preserve">Certificate requirements and how progress is tracked</w:t>
      </w:r>
    </w:p>
    <w:p>
      <w:pPr>
        <w:spacing w:after="40" w:before="120"/>
      </w:pPr>
      <w:r>
        <w:rPr>
          <w:b/>
          <w:bCs/>
          <w:color w:val="1F4E5F"/>
        </w:rPr>
        <w:t xml:space="preserve">Suggested self-paced activities</w:t>
      </w:r>
    </w:p>
    <w:p>
      <w:pPr>
        <w:pStyle w:val="ListParagraph"/>
        <w:numPr>
          <w:ilvl w:val="0"/>
          <w:numId w:val="2"/>
        </w:numPr>
        <w:spacing w:after="60"/>
      </w:pPr>
      <w:r>
        <w:t xml:space="preserve">Watch orientation video / read course welcome guide</w:t>
      </w:r>
    </w:p>
    <w:p>
      <w:pPr>
        <w:pStyle w:val="ListParagraph"/>
        <w:numPr>
          <w:ilvl w:val="0"/>
          <w:numId w:val="2"/>
        </w:numPr>
        <w:spacing w:after="60"/>
      </w:pPr>
      <w:r>
        <w:t xml:space="preserve">Complete a short self-reflection: current comfort level with AI in teaching</w:t>
      </w:r>
    </w:p>
    <w:p>
      <w:pPr>
        <w:pStyle w:val="ListParagraph"/>
        <w:numPr>
          <w:ilvl w:val="0"/>
          <w:numId w:val="2"/>
        </w:numPr>
        <w:spacing w:after="60"/>
      </w:pPr>
      <w:r>
        <w:t xml:space="preserve">Write a one-sentence personal learning goal to revisit at the end of the course</w:t>
      </w:r>
    </w:p>
    <w:p>
      <w:pPr>
        <w:spacing w:after="40" w:before="120"/>
      </w:pPr>
      <w:r>
        <w:rPr>
          <w:b/>
          <w:bCs/>
          <w:color w:val="1F4E5F"/>
        </w:rPr>
        <w:t xml:space="preserve">Knowledge check</w:t>
      </w:r>
    </w:p>
    <w:p>
      <w:pPr>
        <w:spacing w:after="120"/>
      </w:pPr>
      <w:r>
        <w:t xml:space="preserve">Short reflection prompt (ungraded) — no formal quiz.</w:t>
      </w:r>
    </w:p>
    <w:p>
      <w:pPr>
        <w:pStyle w:val="Heading2"/>
        <w:spacing w:after="120" w:before="280"/>
      </w:pPr>
      <w:r>
        <w:t xml:space="preserve">Module 1: What Is Artificial Intelligence?</w:t>
      </w:r>
    </w:p>
    <w:p>
      <w:pPr>
        <w:spacing w:after="140"/>
      </w:pPr>
      <w:r>
        <w:rPr>
          <w:b/>
          <w:bCs/>
          <w:color w:val="595959"/>
          <w:sz w:val="20"/>
          <w:szCs w:val="20"/>
        </w:rPr>
        <w:t xml:space="preserve">Framework link: </w:t>
      </w:r>
      <w:r>
        <w:rPr>
          <w:i/>
          <w:iCs/>
          <w:color w:val="595959"/>
          <w:sz w:val="20"/>
          <w:szCs w:val="20"/>
        </w:rPr>
        <w:t xml:space="preserve">UNESCO AI CFT — AI Foundations &amp; Applications</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Define artificial intelligence</w:t>
      </w:r>
    </w:p>
    <w:p>
      <w:pPr>
        <w:pStyle w:val="ListParagraph"/>
        <w:numPr>
          <w:ilvl w:val="0"/>
          <w:numId w:val="2"/>
        </w:numPr>
        <w:spacing w:after="60"/>
      </w:pPr>
      <w:r>
        <w:t xml:space="preserve">Compare narrow AI and general AI</w:t>
      </w:r>
    </w:p>
    <w:p>
      <w:pPr>
        <w:pStyle w:val="ListParagraph"/>
        <w:numPr>
          <w:ilvl w:val="0"/>
          <w:numId w:val="2"/>
        </w:numPr>
        <w:spacing w:after="60"/>
      </w:pPr>
      <w:r>
        <w:t xml:space="preserve">Explain why the AI tools currently used in classrooms are all narrow AI</w:t>
      </w:r>
    </w:p>
    <w:p>
      <w:pPr>
        <w:pStyle w:val="ListParagraph"/>
        <w:numPr>
          <w:ilvl w:val="0"/>
          <w:numId w:val="2"/>
        </w:numPr>
        <w:spacing w:after="60"/>
      </w:pPr>
      <w:r>
        <w:t xml:space="preserve">Explain how large language models (LLMs) generate text by predicting the next word in a sequence</w:t>
      </w:r>
    </w:p>
    <w:p>
      <w:pPr>
        <w:pStyle w:val="ListParagraph"/>
        <w:numPr>
          <w:ilvl w:val="0"/>
          <w:numId w:val="2"/>
        </w:numPr>
        <w:spacing w:after="60"/>
      </w:pPr>
      <w:r>
        <w:t xml:space="preserve">Correct common misconceptions, such as the belief that AI can "think" or "understand" the way humans do</w:t>
      </w:r>
    </w:p>
    <w:p>
      <w:pPr>
        <w:spacing w:after="40" w:before="120"/>
      </w:pPr>
      <w:r>
        <w:rPr>
          <w:b/>
          <w:bCs/>
          <w:color w:val="1F4E5F"/>
        </w:rPr>
        <w:t xml:space="preserve">Key topics</w:t>
      </w:r>
    </w:p>
    <w:p>
      <w:pPr>
        <w:pStyle w:val="ListParagraph"/>
        <w:numPr>
          <w:ilvl w:val="0"/>
          <w:numId w:val="2"/>
        </w:numPr>
        <w:spacing w:after="60"/>
      </w:pPr>
      <w:r>
        <w:t xml:space="preserve">Narrow AI vs. general AI</w:t>
      </w:r>
    </w:p>
    <w:p>
      <w:pPr>
        <w:pStyle w:val="ListParagraph"/>
        <w:numPr>
          <w:ilvl w:val="0"/>
          <w:numId w:val="2"/>
        </w:numPr>
        <w:spacing w:after="60"/>
      </w:pPr>
      <w:r>
        <w:t xml:space="preserve">How LLMs work at a conceptual level (next-word prediction)</w:t>
      </w:r>
    </w:p>
    <w:p>
      <w:pPr>
        <w:pStyle w:val="ListParagraph"/>
        <w:numPr>
          <w:ilvl w:val="0"/>
          <w:numId w:val="2"/>
        </w:numPr>
        <w:spacing w:after="60"/>
      </w:pPr>
      <w:r>
        <w:t xml:space="preserve">Common myths about AI cognition and understanding</w:t>
      </w:r>
    </w:p>
    <w:p>
      <w:pPr>
        <w:spacing w:after="40" w:before="120"/>
      </w:pPr>
      <w:r>
        <w:rPr>
          <w:b/>
          <w:bCs/>
          <w:color w:val="1F4E5F"/>
        </w:rPr>
        <w:t xml:space="preserve">Suggested self-paced activities</w:t>
      </w:r>
    </w:p>
    <w:p>
      <w:pPr>
        <w:pStyle w:val="ListParagraph"/>
        <w:numPr>
          <w:ilvl w:val="0"/>
          <w:numId w:val="2"/>
        </w:numPr>
        <w:spacing w:after="60"/>
      </w:pPr>
      <w:r>
        <w:t xml:space="preserve">Read/watch a plain-language explainer on how LLMs generate text</w:t>
      </w:r>
    </w:p>
    <w:p>
      <w:pPr>
        <w:pStyle w:val="ListParagraph"/>
        <w:numPr>
          <w:ilvl w:val="0"/>
          <w:numId w:val="2"/>
        </w:numPr>
        <w:spacing w:after="60"/>
      </w:pPr>
      <w:r>
        <w:t xml:space="preserve">Try a short hands-on exercise typing prompts into a chatbot and observing outputs</w:t>
      </w:r>
    </w:p>
    <w:p>
      <w:pPr>
        <w:pStyle w:val="ListParagraph"/>
        <w:numPr>
          <w:ilvl w:val="0"/>
          <w:numId w:val="2"/>
        </w:numPr>
        <w:spacing w:after="60"/>
      </w:pPr>
      <w:r>
        <w:t xml:space="preserve">Complete a myth-vs-fact matching activity</w:t>
      </w:r>
    </w:p>
    <w:p>
      <w:pPr>
        <w:spacing w:after="40" w:before="120"/>
      </w:pPr>
      <w:r>
        <w:rPr>
          <w:b/>
          <w:bCs/>
          <w:color w:val="1F4E5F"/>
        </w:rPr>
        <w:t xml:space="preserve">Knowledge check</w:t>
      </w:r>
    </w:p>
    <w:p>
      <w:pPr>
        <w:spacing w:after="120"/>
      </w:pPr>
      <w:r>
        <w:t xml:space="preserve">5–8 question multiple-choice quiz on AI definitions and misconceptions.</w:t>
      </w:r>
    </w:p>
    <w:p>
      <w:pPr>
        <w:pStyle w:val="Heading2"/>
        <w:spacing w:after="120" w:before="280"/>
      </w:pPr>
      <w:r>
        <w:t xml:space="preserve">Module 2: The AI Competency Framework for Teachers</w:t>
      </w:r>
    </w:p>
    <w:p>
      <w:pPr>
        <w:spacing w:after="140"/>
      </w:pPr>
      <w:r>
        <w:rPr>
          <w:b/>
          <w:bCs/>
          <w:color w:val="595959"/>
          <w:sz w:val="20"/>
          <w:szCs w:val="20"/>
        </w:rPr>
        <w:t xml:space="preserve">Framework link: </w:t>
      </w:r>
      <w:r>
        <w:rPr>
          <w:i/>
          <w:iCs/>
          <w:color w:val="595959"/>
          <w:sz w:val="20"/>
          <w:szCs w:val="20"/>
        </w:rPr>
        <w:t xml:space="preserve">UNESCO AI CFT — All 5 aspects</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Map personal practice to the 5 components of the UNESCO AI Competency Framework for Teachers</w:t>
      </w:r>
    </w:p>
    <w:p>
      <w:pPr>
        <w:pStyle w:val="ListParagraph"/>
        <w:numPr>
          <w:ilvl w:val="0"/>
          <w:numId w:val="2"/>
        </w:numPr>
        <w:spacing w:after="60"/>
      </w:pPr>
      <w:r>
        <w:t xml:space="preserve">Identify proficiency levels (Acquire / Deepen / Create) within each of the 5 components</w:t>
      </w:r>
    </w:p>
    <w:p>
      <w:pPr>
        <w:pStyle w:val="ListParagraph"/>
        <w:numPr>
          <w:ilvl w:val="0"/>
          <w:numId w:val="2"/>
        </w:numPr>
        <w:spacing w:after="60"/>
      </w:pPr>
      <w:r>
        <w:t xml:space="preserve">Connect the AI competency framework to the 6 components of DigCompEdu and to TPACK</w:t>
      </w:r>
    </w:p>
    <w:p>
      <w:pPr>
        <w:spacing w:after="40" w:before="120"/>
      </w:pPr>
      <w:r>
        <w:rPr>
          <w:b/>
          <w:bCs/>
          <w:color w:val="1F4E5F"/>
        </w:rPr>
        <w:t xml:space="preserve">Key topics</w:t>
      </w:r>
    </w:p>
    <w:p>
      <w:pPr>
        <w:pStyle w:val="ListParagraph"/>
        <w:numPr>
          <w:ilvl w:val="0"/>
          <w:numId w:val="2"/>
        </w:numPr>
        <w:spacing w:after="60"/>
      </w:pPr>
      <w:r>
        <w:t xml:space="preserve">The 5 components of the UNESCO AI CFT</w:t>
      </w:r>
    </w:p>
    <w:p>
      <w:pPr>
        <w:pStyle w:val="ListParagraph"/>
        <w:numPr>
          <w:ilvl w:val="0"/>
          <w:numId w:val="2"/>
        </w:numPr>
        <w:spacing w:after="60"/>
      </w:pPr>
      <w:r>
        <w:t xml:space="preserve">Proficiency progression: Acquire → Deepen → Create</w:t>
      </w:r>
    </w:p>
    <w:p>
      <w:pPr>
        <w:pStyle w:val="ListParagraph"/>
        <w:numPr>
          <w:ilvl w:val="0"/>
          <w:numId w:val="2"/>
        </w:numPr>
        <w:spacing w:after="60"/>
      </w:pPr>
      <w:r>
        <w:t xml:space="preserve">Relationship to DigCompEdu and TPACK</w:t>
      </w:r>
    </w:p>
    <w:p>
      <w:pPr>
        <w:spacing w:after="40" w:before="120"/>
      </w:pPr>
      <w:r>
        <w:rPr>
          <w:b/>
          <w:bCs/>
          <w:color w:val="1F4E5F"/>
        </w:rPr>
        <w:t xml:space="preserve">Suggested self-paced activities</w:t>
      </w:r>
    </w:p>
    <w:p>
      <w:pPr>
        <w:pStyle w:val="ListParagraph"/>
        <w:numPr>
          <w:ilvl w:val="0"/>
          <w:numId w:val="2"/>
        </w:numPr>
        <w:spacing w:after="60"/>
      </w:pPr>
      <w:r>
        <w:t xml:space="preserve">Complete a self-assessment against the 5 framework components</w:t>
      </w:r>
    </w:p>
    <w:p>
      <w:pPr>
        <w:pStyle w:val="ListParagraph"/>
        <w:numPr>
          <w:ilvl w:val="0"/>
          <w:numId w:val="2"/>
        </w:numPr>
        <w:spacing w:after="60"/>
      </w:pPr>
      <w:r>
        <w:t xml:space="preserve">Map own current practice and identify one component to grow in</w:t>
      </w:r>
    </w:p>
    <w:p>
      <w:pPr>
        <w:spacing w:after="40" w:before="120"/>
      </w:pPr>
      <w:r>
        <w:rPr>
          <w:b/>
          <w:bCs/>
          <w:color w:val="1F4E5F"/>
        </w:rPr>
        <w:t xml:space="preserve">Knowledge check</w:t>
      </w:r>
    </w:p>
    <w:p>
      <w:pPr>
        <w:spacing w:after="120"/>
      </w:pPr>
      <w:r>
        <w:t xml:space="preserve">Self-assessment rubric (self-scored, submitted for portfolio evidence).</w:t>
      </w:r>
    </w:p>
    <w:p>
      <w:pPr>
        <w:pStyle w:val="Heading2"/>
        <w:spacing w:after="120" w:before="280"/>
      </w:pPr>
      <w:r>
        <w:t xml:space="preserve">Module 3: The Science of Learning and AI</w:t>
      </w:r>
    </w:p>
    <w:p>
      <w:pPr>
        <w:spacing w:after="140"/>
      </w:pPr>
      <w:r>
        <w:rPr>
          <w:b/>
          <w:bCs/>
          <w:color w:val="595959"/>
          <w:sz w:val="20"/>
          <w:szCs w:val="20"/>
        </w:rPr>
        <w:t xml:space="preserve">Framework link: </w:t>
      </w:r>
      <w:r>
        <w:rPr>
          <w:i/>
          <w:iCs/>
          <w:color w:val="595959"/>
          <w:sz w:val="20"/>
          <w:szCs w:val="20"/>
        </w:rPr>
        <w:t xml:space="preserve">UNESCO AI CFT — AI Pedagogy</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Explain why teachers need to understand how students learn before deciding whether AI can help learning</w:t>
      </w:r>
    </w:p>
    <w:p>
      <w:pPr>
        <w:pStyle w:val="ListParagraph"/>
        <w:numPr>
          <w:ilvl w:val="0"/>
          <w:numId w:val="2"/>
        </w:numPr>
        <w:spacing w:after="60"/>
      </w:pPr>
      <w:r>
        <w:t xml:space="preserve">Describe Cognitive Load Theory and its application in lesson and worksheet design</w:t>
      </w:r>
    </w:p>
    <w:p>
      <w:pPr>
        <w:pStyle w:val="ListParagraph"/>
        <w:numPr>
          <w:ilvl w:val="0"/>
          <w:numId w:val="2"/>
        </w:numPr>
        <w:spacing w:after="60"/>
      </w:pPr>
      <w:r>
        <w:t xml:space="preserve">Identify highly effective learning methods (active recall, spaced repetition) versus less effective ones (repeated re-reading, highlighting)</w:t>
      </w:r>
    </w:p>
    <w:p>
      <w:pPr>
        <w:pStyle w:val="ListParagraph"/>
        <w:numPr>
          <w:ilvl w:val="0"/>
          <w:numId w:val="2"/>
        </w:numPr>
        <w:spacing w:after="60"/>
      </w:pPr>
      <w:r>
        <w:t xml:space="preserve">Explain the concept of "desirable difficulty"</w:t>
      </w:r>
    </w:p>
    <w:p>
      <w:pPr>
        <w:spacing w:after="40" w:before="120"/>
      </w:pPr>
      <w:r>
        <w:rPr>
          <w:b/>
          <w:bCs/>
          <w:color w:val="1F4E5F"/>
        </w:rPr>
        <w:t xml:space="preserve">Key topics</w:t>
      </w:r>
    </w:p>
    <w:p>
      <w:pPr>
        <w:pStyle w:val="ListParagraph"/>
        <w:numPr>
          <w:ilvl w:val="0"/>
          <w:numId w:val="2"/>
        </w:numPr>
        <w:spacing w:after="60"/>
      </w:pPr>
      <w:r>
        <w:t xml:space="preserve">Cognitive Load Theory basics</w:t>
      </w:r>
    </w:p>
    <w:p>
      <w:pPr>
        <w:pStyle w:val="ListParagraph"/>
        <w:numPr>
          <w:ilvl w:val="0"/>
          <w:numId w:val="2"/>
        </w:numPr>
        <w:spacing w:after="60"/>
      </w:pPr>
      <w:r>
        <w:t xml:space="preserve">Evidence-based vs. low-value study techniques</w:t>
      </w:r>
    </w:p>
    <w:p>
      <w:pPr>
        <w:pStyle w:val="ListParagraph"/>
        <w:numPr>
          <w:ilvl w:val="0"/>
          <w:numId w:val="2"/>
        </w:numPr>
        <w:spacing w:after="60"/>
      </w:pPr>
      <w:r>
        <w:t xml:space="preserve">Desirable difficulty and why some struggle supports learning</w:t>
      </w:r>
    </w:p>
    <w:p>
      <w:pPr>
        <w:spacing w:after="40" w:before="120"/>
      </w:pPr>
      <w:r>
        <w:rPr>
          <w:b/>
          <w:bCs/>
          <w:color w:val="1F4E5F"/>
        </w:rPr>
        <w:t xml:space="preserve">Suggested self-paced activities</w:t>
      </w:r>
    </w:p>
    <w:p>
      <w:pPr>
        <w:pStyle w:val="ListParagraph"/>
        <w:numPr>
          <w:ilvl w:val="0"/>
          <w:numId w:val="2"/>
        </w:numPr>
        <w:spacing w:after="60"/>
      </w:pPr>
      <w:r>
        <w:t xml:space="preserve">Read a summary of Cognitive Load Theory with classroom examples</w:t>
      </w:r>
    </w:p>
    <w:p>
      <w:pPr>
        <w:pStyle w:val="ListParagraph"/>
        <w:numPr>
          <w:ilvl w:val="0"/>
          <w:numId w:val="2"/>
        </w:numPr>
        <w:spacing w:after="60"/>
      </w:pPr>
      <w:r>
        <w:t xml:space="preserve">Redesign a sample worksheet applying cognitive load principles</w:t>
      </w:r>
    </w:p>
    <w:p>
      <w:pPr>
        <w:pStyle w:val="ListParagraph"/>
        <w:numPr>
          <w:ilvl w:val="0"/>
          <w:numId w:val="2"/>
        </w:numPr>
        <w:spacing w:after="60"/>
      </w:pPr>
      <w:r>
        <w:t xml:space="preserve">Case-study discussion: spotting desirable difficulty in a lesson plan</w:t>
      </w:r>
    </w:p>
    <w:p>
      <w:pPr>
        <w:spacing w:after="40" w:before="120"/>
      </w:pPr>
      <w:r>
        <w:rPr>
          <w:b/>
          <w:bCs/>
          <w:color w:val="1F4E5F"/>
        </w:rPr>
        <w:t xml:space="preserve">Knowledge check</w:t>
      </w:r>
    </w:p>
    <w:p>
      <w:pPr>
        <w:spacing w:after="120"/>
      </w:pPr>
      <w:r>
        <w:t xml:space="preserve">Applied task: annotate a lesson plan identifying load-reduction or desirable-difficulty elements.</w:t>
      </w:r>
    </w:p>
    <w:p>
      <w:pPr>
        <w:pStyle w:val="Heading2"/>
        <w:spacing w:after="120" w:before="280"/>
      </w:pPr>
      <w:r>
        <w:t xml:space="preserve">Module 4: Being Cautious About AI's Limitations</w:t>
      </w:r>
    </w:p>
    <w:p>
      <w:pPr>
        <w:spacing w:after="140"/>
      </w:pPr>
      <w:r>
        <w:rPr>
          <w:b/>
          <w:bCs/>
          <w:color w:val="595959"/>
          <w:sz w:val="20"/>
          <w:szCs w:val="20"/>
        </w:rPr>
        <w:t xml:space="preserve">Framework link: </w:t>
      </w:r>
      <w:r>
        <w:rPr>
          <w:i/>
          <w:iCs/>
          <w:color w:val="595959"/>
          <w:sz w:val="20"/>
          <w:szCs w:val="20"/>
        </w:rPr>
        <w:t xml:space="preserve">UNESCO AI CFT — Ethics of AI</w:t>
      </w:r>
      <w:r>
        <w:rPr>
          <w:color w:val="595959"/>
          <w:sz w:val="20"/>
          <w:szCs w:val="20"/>
        </w:rPr>
        <w:t xml:space="preserve">   |   </w:t>
      </w:r>
      <w:r>
        <w:rPr>
          <w:b/>
          <w:bCs/>
          <w:color w:val="595959"/>
          <w:sz w:val="20"/>
          <w:szCs w:val="20"/>
        </w:rPr>
        <w:t xml:space="preserve">Estimated time: </w:t>
      </w:r>
      <w:r>
        <w:rPr>
          <w:color w:val="595959"/>
          <w:sz w:val="20"/>
          <w:szCs w:val="20"/>
        </w:rPr>
        <w:t xml:space="preserve">2–2.5 hrs</w:t>
      </w:r>
    </w:p>
    <w:p>
      <w:pPr>
        <w:spacing w:after="40" w:before="120"/>
      </w:pPr>
      <w:r>
        <w:rPr>
          <w:b/>
          <w:bCs/>
          <w:color w:val="1F4E5F"/>
        </w:rPr>
        <w:t xml:space="preserve">Learning objectives</w:t>
      </w:r>
    </w:p>
    <w:p>
      <w:pPr>
        <w:pStyle w:val="ListParagraph"/>
        <w:numPr>
          <w:ilvl w:val="0"/>
          <w:numId w:val="2"/>
        </w:numPr>
        <w:spacing w:after="60"/>
      </w:pPr>
      <w:r>
        <w:t xml:space="preserve">Explain the inaccuracy of AI outputs (hallucination)</w:t>
      </w:r>
    </w:p>
    <w:p>
      <w:pPr>
        <w:pStyle w:val="ListParagraph"/>
        <w:numPr>
          <w:ilvl w:val="0"/>
          <w:numId w:val="2"/>
        </w:numPr>
        <w:spacing w:after="60"/>
      </w:pPr>
      <w:r>
        <w:t xml:space="preserve">Identify how bias can enter AI systems and surface in outputs</w:t>
      </w:r>
    </w:p>
    <w:p>
      <w:pPr>
        <w:pStyle w:val="ListParagraph"/>
        <w:numPr>
          <w:ilvl w:val="0"/>
          <w:numId w:val="2"/>
        </w:numPr>
        <w:spacing w:after="60"/>
      </w:pPr>
      <w:r>
        <w:t xml:space="preserve">Describe privacy risks of entering student information into AI tools</w:t>
      </w:r>
    </w:p>
    <w:p>
      <w:pPr>
        <w:pStyle w:val="ListParagraph"/>
        <w:numPr>
          <w:ilvl w:val="0"/>
          <w:numId w:val="2"/>
        </w:numPr>
        <w:spacing w:after="60"/>
      </w:pPr>
      <w:r>
        <w:t xml:space="preserve">Explain cognitive offloading, with evidence for both learning benefits and harms</w:t>
      </w:r>
    </w:p>
    <w:p>
      <w:pPr>
        <w:pStyle w:val="ListParagraph"/>
        <w:numPr>
          <w:ilvl w:val="0"/>
          <w:numId w:val="2"/>
        </w:numPr>
        <w:spacing w:after="60"/>
      </w:pPr>
      <w:r>
        <w:t xml:space="preserve">Apply four key questions before trusting or using AI output</w:t>
      </w:r>
    </w:p>
    <w:p>
      <w:pPr>
        <w:spacing w:after="40" w:before="120"/>
      </w:pPr>
      <w:r>
        <w:rPr>
          <w:b/>
          <w:bCs/>
          <w:color w:val="1F4E5F"/>
        </w:rPr>
        <w:t xml:space="preserve">Key topics</w:t>
      </w:r>
    </w:p>
    <w:p>
      <w:pPr>
        <w:pStyle w:val="ListParagraph"/>
        <w:numPr>
          <w:ilvl w:val="0"/>
          <w:numId w:val="2"/>
        </w:numPr>
        <w:spacing w:after="60"/>
      </w:pPr>
      <w:r>
        <w:t xml:space="preserve">AI hallucination and reliability</w:t>
      </w:r>
    </w:p>
    <w:p>
      <w:pPr>
        <w:pStyle w:val="ListParagraph"/>
        <w:numPr>
          <w:ilvl w:val="0"/>
          <w:numId w:val="2"/>
        </w:numPr>
        <w:spacing w:after="60"/>
      </w:pPr>
      <w:r>
        <w:t xml:space="preserve">Sources of bias in AI systems</w:t>
      </w:r>
    </w:p>
    <w:p>
      <w:pPr>
        <w:pStyle w:val="ListParagraph"/>
        <w:numPr>
          <w:ilvl w:val="0"/>
          <w:numId w:val="2"/>
        </w:numPr>
        <w:spacing w:after="60"/>
      </w:pPr>
      <w:r>
        <w:t xml:space="preserve">Student data privacy risks</w:t>
      </w:r>
    </w:p>
    <w:p>
      <w:pPr>
        <w:pStyle w:val="ListParagraph"/>
        <w:numPr>
          <w:ilvl w:val="0"/>
          <w:numId w:val="2"/>
        </w:numPr>
        <w:spacing w:after="60"/>
      </w:pPr>
      <w:r>
        <w:t xml:space="preserve">Cognitive offloading: helpful vs. harmful use</w:t>
      </w:r>
    </w:p>
    <w:p>
      <w:pPr>
        <w:pStyle w:val="ListParagraph"/>
        <w:numPr>
          <w:ilvl w:val="0"/>
          <w:numId w:val="2"/>
        </w:numPr>
        <w:spacing w:after="60"/>
      </w:pPr>
      <w:r>
        <w:t xml:space="preserve">A 4-question checklist for evaluating AI output</w:t>
      </w:r>
    </w:p>
    <w:p>
      <w:pPr>
        <w:spacing w:after="40" w:before="120"/>
      </w:pPr>
      <w:r>
        <w:rPr>
          <w:b/>
          <w:bCs/>
          <w:color w:val="1F4E5F"/>
        </w:rPr>
        <w:t xml:space="preserve">Suggested self-paced activities</w:t>
      </w:r>
    </w:p>
    <w:p>
      <w:pPr>
        <w:pStyle w:val="ListParagraph"/>
        <w:numPr>
          <w:ilvl w:val="0"/>
          <w:numId w:val="2"/>
        </w:numPr>
        <w:spacing w:after="60"/>
      </w:pPr>
      <w:r>
        <w:t xml:space="preserve">Fact-check exercise: spot a hallucinated AI output</w:t>
      </w:r>
    </w:p>
    <w:p>
      <w:pPr>
        <w:pStyle w:val="ListParagraph"/>
        <w:numPr>
          <w:ilvl w:val="0"/>
          <w:numId w:val="2"/>
        </w:numPr>
        <w:spacing w:after="60"/>
      </w:pPr>
      <w:r>
        <w:t xml:space="preserve">Case studies on bias in AI-generated content</w:t>
      </w:r>
    </w:p>
    <w:p>
      <w:pPr>
        <w:pStyle w:val="ListParagraph"/>
        <w:numPr>
          <w:ilvl w:val="0"/>
          <w:numId w:val="2"/>
        </w:numPr>
        <w:spacing w:after="60"/>
      </w:pPr>
      <w:r>
        <w:t xml:space="preserve">Practice applying the 4-question checklist to a sample AI response</w:t>
      </w:r>
    </w:p>
    <w:p>
      <w:pPr>
        <w:spacing w:after="40" w:before="120"/>
      </w:pPr>
      <w:r>
        <w:rPr>
          <w:b/>
          <w:bCs/>
          <w:color w:val="1F4E5F"/>
        </w:rPr>
        <w:t xml:space="preserve">Knowledge check</w:t>
      </w:r>
    </w:p>
    <w:p>
      <w:pPr>
        <w:spacing w:after="120"/>
      </w:pPr>
      <w:r>
        <w:t xml:space="preserve">Scenario-based quiz applying the 4-question checklist.</w:t>
      </w:r>
    </w:p>
    <w:p>
      <w:pPr>
        <w:pStyle w:val="Heading2"/>
        <w:spacing w:after="120" w:before="280"/>
      </w:pPr>
      <w:r>
        <w:t xml:space="preserve">Module 5: AI Tools for Teachers</w:t>
      </w:r>
    </w:p>
    <w:p>
      <w:pPr>
        <w:spacing w:after="140"/>
      </w:pPr>
      <w:r>
        <w:rPr>
          <w:b/>
          <w:bCs/>
          <w:color w:val="595959"/>
          <w:sz w:val="20"/>
          <w:szCs w:val="20"/>
        </w:rPr>
        <w:t xml:space="preserve">Framework link: </w:t>
      </w:r>
      <w:r>
        <w:rPr>
          <w:i/>
          <w:iCs/>
          <w:color w:val="595959"/>
          <w:sz w:val="20"/>
          <w:szCs w:val="20"/>
        </w:rPr>
        <w:t xml:space="preserve">UNESCO AI CFT — AI Pedagogy; Professional Learning</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Know and be able to use key AI tools that can support teaching and learning</w:t>
      </w:r>
    </w:p>
    <w:p>
      <w:pPr>
        <w:pStyle w:val="ListParagraph"/>
        <w:numPr>
          <w:ilvl w:val="0"/>
          <w:numId w:val="2"/>
        </w:numPr>
        <w:spacing w:after="60"/>
      </w:pPr>
      <w:r>
        <w:t xml:space="preserve">Apply the PARTS formula when prompting AI tools</w:t>
      </w:r>
    </w:p>
    <w:p>
      <w:pPr>
        <w:spacing w:after="40" w:before="120"/>
      </w:pPr>
      <w:r>
        <w:rPr>
          <w:b/>
          <w:bCs/>
          <w:color w:val="1F4E5F"/>
        </w:rPr>
        <w:t xml:space="preserve">Key topics</w:t>
      </w:r>
    </w:p>
    <w:p>
      <w:pPr>
        <w:pStyle w:val="ListParagraph"/>
        <w:numPr>
          <w:ilvl w:val="0"/>
          <w:numId w:val="2"/>
        </w:numPr>
        <w:spacing w:after="60"/>
      </w:pPr>
      <w:r>
        <w:t xml:space="preserve">Overview of AI tools relevant to classroom and administrative use</w:t>
      </w:r>
    </w:p>
    <w:p>
      <w:pPr>
        <w:pStyle w:val="ListParagraph"/>
        <w:numPr>
          <w:ilvl w:val="0"/>
          <w:numId w:val="2"/>
        </w:numPr>
        <w:spacing w:after="60"/>
      </w:pPr>
      <w:r>
        <w:t xml:space="preserve">The PARTS prompting formula</w:t>
      </w:r>
    </w:p>
    <w:p>
      <w:pPr>
        <w:spacing w:after="40" w:before="120"/>
      </w:pPr>
      <w:r>
        <w:rPr>
          <w:b/>
          <w:bCs/>
          <w:color w:val="1F4E5F"/>
        </w:rPr>
        <w:t xml:space="preserve">Suggested self-paced activities</w:t>
      </w:r>
    </w:p>
    <w:p>
      <w:pPr>
        <w:pStyle w:val="ListParagraph"/>
        <w:numPr>
          <w:ilvl w:val="0"/>
          <w:numId w:val="2"/>
        </w:numPr>
        <w:spacing w:after="60"/>
      </w:pPr>
      <w:r>
        <w:t xml:space="preserve">Guided walkthrough of 2–3 AI tools for lesson prep or admin tasks</w:t>
      </w:r>
    </w:p>
    <w:p>
      <w:pPr>
        <w:pStyle w:val="ListParagraph"/>
        <w:numPr>
          <w:ilvl w:val="0"/>
          <w:numId w:val="2"/>
        </w:numPr>
        <w:spacing w:after="60"/>
      </w:pPr>
      <w:r>
        <w:t xml:space="preserve">Practice writing prompts using the PARTS formula</w:t>
      </w:r>
    </w:p>
    <w:p>
      <w:pPr>
        <w:pStyle w:val="ListParagraph"/>
        <w:numPr>
          <w:ilvl w:val="0"/>
          <w:numId w:val="2"/>
        </w:numPr>
        <w:spacing w:after="60"/>
      </w:pPr>
      <w:r>
        <w:t xml:space="preserve">Build one reusable prompt template for own teaching context</w:t>
      </w:r>
    </w:p>
    <w:p>
      <w:pPr>
        <w:spacing w:after="40" w:before="120"/>
      </w:pPr>
      <w:r>
        <w:rPr>
          <w:b/>
          <w:bCs/>
          <w:color w:val="1F4E5F"/>
        </w:rPr>
        <w:t xml:space="preserve">Knowledge check</w:t>
      </w:r>
    </w:p>
    <w:p>
      <w:pPr>
        <w:spacing w:after="120"/>
      </w:pPr>
      <w:r>
        <w:t xml:space="preserve">Submit one original PARTS-formula prompt as portfolio evidence.</w:t>
      </w:r>
    </w:p>
    <w:p>
      <w:pPr>
        <w:pStyle w:val="Heading2"/>
        <w:spacing w:after="120" w:before="280"/>
      </w:pPr>
      <w:r>
        <w:t xml:space="preserve">Module 6: Using AI for Feedback and Assessment</w:t>
      </w:r>
    </w:p>
    <w:p>
      <w:pPr>
        <w:spacing w:after="140"/>
      </w:pPr>
      <w:r>
        <w:rPr>
          <w:b/>
          <w:bCs/>
          <w:color w:val="595959"/>
          <w:sz w:val="20"/>
          <w:szCs w:val="20"/>
        </w:rPr>
        <w:t xml:space="preserve">Framework link: </w:t>
      </w:r>
      <w:r>
        <w:rPr>
          <w:i/>
          <w:iCs/>
          <w:color w:val="595959"/>
          <w:sz w:val="20"/>
          <w:szCs w:val="20"/>
        </w:rPr>
        <w:t xml:space="preserve">UNESCO AI CFT — AI Pedagogy</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Explore how AI can be used to provide feedback on student work</w:t>
      </w:r>
    </w:p>
    <w:p>
      <w:pPr>
        <w:pStyle w:val="ListParagraph"/>
        <w:numPr>
          <w:ilvl w:val="0"/>
          <w:numId w:val="2"/>
        </w:numPr>
        <w:spacing w:after="60"/>
      </w:pPr>
      <w:r>
        <w:t xml:space="preserve">Explain the difference between formative and summative assessment and how AI can support both</w:t>
      </w:r>
    </w:p>
    <w:p>
      <w:pPr>
        <w:pStyle w:val="ListParagraph"/>
        <w:numPr>
          <w:ilvl w:val="0"/>
          <w:numId w:val="2"/>
        </w:numPr>
        <w:spacing w:after="60"/>
      </w:pPr>
      <w:r>
        <w:t xml:space="preserve">Use the Hattie and Timberley three-question model to review AI-generated feedback on student work</w:t>
      </w:r>
    </w:p>
    <w:p>
      <w:pPr>
        <w:pStyle w:val="ListParagraph"/>
        <w:numPr>
          <w:ilvl w:val="0"/>
          <w:numId w:val="2"/>
        </w:numPr>
        <w:spacing w:after="60"/>
      </w:pPr>
      <w:r>
        <w:t xml:space="preserve">Explain why AI-written feedback should function as a "feedback bank," with the final decision on feedback resting with the teacher</w:t>
      </w:r>
    </w:p>
    <w:p>
      <w:pPr>
        <w:spacing w:after="40" w:before="120"/>
      </w:pPr>
      <w:r>
        <w:rPr>
          <w:b/>
          <w:bCs/>
          <w:color w:val="1F4E5F"/>
        </w:rPr>
        <w:t xml:space="preserve">Key topics</w:t>
      </w:r>
    </w:p>
    <w:p>
      <w:pPr>
        <w:pStyle w:val="ListParagraph"/>
        <w:numPr>
          <w:ilvl w:val="0"/>
          <w:numId w:val="2"/>
        </w:numPr>
        <w:spacing w:after="60"/>
      </w:pPr>
      <w:r>
        <w:t xml:space="preserve">Formative vs. summative assessment</w:t>
      </w:r>
    </w:p>
    <w:p>
      <w:pPr>
        <w:pStyle w:val="ListParagraph"/>
        <w:numPr>
          <w:ilvl w:val="0"/>
          <w:numId w:val="2"/>
        </w:numPr>
        <w:spacing w:after="60"/>
      </w:pPr>
      <w:r>
        <w:t xml:space="preserve">Hattie &amp; Timberley's three-question feedback model</w:t>
      </w:r>
    </w:p>
    <w:p>
      <w:pPr>
        <w:pStyle w:val="ListParagraph"/>
        <w:numPr>
          <w:ilvl w:val="0"/>
          <w:numId w:val="2"/>
        </w:numPr>
        <w:spacing w:after="60"/>
      </w:pPr>
      <w:r>
        <w:t xml:space="preserve">AI feedback as a starting point, not a final product</w:t>
      </w:r>
    </w:p>
    <w:p>
      <w:pPr>
        <w:spacing w:after="40" w:before="120"/>
      </w:pPr>
      <w:r>
        <w:rPr>
          <w:b/>
          <w:bCs/>
          <w:color w:val="1F4E5F"/>
        </w:rPr>
        <w:t xml:space="preserve">Suggested self-paced activities</w:t>
      </w:r>
    </w:p>
    <w:p>
      <w:pPr>
        <w:pStyle w:val="ListParagraph"/>
        <w:numPr>
          <w:ilvl w:val="0"/>
          <w:numId w:val="2"/>
        </w:numPr>
        <w:spacing w:after="60"/>
      </w:pPr>
      <w:r>
        <w:t xml:space="preserve">Generate AI feedback on a sample student work sample</w:t>
      </w:r>
    </w:p>
    <w:p>
      <w:pPr>
        <w:pStyle w:val="ListParagraph"/>
        <w:numPr>
          <w:ilvl w:val="0"/>
          <w:numId w:val="2"/>
        </w:numPr>
        <w:spacing w:after="60"/>
      </w:pPr>
      <w:r>
        <w:t xml:space="preserve">Review the AI feedback using the Hattie &amp; Timberley model</w:t>
      </w:r>
    </w:p>
    <w:p>
      <w:pPr>
        <w:pStyle w:val="ListParagraph"/>
        <w:numPr>
          <w:ilvl w:val="0"/>
          <w:numId w:val="2"/>
        </w:numPr>
        <w:spacing w:after="60"/>
      </w:pPr>
      <w:r>
        <w:t xml:space="preserve">Edit the AI feedback into a final, teacher-approved version</w:t>
      </w:r>
    </w:p>
    <w:p>
      <w:pPr>
        <w:spacing w:after="40" w:before="120"/>
      </w:pPr>
      <w:r>
        <w:rPr>
          <w:b/>
          <w:bCs/>
          <w:color w:val="1F4E5F"/>
        </w:rPr>
        <w:t xml:space="preserve">Knowledge check</w:t>
      </w:r>
    </w:p>
    <w:p>
      <w:pPr>
        <w:spacing w:after="120"/>
      </w:pPr>
      <w:r>
        <w:t xml:space="preserve">Applied task: submit before/after feedback (AI draft vs. teacher-edited final).</w:t>
      </w:r>
    </w:p>
    <w:p>
      <w:pPr>
        <w:pStyle w:val="Heading2"/>
        <w:spacing w:after="120" w:before="280"/>
      </w:pPr>
      <w:r>
        <w:t xml:space="preserve">Module 7: Child Safety and Ethics in AI Use</w:t>
      </w:r>
    </w:p>
    <w:p>
      <w:pPr>
        <w:spacing w:after="140"/>
      </w:pPr>
      <w:r>
        <w:rPr>
          <w:b/>
          <w:bCs/>
          <w:color w:val="595959"/>
          <w:sz w:val="20"/>
          <w:szCs w:val="20"/>
        </w:rPr>
        <w:t xml:space="preserve">Framework link: </w:t>
      </w:r>
      <w:r>
        <w:rPr>
          <w:i/>
          <w:iCs/>
          <w:color w:val="595959"/>
          <w:sz w:val="20"/>
          <w:szCs w:val="20"/>
        </w:rPr>
        <w:t xml:space="preserve">UNESCO AI CFT — Ethics of AI</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Explain why children need more protection than adults within AI systems</w:t>
      </w:r>
    </w:p>
    <w:p>
      <w:pPr>
        <w:pStyle w:val="ListParagraph"/>
        <w:numPr>
          <w:ilvl w:val="0"/>
          <w:numId w:val="2"/>
        </w:numPr>
        <w:spacing w:after="60"/>
      </w:pPr>
      <w:r>
        <w:t xml:space="preserve">Apply UNESCO's guidance on AI ethics and UNICEF's nine guiding principles related to children and AI</w:t>
      </w:r>
    </w:p>
    <w:p>
      <w:pPr>
        <w:pStyle w:val="ListParagraph"/>
        <w:numPr>
          <w:ilvl w:val="0"/>
          <w:numId w:val="2"/>
        </w:numPr>
        <w:spacing w:after="60"/>
      </w:pPr>
      <w:r>
        <w:t xml:space="preserve">Identify safe practices for using children's images in AI tools</w:t>
      </w:r>
    </w:p>
    <w:p>
      <w:pPr>
        <w:spacing w:after="40" w:before="120"/>
      </w:pPr>
      <w:r>
        <w:rPr>
          <w:b/>
          <w:bCs/>
          <w:color w:val="1F4E5F"/>
        </w:rPr>
        <w:t xml:space="preserve">Key topics</w:t>
      </w:r>
    </w:p>
    <w:p>
      <w:pPr>
        <w:pStyle w:val="ListParagraph"/>
        <w:numPr>
          <w:ilvl w:val="0"/>
          <w:numId w:val="2"/>
        </w:numPr>
        <w:spacing w:after="60"/>
      </w:pPr>
      <w:r>
        <w:t xml:space="preserve">Why children require heightened protection in AI systems</w:t>
      </w:r>
    </w:p>
    <w:p>
      <w:pPr>
        <w:pStyle w:val="ListParagraph"/>
        <w:numPr>
          <w:ilvl w:val="0"/>
          <w:numId w:val="2"/>
        </w:numPr>
        <w:spacing w:after="60"/>
      </w:pPr>
      <w:r>
        <w:t xml:space="preserve">UNESCO ethics guidance and UNICEF's 9 guiding principles</w:t>
      </w:r>
    </w:p>
    <w:p>
      <w:pPr>
        <w:pStyle w:val="ListParagraph"/>
        <w:numPr>
          <w:ilvl w:val="0"/>
          <w:numId w:val="2"/>
        </w:numPr>
        <w:spacing w:after="60"/>
      </w:pPr>
      <w:r>
        <w:t xml:space="preserve">Safe handling of children's images and personal data</w:t>
      </w:r>
    </w:p>
    <w:p>
      <w:pPr>
        <w:spacing w:after="40" w:before="120"/>
      </w:pPr>
      <w:r>
        <w:rPr>
          <w:b/>
          <w:bCs/>
          <w:color w:val="1F4E5F"/>
        </w:rPr>
        <w:t xml:space="preserve">Suggested self-paced activities</w:t>
      </w:r>
    </w:p>
    <w:p>
      <w:pPr>
        <w:pStyle w:val="ListParagraph"/>
        <w:numPr>
          <w:ilvl w:val="0"/>
          <w:numId w:val="2"/>
        </w:numPr>
        <w:spacing w:after="60"/>
      </w:pPr>
      <w:r>
        <w:t xml:space="preserve">Review UNICEF's 9 guiding principles with classroom examples</w:t>
      </w:r>
    </w:p>
    <w:p>
      <w:pPr>
        <w:pStyle w:val="ListParagraph"/>
        <w:numPr>
          <w:ilvl w:val="0"/>
          <w:numId w:val="2"/>
        </w:numPr>
        <w:spacing w:after="60"/>
      </w:pPr>
      <w:r>
        <w:t xml:space="preserve">Audit checklist: is this classroom AI use child-safe?</w:t>
      </w:r>
    </w:p>
    <w:p>
      <w:pPr>
        <w:spacing w:after="40" w:before="120"/>
      </w:pPr>
      <w:r>
        <w:rPr>
          <w:b/>
          <w:bCs/>
          <w:color w:val="1F4E5F"/>
        </w:rPr>
        <w:t xml:space="preserve">Knowledge check</w:t>
      </w:r>
    </w:p>
    <w:p>
      <w:pPr>
        <w:spacing w:after="120"/>
      </w:pPr>
      <w:r>
        <w:t xml:space="preserve">Checklist-based self-audit submitted as portfolio evidence.</w:t>
      </w:r>
    </w:p>
    <w:p>
      <w:pPr>
        <w:pStyle w:val="Heading2"/>
        <w:spacing w:after="120" w:before="280"/>
      </w:pPr>
      <w:r>
        <w:t xml:space="preserve">Module 8: Helping Students Prepare for an AI-Driven World</w:t>
      </w:r>
    </w:p>
    <w:p>
      <w:pPr>
        <w:spacing w:after="140"/>
      </w:pPr>
      <w:r>
        <w:rPr>
          <w:b/>
          <w:bCs/>
          <w:color w:val="595959"/>
          <w:sz w:val="20"/>
          <w:szCs w:val="20"/>
        </w:rPr>
        <w:t xml:space="preserve">Framework link: </w:t>
      </w:r>
      <w:r>
        <w:rPr>
          <w:i/>
          <w:iCs/>
          <w:color w:val="595959"/>
          <w:sz w:val="20"/>
          <w:szCs w:val="20"/>
        </w:rPr>
        <w:t xml:space="preserve">UNESCO AI CFS — Understand level, all 4 dimensions</w:t>
      </w:r>
      <w:r>
        <w:rPr>
          <w:color w:val="595959"/>
          <w:sz w:val="20"/>
          <w:szCs w:val="20"/>
        </w:rPr>
        <w:t xml:space="preserve">   |   </w:t>
      </w:r>
      <w:r>
        <w:rPr>
          <w:b/>
          <w:bCs/>
          <w:color w:val="595959"/>
          <w:sz w:val="20"/>
          <w:szCs w:val="20"/>
        </w:rPr>
        <w:t xml:space="preserve">Estimated time: </w:t>
      </w:r>
      <w:r>
        <w:rPr>
          <w:color w:val="595959"/>
          <w:sz w:val="20"/>
          <w:szCs w:val="20"/>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Introduce the AI Competency Framework for Students (12 competencies, 4 dimensions)</w:t>
      </w:r>
    </w:p>
    <w:p>
      <w:pPr>
        <w:pStyle w:val="ListParagraph"/>
        <w:numPr>
          <w:ilvl w:val="0"/>
          <w:numId w:val="2"/>
        </w:numPr>
        <w:spacing w:after="60"/>
      </w:pPr>
      <w:r>
        <w:t xml:space="preserve">Explain Druga et al. (2017) findings on children's perceptions of AI, to teach AI concepts to children accurately</w:t>
      </w:r>
    </w:p>
    <w:p>
      <w:pPr>
        <w:pStyle w:val="ListParagraph"/>
        <w:numPr>
          <w:ilvl w:val="0"/>
          <w:numId w:val="2"/>
        </w:numPr>
        <w:spacing w:after="60"/>
      </w:pPr>
      <w:r>
        <w:t xml:space="preserve">Design a simple classroom activity to help students build AI literacy</w:t>
      </w:r>
    </w:p>
    <w:p>
      <w:pPr>
        <w:spacing w:after="40" w:before="120"/>
      </w:pPr>
      <w:r>
        <w:rPr>
          <w:b/>
          <w:bCs/>
          <w:color w:val="1F4E5F"/>
        </w:rPr>
        <w:t xml:space="preserve">Key topics</w:t>
      </w:r>
    </w:p>
    <w:p>
      <w:pPr>
        <w:pStyle w:val="ListParagraph"/>
        <w:numPr>
          <w:ilvl w:val="0"/>
          <w:numId w:val="2"/>
        </w:numPr>
        <w:spacing w:after="60"/>
      </w:pPr>
      <w:r>
        <w:t xml:space="preserve">The AI Competency Framework for Students: 4 dimensions, 12 competencies</w:t>
      </w:r>
    </w:p>
    <w:p>
      <w:pPr>
        <w:pStyle w:val="ListParagraph"/>
        <w:numPr>
          <w:ilvl w:val="0"/>
          <w:numId w:val="2"/>
        </w:numPr>
        <w:spacing w:after="60"/>
      </w:pPr>
      <w:r>
        <w:t xml:space="preserve">How children perceive and misunderstand AI (Druga et al., 2017)</w:t>
      </w:r>
    </w:p>
    <w:p>
      <w:pPr>
        <w:pStyle w:val="ListParagraph"/>
        <w:numPr>
          <w:ilvl w:val="0"/>
          <w:numId w:val="2"/>
        </w:numPr>
        <w:spacing w:after="60"/>
      </w:pPr>
      <w:r>
        <w:t xml:space="preserve">Age-appropriate classroom activities for teaching AI concepts</w:t>
      </w:r>
    </w:p>
    <w:p>
      <w:pPr>
        <w:spacing w:after="40" w:before="120"/>
      </w:pPr>
      <w:r>
        <w:rPr>
          <w:b/>
          <w:bCs/>
          <w:color w:val="1F4E5F"/>
        </w:rPr>
        <w:t xml:space="preserve">Suggested self-paced activities</w:t>
      </w:r>
    </w:p>
    <w:p>
      <w:pPr>
        <w:pStyle w:val="ListParagraph"/>
        <w:numPr>
          <w:ilvl w:val="0"/>
          <w:numId w:val="2"/>
        </w:numPr>
        <w:spacing w:after="60"/>
      </w:pPr>
      <w:r>
        <w:t xml:space="preserve">Review the student competency framework and identify grade-appropriate entry points</w:t>
      </w:r>
    </w:p>
    <w:p>
      <w:pPr>
        <w:pStyle w:val="ListParagraph"/>
        <w:numPr>
          <w:ilvl w:val="0"/>
          <w:numId w:val="2"/>
        </w:numPr>
        <w:spacing w:after="60"/>
      </w:pPr>
      <w:r>
        <w:t xml:space="preserve">Design one classroom activity introducing AI concepts to students</w:t>
      </w:r>
    </w:p>
    <w:p>
      <w:pPr>
        <w:spacing w:after="40" w:before="120"/>
      </w:pPr>
      <w:r>
        <w:rPr>
          <w:b/>
          <w:bCs/>
          <w:color w:val="1F4E5F"/>
        </w:rPr>
        <w:t xml:space="preserve">Knowledge check</w:t>
      </w:r>
    </w:p>
    <w:p>
      <w:pPr>
        <w:spacing w:after="120"/>
      </w:pPr>
      <w:r>
        <w:t xml:space="preserve">Submit final classroom activity plan — course capstone artifact.</w:t>
      </w:r>
    </w:p>
    <w:p>
      <w:pPr>
        <w:pStyle w:val="Heading1"/>
        <w:spacing w:after="160" w:before="360"/>
      </w:pPr>
      <w:r>
        <w:t xml:space="preserve">Assessment and Certification</w:t>
      </w:r>
    </w:p>
    <w:p>
      <w:pPr>
        <w:spacing w:after="120"/>
      </w:pPr>
      <w:r>
        <w:t xml:space="preserve">This course uses low-stakes, applied assessment throughout rather than a single high-stakes final exam:</w:t>
      </w:r>
    </w:p>
    <w:p>
      <w:pPr>
        <w:pStyle w:val="ListParagraph"/>
        <w:numPr>
          <w:ilvl w:val="0"/>
          <w:numId w:val="2"/>
        </w:numPr>
        <w:spacing w:after="60"/>
      </w:pPr>
      <w:r>
        <w:t xml:space="preserve">Each module includes either a short knowledge-check quiz or an applied task (e.g., a self-audit, an annotated lesson plan, a prompt template).</w:t>
      </w:r>
    </w:p>
    <w:p>
      <w:pPr>
        <w:pStyle w:val="ListParagraph"/>
        <w:numPr>
          <w:ilvl w:val="0"/>
          <w:numId w:val="2"/>
        </w:numPr>
        <w:spacing w:after="60"/>
      </w:pPr>
      <w:r>
        <w:t xml:space="preserve">Applied tasks are collected into a running portfolio of evidence.</w:t>
      </w:r>
    </w:p>
    <w:p>
      <w:pPr>
        <w:pStyle w:val="ListParagraph"/>
        <w:numPr>
          <w:ilvl w:val="0"/>
          <w:numId w:val="2"/>
        </w:numPr>
        <w:spacing w:after="60"/>
      </w:pPr>
      <w:r>
        <w:t xml:space="preserve">Module 8's classroom activity plan serves as the course capstone artifact.</w:t>
      </w:r>
    </w:p>
    <w:p>
      <w:pPr>
        <w:spacing w:after="40" w:before="120"/>
      </w:pPr>
      <w:r>
        <w:rPr>
          <w:b/>
          <w:bCs/>
          <w:color w:val="1F4E5F"/>
        </w:rPr>
        <w:t xml:space="preserve">Certificate requirements</w:t>
      </w:r>
    </w:p>
    <w:p>
      <w:pPr>
        <w:pStyle w:val="ListParagraph"/>
        <w:numPr>
          <w:ilvl w:val="0"/>
          <w:numId w:val="2"/>
        </w:numPr>
        <w:spacing w:after="60"/>
      </w:pPr>
      <w:r>
        <w:t xml:space="preserve">Complete all 9 modules</w:t>
      </w:r>
    </w:p>
    <w:p>
      <w:pPr>
        <w:pStyle w:val="ListParagraph"/>
        <w:numPr>
          <w:ilvl w:val="0"/>
          <w:numId w:val="2"/>
        </w:numPr>
        <w:spacing w:after="60"/>
      </w:pPr>
      <w:r>
        <w:t xml:space="preserve">Score 80% or higher on each knowledge-check quiz (retakes allowed)</w:t>
      </w:r>
    </w:p>
    <w:p>
      <w:pPr>
        <w:pStyle w:val="ListParagraph"/>
        <w:numPr>
          <w:ilvl w:val="0"/>
          <w:numId w:val="2"/>
        </w:numPr>
        <w:spacing w:after="60"/>
      </w:pPr>
      <w:r>
        <w:t xml:space="preserve">Submit all applied-task portfolio items, including the Module 8 capstone activity plan</w:t>
      </w:r>
    </w:p>
    <w:p>
      <w:pPr>
        <w:pStyle w:val="Heading1"/>
        <w:spacing w:after="160" w:before="360"/>
      </w:pPr>
      <w:r>
        <w:t xml:space="preserve">Support for Self-Paced Learners</w:t>
      </w:r>
    </w:p>
    <w:p>
      <w:pPr>
        <w:pStyle w:val="ListParagraph"/>
        <w:numPr>
          <w:ilvl w:val="0"/>
          <w:numId w:val="2"/>
        </w:numPr>
        <w:spacing w:after="60"/>
      </w:pPr>
      <w:r>
        <w:t xml:space="preserve">A discussion forum or peer cohort channel for questions and shared classroom examples</w:t>
      </w:r>
    </w:p>
    <w:p>
      <w:pPr>
        <w:pStyle w:val="ListParagraph"/>
        <w:numPr>
          <w:ilvl w:val="0"/>
          <w:numId w:val="2"/>
        </w:numPr>
        <w:spacing w:after="60"/>
      </w:pPr>
      <w:r>
        <w:t xml:space="preserve">Optional live office-hours or Q&amp;A sessions at the midpoint and end of the course</w:t>
      </w:r>
    </w:p>
    <w:p>
      <w:pPr>
        <w:pStyle w:val="ListParagraph"/>
        <w:numPr>
          <w:ilvl w:val="0"/>
          <w:numId w:val="2"/>
        </w:numPr>
        <w:spacing w:after="60"/>
      </w:pPr>
      <w:r>
        <w:t xml:space="preserve">A downloadable quick-reference guide summarizing the PARTS formula, the 4-question AI-output checklist, and the Hattie &amp; Timberley feedback model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2026-07-21T06:07:25.248Z</dcterms:created>
  <dcterms:modified xsi:type="dcterms:W3CDTF">2026-07-21T06:07:25.268Z</dcterms:modified>
</cp:coreProperties>
</file>

<file path=docProps/custom.xml><?xml version="1.0" encoding="utf-8"?>
<Properties xmlns="http://schemas.openxmlformats.org/officeDocument/2006/custom-properties" xmlns:vt="http://schemas.openxmlformats.org/officeDocument/2006/docPropsVTypes"/>
</file>