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4"/>
          <w:szCs w:val="34"/>
        </w:rPr>
        <w:t xml:space="preserve">Module 3: The Science of Learning and AI</w:t>
      </w:r>
    </w:p>
    <w:p>
      <w:pPr>
        <w:spacing w:after="300"/>
        <w:jc w:val="center"/>
      </w:pPr>
      <w:r>
        <w:rPr>
          <w:color w:val="595959"/>
          <w:sz w:val="26"/>
          <w:szCs w:val="26"/>
        </w:rPr>
        <w:t xml:space="preserve">Lesson Activities and Explainer Video Script</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CFT — AI Pedagogy</w:t>
      </w:r>
      <w:r>
        <w:rPr>
          <w:color w:val="595959"/>
        </w:rPr>
        <w:t xml:space="preserve">   |   </w:t>
      </w:r>
      <w:r>
        <w:rPr>
          <w:b/>
          <w:bCs/>
          <w:color w:val="595959"/>
        </w:rPr>
        <w:t xml:space="preserve">Total estimated time: </w:t>
      </w:r>
      <w:r>
        <w:rPr>
          <w:color w:val="595959"/>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Explain why teachers need to understand how students learn before deciding whether AI can help students learn effectively</w:t>
      </w:r>
    </w:p>
    <w:p>
      <w:pPr>
        <w:pStyle w:val="ListParagraph"/>
        <w:numPr>
          <w:ilvl w:val="0"/>
          <w:numId w:val="2"/>
        </w:numPr>
        <w:spacing w:after="60"/>
      </w:pPr>
      <w:r>
        <w:t xml:space="preserve">Describe Cognitive Load Theory and its application in designing lessons and worksheets</w:t>
      </w:r>
    </w:p>
    <w:p>
      <w:pPr>
        <w:pStyle w:val="ListParagraph"/>
        <w:numPr>
          <w:ilvl w:val="0"/>
          <w:numId w:val="2"/>
        </w:numPr>
        <w:spacing w:after="60"/>
      </w:pPr>
      <w:r>
        <w:t xml:space="preserve">Identify highly effective learning methods (active recall, spaced repetition) and less effective learning methods (repeated re-reading, highlighting)</w:t>
      </w:r>
    </w:p>
    <w:p>
      <w:pPr>
        <w:pStyle w:val="ListParagraph"/>
        <w:numPr>
          <w:ilvl w:val="0"/>
          <w:numId w:val="2"/>
        </w:numPr>
        <w:spacing w:after="60"/>
      </w:pPr>
      <w:r>
        <w:t xml:space="preserve">Explain the concept of "desirable difficulty"</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5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5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bCs/>
                <w:sz w:val="19"/>
                <w:szCs w:val="19"/>
              </w:rPr>
              <w:t xml:space="preserve">1</w:t>
            </w:r>
          </w:p>
        </w:tc>
        <w:tc>
          <w:tcPr>
            <w:tcW w:type="dxa" w:w="4200"/>
            <w:tcMar>
              <w:top w:type="dxa" w:w="100"/>
              <w:left w:type="dxa" w:w="120"/>
              <w:bottom w:type="dxa" w:w="100"/>
              <w:right w:type="dxa" w:w="120"/>
            </w:tcMar>
            <w:vAlign w:val="center"/>
          </w:tcPr>
          <w:p>
            <w:r>
              <w:rPr>
                <w:b w:val="false"/>
                <w:bCs w:val="false"/>
                <w:sz w:val="19"/>
                <w:szCs w:val="19"/>
              </w:rPr>
              <w:t xml:space="preserve">"How Students Actually Learn" Video</w:t>
            </w:r>
          </w:p>
        </w:tc>
        <w:tc>
          <w:tcPr>
            <w:tcW w:type="dxa" w:w="1800"/>
            <w:tcMar>
              <w:top w:type="dxa" w:w="100"/>
              <w:left w:type="dxa" w:w="120"/>
              <w:bottom w:type="dxa" w:w="100"/>
              <w:right w:type="dxa" w:w="120"/>
            </w:tcMar>
            <w:vAlign w:val="center"/>
          </w:tcPr>
          <w:p>
            <w:r>
              <w:rPr>
                <w:b w:val="false"/>
                <w:bCs w:val="false"/>
                <w:sz w:val="19"/>
                <w:szCs w:val="19"/>
              </w:rPr>
              <w:t xml:space="preserve">Watch</w:t>
            </w:r>
          </w:p>
        </w:tc>
        <w:tc>
          <w:tcPr>
            <w:tcW w:type="dxa" w:w="1500"/>
            <w:tcMar>
              <w:top w:type="dxa" w:w="100"/>
              <w:left w:type="dxa" w:w="120"/>
              <w:bottom w:type="dxa" w:w="100"/>
              <w:right w:type="dxa" w:w="120"/>
            </w:tcMar>
            <w:vAlign w:val="center"/>
          </w:tcPr>
          <w:p>
            <w:r>
              <w:rPr>
                <w:b w:val="false"/>
                <w:bCs w:val="false"/>
                <w:sz w:val="19"/>
                <w:szCs w:val="19"/>
              </w:rPr>
              <w:t xml:space="preserve">8–9 min</w:t>
            </w:r>
          </w:p>
        </w:tc>
      </w:tr>
      <w:tr>
        <w:tc>
          <w:tcPr>
            <w:tcW w:type="dxa" w:w="500"/>
            <w:shd w:fill="EAF1F3" w:val="clear"/>
            <w:tcMar>
              <w:top w:type="dxa" w:w="100"/>
              <w:left w:type="dxa" w:w="120"/>
              <w:bottom w:type="dxa" w:w="100"/>
              <w:right w:type="dxa" w:w="120"/>
            </w:tcMar>
            <w:vAlign w:val="center"/>
          </w:tcPr>
          <w:p>
            <w:r>
              <w:rPr>
                <w:b/>
                <w:bCs/>
                <w:sz w:val="19"/>
                <w:szCs w:val="19"/>
              </w:rPr>
              <w:t xml:space="preserve">2</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Quick-Reference: Effective vs. Ineffective Study Techniques</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Read</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10 min</w:t>
            </w:r>
          </w:p>
        </w:tc>
      </w:tr>
      <w:tr>
        <w:tc>
          <w:tcPr>
            <w:tcW w:type="dxa" w:w="500"/>
            <w:tcMar>
              <w:top w:type="dxa" w:w="100"/>
              <w:left w:type="dxa" w:w="120"/>
              <w:bottom w:type="dxa" w:w="100"/>
              <w:right w:type="dxa" w:w="120"/>
            </w:tcMar>
            <w:vAlign w:val="center"/>
          </w:tcPr>
          <w:p>
            <w:r>
              <w:rPr>
                <w:b/>
                <w:bCs/>
                <w:sz w:val="19"/>
                <w:szCs w:val="19"/>
              </w:rPr>
              <w:t xml:space="preserve">3</w:t>
            </w:r>
          </w:p>
        </w:tc>
        <w:tc>
          <w:tcPr>
            <w:tcW w:type="dxa" w:w="4200"/>
            <w:tcMar>
              <w:top w:type="dxa" w:w="100"/>
              <w:left w:type="dxa" w:w="120"/>
              <w:bottom w:type="dxa" w:w="100"/>
              <w:right w:type="dxa" w:w="120"/>
            </w:tcMar>
            <w:vAlign w:val="center"/>
          </w:tcPr>
          <w:p>
            <w:r>
              <w:rPr>
                <w:b w:val="false"/>
                <w:bCs w:val="false"/>
                <w:sz w:val="19"/>
                <w:szCs w:val="19"/>
              </w:rPr>
              <w:t xml:space="preserve">Worksheet Redesign Lab</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25 min</w:t>
            </w:r>
          </w:p>
        </w:tc>
      </w:tr>
      <w:tr>
        <w:tc>
          <w:tcPr>
            <w:tcW w:type="dxa" w:w="500"/>
            <w:shd w:fill="EAF1F3" w:val="clear"/>
            <w:tcMar>
              <w:top w:type="dxa" w:w="100"/>
              <w:left w:type="dxa" w:w="120"/>
              <w:bottom w:type="dxa" w:w="100"/>
              <w:right w:type="dxa" w:w="120"/>
            </w:tcMar>
            <w:vAlign w:val="center"/>
          </w:tcPr>
          <w:p>
            <w:r>
              <w:rPr>
                <w:b/>
                <w:bCs/>
                <w:sz w:val="19"/>
                <w:szCs w:val="19"/>
              </w:rPr>
              <w:t xml:space="preserve">4</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Case Study: Spot the Desirable Difficulty</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Do</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15 min</w:t>
            </w:r>
          </w:p>
        </w:tc>
      </w:tr>
      <w:tr>
        <w:tc>
          <w:tcPr>
            <w:tcW w:type="dxa" w:w="500"/>
            <w:tcMar>
              <w:top w:type="dxa" w:w="100"/>
              <w:left w:type="dxa" w:w="120"/>
              <w:bottom w:type="dxa" w:w="100"/>
              <w:right w:type="dxa" w:w="120"/>
            </w:tcMar>
            <w:vAlign w:val="center"/>
          </w:tcPr>
          <w:p>
            <w:r>
              <w:rPr>
                <w:b/>
                <w:bCs/>
                <w:sz w:val="19"/>
                <w:szCs w:val="19"/>
              </w:rPr>
              <w:t xml:space="preserve">5</w:t>
            </w:r>
          </w:p>
        </w:tc>
        <w:tc>
          <w:tcPr>
            <w:tcW w:type="dxa" w:w="4200"/>
            <w:tcMar>
              <w:top w:type="dxa" w:w="100"/>
              <w:left w:type="dxa" w:w="120"/>
              <w:bottom w:type="dxa" w:w="100"/>
              <w:right w:type="dxa" w:w="120"/>
            </w:tcMar>
            <w:vAlign w:val="center"/>
          </w:tcPr>
          <w:p>
            <w:r>
              <w:rPr>
                <w:b w:val="false"/>
                <w:bCs w:val="false"/>
                <w:sz w:val="19"/>
                <w:szCs w:val="19"/>
              </w:rPr>
              <w:t xml:space="preserve">Applied Task: Annotate a Lesson Plan (Knowledge Check)</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20 min</w:t>
            </w:r>
          </w:p>
        </w:tc>
      </w:tr>
    </w:tbl>
    <w:p>
      <w:r>
        <w:br w:type="page"/>
      </w:r>
    </w:p>
    <w:p>
      <w:pPr>
        <w:pStyle w:val="Heading1"/>
        <w:spacing w:after="160" w:before="360"/>
      </w:pPr>
      <w:r>
        <w:t xml:space="preserve">Activity 1 — "How Students Actually Learn" Video (Watch, 8–9 min)</w:t>
      </w:r>
    </w:p>
    <w:p>
      <w:pPr>
        <w:spacing w:after="120"/>
      </w:pPr>
      <w:r>
        <w:t xml:space="preserve">An explainer video covering Cognitive Load Theory, effective vs. ineffective study methods, and desirable difficulty — the learning-science foundation for evaluating any AI tool.</w:t>
      </w:r>
    </w:p>
    <w:p>
      <w:pPr>
        <w:spacing w:after="40" w:before="120"/>
      </w:pPr>
      <w:r>
        <w:rPr>
          <w:b/>
          <w:bCs/>
          <w:color w:val="1F4E5F"/>
        </w:rPr>
        <w:t xml:space="preserve">Learner instructions</w:t>
      </w:r>
    </w:p>
    <w:p>
      <w:pPr>
        <w:spacing w:after="120"/>
      </w:pPr>
      <w:r>
        <w:t xml:space="preserve">"Watch the video below once, all the way through. You'll apply these ideas directly in the worksheet redesign and lesson plan activities that follow."</w:t>
      </w:r>
    </w:p>
    <w:p>
      <w:pPr>
        <w:pStyle w:val="Heading2"/>
        <w:spacing w:after="120" w:before="280"/>
      </w:pPr>
      <w:r>
        <w:t xml:space="preserve">Video Script: "How Students Actually Learn"</w:t>
      </w:r>
    </w:p>
    <w:p>
      <w:pPr>
        <w:spacing w:after="120"/>
      </w:pPr>
      <w:r>
        <w:t xml:space="preserve">Target length: 7 minutes. Format: host on camera and/or voiceover with animated diagrams for Segments 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vAlign w:val="center"/>
          </w:tcPr>
          <w:p>
            <w:r>
              <w:rPr>
                <w:b/>
                <w:bCs/>
                <w:sz w:val="19"/>
                <w:szCs w:val="19"/>
              </w:rPr>
              <w:t xml:space="preserve">1. Cold open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0:00–0:35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On-screen text: "Can AI help students learn? Wrong question to start with."</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"Can AI help students learn? That's actually the wrong question to start with. The right first question is: how do students learn in the first place? Once you know that, you can judge any tool — AI included — by whether it actually supports that process."</w:t>
            </w:r>
          </w:p>
        </w:tc>
      </w:tr>
      <w:tr>
        <w:tc>
          <w:tcPr>
            <w:tcW w:type="dxa" w:w="1300"/>
            <w:tcMar>
              <w:top w:type="dxa" w:w="100"/>
              <w:left w:type="dxa" w:w="120"/>
              <w:bottom w:type="dxa" w:w="100"/>
              <w:right w:type="dxa" w:w="120"/>
            </w:tcMar>
            <w:vAlign w:val="center"/>
          </w:tcPr>
          <w:p>
            <w:r>
              <w:rPr>
                <w:b/>
                <w:bCs/>
                <w:sz w:val="19"/>
                <w:szCs w:val="19"/>
              </w:rPr>
              <w:t xml:space="preserve">2. Why learning science comes first</w:t>
            </w:r>
          </w:p>
        </w:tc>
        <w:tc>
          <w:tcPr>
            <w:tcW w:type="dxa" w:w="1100"/>
            <w:tcMar>
              <w:top w:type="dxa" w:w="100"/>
              <w:left w:type="dxa" w:w="120"/>
              <w:bottom w:type="dxa" w:w="100"/>
              <w:right w:type="dxa" w:w="120"/>
            </w:tcMar>
            <w:vAlign w:val="center"/>
          </w:tcPr>
          <w:p>
            <w:r>
              <w:rPr>
                <w:b w:val="false"/>
                <w:bCs w:val="false"/>
                <w:sz w:val="19"/>
                <w:szCs w:val="19"/>
              </w:rPr>
              <w:t xml:space="preserve">0:35–1:20</w:t>
            </w:r>
          </w:p>
        </w:tc>
        <w:tc>
          <w:tcPr>
            <w:tcW w:type="dxa" w:w="3000"/>
            <w:tcMar>
              <w:top w:type="dxa" w:w="100"/>
              <w:left w:type="dxa" w:w="120"/>
              <w:bottom w:type="dxa" w:w="100"/>
              <w:right w:type="dxa" w:w="120"/>
            </w:tcMar>
            <w:vAlign w:val="center"/>
          </w:tcPr>
          <w:p>
            <w:r>
              <w:rPr>
                <w:b w:val="false"/>
                <w:bCs w:val="false"/>
                <w:sz w:val="19"/>
                <w:szCs w:val="19"/>
              </w:rPr>
              <w:t xml:space="preserve">Simple graphic: "AI Tool" arrow pointing into a box labeled "?", then relabeled "Learning Science" once the box is understood.</w:t>
            </w:r>
          </w:p>
        </w:tc>
        <w:tc>
          <w:tcPr>
            <w:tcW w:type="dxa" w:w="3600"/>
            <w:tcMar>
              <w:top w:type="dxa" w:w="100"/>
              <w:left w:type="dxa" w:w="120"/>
              <w:bottom w:type="dxa" w:w="100"/>
              <w:right w:type="dxa" w:w="120"/>
            </w:tcMar>
            <w:vAlign w:val="center"/>
          </w:tcPr>
          <w:p>
            <w:r>
              <w:rPr>
                <w:b w:val="false"/>
                <w:bCs w:val="false"/>
                <w:sz w:val="19"/>
                <w:szCs w:val="19"/>
              </w:rPr>
              <w:t xml:space="preserve">"Any AI tool can look impressive in a demo. But the only real test is whether it works with how memory and attention actually function — not against them. That's what this module gives you: a working model of learning, so you can evaluate AI use with confidence rather than hype."</w:t>
            </w:r>
          </w:p>
        </w:tc>
      </w:tr>
      <w:tr>
        <w:tc>
          <w:tcPr>
            <w:tcW w:type="dxa" w:w="1300"/>
            <w:shd w:fill="EAF1F3" w:val="clear"/>
            <w:tcMar>
              <w:top w:type="dxa" w:w="100"/>
              <w:left w:type="dxa" w:w="120"/>
              <w:bottom w:type="dxa" w:w="100"/>
              <w:right w:type="dxa" w:w="120"/>
            </w:tcMar>
            <w:vAlign w:val="center"/>
          </w:tcPr>
          <w:p>
            <w:r>
              <w:rPr>
                <w:b/>
                <w:bCs/>
                <w:sz w:val="19"/>
                <w:szCs w:val="19"/>
              </w:rPr>
              <w:t xml:space="preserve">3. Cognitive Load Theory</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1:20–3:00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Three-part diagram: "Intrinsic Load" (task difficulty itself), "Extraneous Load" (poor design, clutter), "Germane Load" (effort building understanding) — extraneous shown shrinking, germane shown growing.</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"Cognitive Load Theory says working memory is limited, and every task draws on three kinds of mental load. Intrinsic load is the inherent difficulty of the material itself. Extraneous load is unnecessary difficulty caused by poor design — cluttered slides, confusing instructions, information split across two places. Germane load is the productive effort of actually building understanding. Good lesson and worksheet design does one thing consistently: it strips out extraneous load, so students' limited attention goes toward germane load instead."</w:t>
            </w:r>
          </w:p>
        </w:tc>
      </w:tr>
      <w:tr>
        <w:tc>
          <w:tcPr>
            <w:tcW w:type="dxa" w:w="1300"/>
            <w:tcMar>
              <w:top w:type="dxa" w:w="100"/>
              <w:left w:type="dxa" w:w="120"/>
              <w:bottom w:type="dxa" w:w="100"/>
              <w:right w:type="dxa" w:w="120"/>
            </w:tcMar>
            <w:vAlign w:val="center"/>
          </w:tcPr>
          <w:p>
            <w:r>
              <w:rPr>
                <w:b/>
                <w:bCs/>
                <w:sz w:val="19"/>
                <w:szCs w:val="19"/>
              </w:rPr>
              <w:t xml:space="preserve">4. Applying it to worksheet design</w:t>
            </w:r>
          </w:p>
        </w:tc>
        <w:tc>
          <w:tcPr>
            <w:tcW w:type="dxa" w:w="1100"/>
            <w:tcMar>
              <w:top w:type="dxa" w:w="100"/>
              <w:left w:type="dxa" w:w="120"/>
              <w:bottom w:type="dxa" w:w="100"/>
              <w:right w:type="dxa" w:w="120"/>
            </w:tcMar>
            <w:vAlign w:val="center"/>
          </w:tcPr>
          <w:p>
            <w:r>
              <w:rPr>
                <w:b w:val="false"/>
                <w:bCs w:val="false"/>
                <w:sz w:val="19"/>
                <w:szCs w:val="19"/>
              </w:rPr>
              <w:t xml:space="preserve">3:00–4:00</w:t>
            </w:r>
          </w:p>
        </w:tc>
        <w:tc>
          <w:tcPr>
            <w:tcW w:type="dxa" w:w="3000"/>
            <w:tcMar>
              <w:top w:type="dxa" w:w="100"/>
              <w:left w:type="dxa" w:w="120"/>
              <w:bottom w:type="dxa" w:w="100"/>
              <w:right w:type="dxa" w:w="120"/>
            </w:tcMar>
            <w:vAlign w:val="center"/>
          </w:tcPr>
          <w:p>
            <w:r>
              <w:rPr>
                <w:b w:val="false"/>
                <w:bCs w:val="false"/>
                <w:sz w:val="19"/>
                <w:szCs w:val="19"/>
              </w:rPr>
              <w:t xml:space="preserve">Before/after worksheet mockup: cluttered version with separated text and diagram vs. clean version with labels integrated directly onto the diagram.</w:t>
            </w:r>
          </w:p>
        </w:tc>
        <w:tc>
          <w:tcPr>
            <w:tcW w:type="dxa" w:w="3600"/>
            <w:tcMar>
              <w:top w:type="dxa" w:w="100"/>
              <w:left w:type="dxa" w:w="120"/>
              <w:bottom w:type="dxa" w:w="100"/>
              <w:right w:type="dxa" w:w="120"/>
            </w:tcMar>
            <w:vAlign w:val="center"/>
          </w:tcPr>
          <w:p>
            <w:r>
              <w:rPr>
                <w:b w:val="false"/>
                <w:bCs w:val="false"/>
                <w:sz w:val="19"/>
                <w:szCs w:val="19"/>
              </w:rPr>
              <w:t xml:space="preserve">"Here's a simple example. If a worksheet makes students flip between a diagram and a separate list of labels, they're burning attention just matching the two up — that's extraneous load, sometimes called the split-attention effect. Put the labels directly on the diagram, and that wasted effort disappears, leaving more attention for the actual content."</w:t>
            </w:r>
          </w:p>
        </w:tc>
      </w:tr>
      <w:tr>
        <w:tc>
          <w:tcPr>
            <w:tcW w:type="dxa" w:w="1300"/>
            <w:shd w:fill="EAF1F3" w:val="clear"/>
            <w:tcMar>
              <w:top w:type="dxa" w:w="100"/>
              <w:left w:type="dxa" w:w="120"/>
              <w:bottom w:type="dxa" w:w="100"/>
              <w:right w:type="dxa" w:w="120"/>
            </w:tcMar>
            <w:vAlign w:val="center"/>
          </w:tcPr>
          <w:p>
            <w:r>
              <w:rPr>
                <w:b/>
                <w:bCs/>
                <w:sz w:val="19"/>
                <w:szCs w:val="19"/>
              </w:rPr>
              <w:t xml:space="preserve">5. Effective vs. ineffective study methods</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4:00–5:15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Two-column graphic: ✓ Active Recall, ✓ Spaced Repetition vs. ✗ Re-reading, ✗ Highlighting — with a simple bar chart showing relative effectiveness from learning-science research.</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"The same logic applies to how students study. Active recall — testing yourself on material instead of just looking at it again — and spaced repetition — reviewing material at increasing intervals over time — are consistently among the most effective methods. Re-reading notes and highlighting text feel productive, but research consistently shows they produce much weaker long-term learning. Part of your job is steering students toward the methods that actually work, even when they feel harder."</w:t>
            </w:r>
          </w:p>
        </w:tc>
      </w:tr>
      <w:tr>
        <w:tc>
          <w:tcPr>
            <w:tcW w:type="dxa" w:w="1300"/>
            <w:tcMar>
              <w:top w:type="dxa" w:w="100"/>
              <w:left w:type="dxa" w:w="120"/>
              <w:bottom w:type="dxa" w:w="100"/>
              <w:right w:type="dxa" w:w="120"/>
            </w:tcMar>
            <w:vAlign w:val="center"/>
          </w:tcPr>
          <w:p>
            <w:r>
              <w:rPr>
                <w:b/>
                <w:bCs/>
                <w:sz w:val="19"/>
                <w:szCs w:val="19"/>
              </w:rPr>
              <w:t xml:space="preserve">6. Desirable difficulty</w:t>
            </w:r>
          </w:p>
        </w:tc>
        <w:tc>
          <w:tcPr>
            <w:tcW w:type="dxa" w:w="1100"/>
            <w:tcMar>
              <w:top w:type="dxa" w:w="100"/>
              <w:left w:type="dxa" w:w="120"/>
              <w:bottom w:type="dxa" w:w="100"/>
              <w:right w:type="dxa" w:w="120"/>
            </w:tcMar>
            <w:vAlign w:val="center"/>
          </w:tcPr>
          <w:p>
            <w:r>
              <w:rPr>
                <w:b w:val="false"/>
                <w:bCs w:val="false"/>
                <w:sz w:val="19"/>
                <w:szCs w:val="19"/>
              </w:rPr>
              <w:t xml:space="preserve">5:15–6:15</w:t>
            </w:r>
          </w:p>
        </w:tc>
        <w:tc>
          <w:tcPr>
            <w:tcW w:type="dxa" w:w="3000"/>
            <w:tcMar>
              <w:top w:type="dxa" w:w="100"/>
              <w:left w:type="dxa" w:w="120"/>
              <w:bottom w:type="dxa" w:w="100"/>
              <w:right w:type="dxa" w:w="120"/>
            </w:tcMar>
            <w:vAlign w:val="center"/>
          </w:tcPr>
          <w:p>
            <w:r>
              <w:rPr>
                <w:b w:val="false"/>
                <w:bCs w:val="false"/>
                <w:sz w:val="19"/>
                <w:szCs w:val="19"/>
              </w:rPr>
              <w:t xml:space="preserve">Graphic: a U-shaped curve labeled "Learning" with a sweet-spot zone in the middle labeled "Desirable Difficulty," flanked by "Too Easy" and "Too Hard."</w:t>
            </w:r>
          </w:p>
        </w:tc>
        <w:tc>
          <w:tcPr>
            <w:tcW w:type="dxa" w:w="3600"/>
            <w:tcMar>
              <w:top w:type="dxa" w:w="100"/>
              <w:left w:type="dxa" w:w="120"/>
              <w:bottom w:type="dxa" w:w="100"/>
              <w:right w:type="dxa" w:w="120"/>
            </w:tcMar>
            <w:vAlign w:val="center"/>
          </w:tcPr>
          <w:p>
            <w:r>
              <w:rPr>
                <w:b w:val="false"/>
                <w:bCs w:val="false"/>
                <w:sz w:val="19"/>
                <w:szCs w:val="19"/>
              </w:rPr>
              <w:t xml:space="preserve">"Which raises an important idea: some struggle is good for learning. This is called desirable difficulty. Making retrieval a little effortful — through spacing, testing, or varied practice — actually strengthens memory, even though it feels less comfortable in the moment than an easier path. The goal isn't to make things needlessly hard, but not to remove all friction either, since some friction is where the learning happens."</w:t>
            </w:r>
          </w:p>
        </w:tc>
      </w:tr>
      <w:tr>
        <w:tc>
          <w:tcPr>
            <w:tcW w:type="dxa" w:w="1300"/>
            <w:shd w:fill="EAF1F3" w:val="clear"/>
            <w:tcMar>
              <w:top w:type="dxa" w:w="100"/>
              <w:left w:type="dxa" w:w="120"/>
              <w:bottom w:type="dxa" w:w="100"/>
              <w:right w:type="dxa" w:w="120"/>
            </w:tcMar>
            <w:vAlign w:val="center"/>
          </w:tcPr>
          <w:p>
            <w:r>
              <w:rPr>
                <w:b/>
                <w:bCs/>
                <w:sz w:val="19"/>
                <w:szCs w:val="19"/>
              </w:rPr>
              <w:t xml:space="preserve">7. Wrap-up / transition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6:15–7:00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warm tone, activities preview graphic.</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"In the activities ahead, you'll redesign a real worksheet using these principles, look at a case study to spot desirable difficulty in action, and apply everything by annotating a lesson plan yourself. Let's put the theory to work."</w:t>
            </w:r>
          </w:p>
        </w:tc>
      </w:tr>
    </w:tbl>
    <w:p>
      <w:pPr>
        <w:pStyle w:val="Heading3"/>
        <w:spacing w:after="80" w:before="200"/>
      </w:pPr>
      <w:r>
        <w:t xml:space="preserve">Production notes</w:t>
      </w:r>
    </w:p>
    <w:p>
      <w:pPr>
        <w:pStyle w:val="ListParagraph"/>
        <w:numPr>
          <w:ilvl w:val="0"/>
          <w:numId w:val="2"/>
        </w:numPr>
        <w:spacing w:after="60"/>
      </w:pPr>
      <w:r>
        <w:t xml:space="preserve">The before/after worksheet mockup in Segment 4 should use a real, legible example (not placeholder text) so it can double as a preview of Activity 3.</w:t>
      </w:r>
    </w:p>
    <w:p>
      <w:pPr>
        <w:pStyle w:val="ListParagraph"/>
        <w:numPr>
          <w:ilvl w:val="0"/>
          <w:numId w:val="2"/>
        </w:numPr>
        <w:spacing w:after="60"/>
      </w:pPr>
      <w:r>
        <w:t xml:space="preserve">Keep the three load types (intrinsic, extraneous, germane) visually consistent — same three colors — throughout Segments 3 and 4.</w:t>
      </w:r>
    </w:p>
    <w:p>
      <w:pPr>
        <w:pStyle w:val="ListParagraph"/>
        <w:numPr>
          <w:ilvl w:val="0"/>
          <w:numId w:val="2"/>
        </w:numPr>
        <w:spacing w:after="60"/>
      </w:pPr>
      <w:r>
        <w:t xml:space="preserve">Add captions/subtitles for accessibility.</w:t>
      </w:r>
    </w:p>
    <w:p>
      <w:pPr>
        <w:pStyle w:val="Heading1"/>
        <w:spacing w:after="160" w:before="360"/>
      </w:pPr>
      <w:r>
        <w:t xml:space="preserve">Activity 2 — Quick-Reference: Effective vs. Ineffective Study Techniques (Read, 10 min)</w:t>
      </w:r>
    </w:p>
    <w:p>
      <w:pPr>
        <w:spacing w:after="120"/>
      </w:pPr>
      <w:r>
        <w:t xml:space="preserve">A one-page reference chart learners can keep and share with students or colleagues.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00"/>
      </w:tblGrid>
      <w:tr>
        <w:tc>
          <w:tcPr>
            <w:tcW w:type="dxa" w:w="4200"/>
            <w:shd w:fill="1F4E5F" w:val="clear"/>
            <w:tcMar>
              <w:top w:type="dxa" w:w="100"/>
              <w:left w:type="dxa" w:w="120"/>
              <w:bottom w:type="dxa" w:w="100"/>
              <w:right w:type="dxa" w:w="120"/>
            </w:tcMar>
            <w:vAlign w:val="center"/>
          </w:tcPr>
          <w:p>
            <w:r>
              <w:rPr>
                <w:b/>
                <w:bCs/>
                <w:color w:val="FFFFFF"/>
                <w:sz w:val="20"/>
                <w:szCs w:val="20"/>
              </w:rPr>
              <w:t xml:space="preserve">Technique</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Effective / Ineffective?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Why</w:t>
            </w:r>
          </w:p>
        </w:tc>
      </w:tr>
      <w:tr>
        <w:tc>
          <w:tcPr>
            <w:tcW w:type="dxa" w:w="4200"/>
            <w:shd w:fill="EAF1F3" w:val="clear"/>
            <w:tcMar>
              <w:top w:type="dxa" w:w="100"/>
              <w:left w:type="dxa" w:w="120"/>
              <w:bottom w:type="dxa" w:w="100"/>
              <w:right w:type="dxa" w:w="120"/>
            </w:tcMar>
            <w:vAlign w:val="center"/>
          </w:tcPr>
          <w:p>
            <w:r>
              <w:rPr>
                <w:sz w:val="19"/>
                <w:szCs w:val="19"/>
              </w:rPr>
              <w:t xml:space="preserve">Active recall (self-testing without looking at notes)</w:t>
            </w:r>
          </w:p>
        </w:tc>
        <w:tc>
          <w:tcPr>
            <w:tcW w:type="dxa" w:w="1800"/>
            <w:shd w:fill="EAF1F3" w:val="clear"/>
            <w:tcMar>
              <w:top w:type="dxa" w:w="100"/>
              <w:left w:type="dxa" w:w="120"/>
              <w:bottom w:type="dxa" w:w="100"/>
              <w:right w:type="dxa" w:w="120"/>
            </w:tcMar>
          </w:tcPr>
          <w:p>
            <w:r>
              <w:rPr>
                <w:b/>
                <w:bCs/>
                <w:color w:val="1E6B3A"/>
                <w:sz w:val="19"/>
                <w:szCs w:val="19"/>
              </w:rPr>
              <w:t xml:space="preserve">EFFECTIVE</w:t>
            </w:r>
          </w:p>
        </w:tc>
        <w:tc>
          <w:tcPr>
            <w:tcW w:type="dxa" w:w="3000"/>
            <w:shd w:fill="EAF1F3" w:val="clear"/>
            <w:tcMar>
              <w:top w:type="dxa" w:w="100"/>
              <w:left w:type="dxa" w:w="120"/>
              <w:bottom w:type="dxa" w:w="100"/>
              <w:right w:type="dxa" w:w="120"/>
            </w:tcMar>
            <w:vAlign w:val="center"/>
          </w:tcPr>
          <w:p>
            <w:r>
              <w:rPr>
                <w:i/>
                <w:iCs/>
                <w:sz w:val="18"/>
                <w:szCs w:val="18"/>
              </w:rPr>
              <w:t xml:space="preserve">Forces retrieval, which strengthens memory more than passive review.</w:t>
            </w:r>
          </w:p>
        </w:tc>
      </w:tr>
      <w:tr>
        <w:tc>
          <w:tcPr>
            <w:tcW w:type="dxa" w:w="4200"/>
            <w:tcMar>
              <w:top w:type="dxa" w:w="100"/>
              <w:left w:type="dxa" w:w="120"/>
              <w:bottom w:type="dxa" w:w="100"/>
              <w:right w:type="dxa" w:w="120"/>
            </w:tcMar>
            <w:vAlign w:val="center"/>
          </w:tcPr>
          <w:p>
            <w:r>
              <w:rPr>
                <w:sz w:val="19"/>
                <w:szCs w:val="19"/>
              </w:rPr>
              <w:t xml:space="preserve">Spaced repetition (reviewing material at increasing intervals)</w:t>
            </w:r>
          </w:p>
        </w:tc>
        <w:tc>
          <w:tcPr>
            <w:tcW w:type="dxa" w:w="1800"/>
            <w:tcMar>
              <w:top w:type="dxa" w:w="100"/>
              <w:left w:type="dxa" w:w="120"/>
              <w:bottom w:type="dxa" w:w="100"/>
              <w:right w:type="dxa" w:w="120"/>
            </w:tcMar>
          </w:tcPr>
          <w:p>
            <w:r>
              <w:rPr>
                <w:b/>
                <w:bCs/>
                <w:color w:val="1E6B3A"/>
                <w:sz w:val="19"/>
                <w:szCs w:val="19"/>
              </w:rPr>
              <w:t xml:space="preserve">EFFECTIVE</w:t>
            </w:r>
          </w:p>
        </w:tc>
        <w:tc>
          <w:tcPr>
            <w:tcW w:type="dxa" w:w="3000"/>
            <w:tcMar>
              <w:top w:type="dxa" w:w="100"/>
              <w:left w:type="dxa" w:w="120"/>
              <w:bottom w:type="dxa" w:w="100"/>
              <w:right w:type="dxa" w:w="120"/>
            </w:tcMar>
            <w:vAlign w:val="center"/>
          </w:tcPr>
          <w:p>
            <w:r>
              <w:rPr>
                <w:i/>
                <w:iCs/>
                <w:sz w:val="18"/>
                <w:szCs w:val="18"/>
              </w:rPr>
              <w:t xml:space="preserve">Repeated retrieval over time builds durable, long-term memory.</w:t>
            </w:r>
          </w:p>
        </w:tc>
      </w:tr>
      <w:tr>
        <w:tc>
          <w:tcPr>
            <w:tcW w:type="dxa" w:w="4200"/>
            <w:shd w:fill="EAF1F3" w:val="clear"/>
            <w:tcMar>
              <w:top w:type="dxa" w:w="100"/>
              <w:left w:type="dxa" w:w="120"/>
              <w:bottom w:type="dxa" w:w="100"/>
              <w:right w:type="dxa" w:w="120"/>
            </w:tcMar>
            <w:vAlign w:val="center"/>
          </w:tcPr>
          <w:p>
            <w:r>
              <w:rPr>
                <w:sz w:val="19"/>
                <w:szCs w:val="19"/>
              </w:rPr>
              <w:t xml:space="preserve">Interleaving (mixing related topics/problem types in practice)</w:t>
            </w:r>
          </w:p>
        </w:tc>
        <w:tc>
          <w:tcPr>
            <w:tcW w:type="dxa" w:w="1800"/>
            <w:shd w:fill="EAF1F3" w:val="clear"/>
            <w:tcMar>
              <w:top w:type="dxa" w:w="100"/>
              <w:left w:type="dxa" w:w="120"/>
              <w:bottom w:type="dxa" w:w="100"/>
              <w:right w:type="dxa" w:w="120"/>
            </w:tcMar>
          </w:tcPr>
          <w:p>
            <w:r>
              <w:rPr>
                <w:b/>
                <w:bCs/>
                <w:color w:val="1E6B3A"/>
                <w:sz w:val="19"/>
                <w:szCs w:val="19"/>
              </w:rPr>
              <w:t xml:space="preserve">EFFECTIVE</w:t>
            </w:r>
          </w:p>
        </w:tc>
        <w:tc>
          <w:tcPr>
            <w:tcW w:type="dxa" w:w="3000"/>
            <w:shd w:fill="EAF1F3" w:val="clear"/>
            <w:tcMar>
              <w:top w:type="dxa" w:w="100"/>
              <w:left w:type="dxa" w:w="120"/>
              <w:bottom w:type="dxa" w:w="100"/>
              <w:right w:type="dxa" w:w="120"/>
            </w:tcMar>
            <w:vAlign w:val="center"/>
          </w:tcPr>
          <w:p>
            <w:r>
              <w:rPr>
                <w:i/>
                <w:iCs/>
                <w:sz w:val="18"/>
                <w:szCs w:val="18"/>
              </w:rPr>
              <w:t xml:space="preserve">Forces students to distinguish between concepts rather than follow a predictable pattern.</w:t>
            </w:r>
          </w:p>
        </w:tc>
      </w:tr>
      <w:tr>
        <w:tc>
          <w:tcPr>
            <w:tcW w:type="dxa" w:w="4200"/>
            <w:tcMar>
              <w:top w:type="dxa" w:w="100"/>
              <w:left w:type="dxa" w:w="120"/>
              <w:bottom w:type="dxa" w:w="100"/>
              <w:right w:type="dxa" w:w="120"/>
            </w:tcMar>
            <w:vAlign w:val="center"/>
          </w:tcPr>
          <w:p>
            <w:r>
              <w:rPr>
                <w:sz w:val="19"/>
                <w:szCs w:val="19"/>
              </w:rPr>
              <w:t xml:space="preserve">Re-reading notes or the textbook</w:t>
            </w:r>
          </w:p>
        </w:tc>
        <w:tc>
          <w:tcPr>
            <w:tcW w:type="dxa" w:w="1800"/>
            <w:tcMar>
              <w:top w:type="dxa" w:w="100"/>
              <w:left w:type="dxa" w:w="120"/>
              <w:bottom w:type="dxa" w:w="100"/>
              <w:right w:type="dxa" w:w="120"/>
            </w:tcMar>
          </w:tcPr>
          <w:p>
            <w:r>
              <w:rPr>
                <w:b/>
                <w:bCs/>
                <w:color w:val="9E3A38"/>
                <w:sz w:val="19"/>
                <w:szCs w:val="19"/>
              </w:rPr>
              <w:t xml:space="preserve">INEFFECTIVE</w:t>
            </w:r>
          </w:p>
        </w:tc>
        <w:tc>
          <w:tcPr>
            <w:tcW w:type="dxa" w:w="3000"/>
            <w:tcMar>
              <w:top w:type="dxa" w:w="100"/>
              <w:left w:type="dxa" w:w="120"/>
              <w:bottom w:type="dxa" w:w="100"/>
              <w:right w:type="dxa" w:w="120"/>
            </w:tcMar>
            <w:vAlign w:val="center"/>
          </w:tcPr>
          <w:p>
            <w:r>
              <w:rPr>
                <w:i/>
                <w:iCs/>
                <w:sz w:val="18"/>
                <w:szCs w:val="18"/>
              </w:rPr>
              <w:t xml:space="preserve">Feels familiar and fluent, but produces little durable retrieval strength.</w:t>
            </w:r>
          </w:p>
        </w:tc>
      </w:tr>
      <w:tr>
        <w:tc>
          <w:tcPr>
            <w:tcW w:type="dxa" w:w="4200"/>
            <w:shd w:fill="EAF1F3" w:val="clear"/>
            <w:tcMar>
              <w:top w:type="dxa" w:w="100"/>
              <w:left w:type="dxa" w:w="120"/>
              <w:bottom w:type="dxa" w:w="100"/>
              <w:right w:type="dxa" w:w="120"/>
            </w:tcMar>
            <w:vAlign w:val="center"/>
          </w:tcPr>
          <w:p>
            <w:r>
              <w:rPr>
                <w:sz w:val="19"/>
                <w:szCs w:val="19"/>
              </w:rPr>
              <w:t xml:space="preserve">Highlighting or underlining text</w:t>
            </w:r>
          </w:p>
        </w:tc>
        <w:tc>
          <w:tcPr>
            <w:tcW w:type="dxa" w:w="1800"/>
            <w:shd w:fill="EAF1F3" w:val="clear"/>
            <w:tcMar>
              <w:top w:type="dxa" w:w="100"/>
              <w:left w:type="dxa" w:w="120"/>
              <w:bottom w:type="dxa" w:w="100"/>
              <w:right w:type="dxa" w:w="120"/>
            </w:tcMar>
          </w:tcPr>
          <w:p>
            <w:r>
              <w:rPr>
                <w:b/>
                <w:bCs/>
                <w:color w:val="9E3A38"/>
                <w:sz w:val="19"/>
                <w:szCs w:val="19"/>
              </w:rPr>
              <w:t xml:space="preserve">INEFFECTIVE</w:t>
            </w:r>
          </w:p>
        </w:tc>
        <w:tc>
          <w:tcPr>
            <w:tcW w:type="dxa" w:w="3000"/>
            <w:shd w:fill="EAF1F3" w:val="clear"/>
            <w:tcMar>
              <w:top w:type="dxa" w:w="100"/>
              <w:left w:type="dxa" w:w="120"/>
              <w:bottom w:type="dxa" w:w="100"/>
              <w:right w:type="dxa" w:w="120"/>
            </w:tcMar>
            <w:vAlign w:val="center"/>
          </w:tcPr>
          <w:p>
            <w:r>
              <w:rPr>
                <w:i/>
                <w:iCs/>
                <w:sz w:val="18"/>
                <w:szCs w:val="18"/>
              </w:rPr>
              <w:t xml:space="preserve">Passive and often applied to the wrong information; little retrieval practice involved.</w:t>
            </w:r>
          </w:p>
        </w:tc>
      </w:tr>
      <w:tr>
        <w:tc>
          <w:tcPr>
            <w:tcW w:type="dxa" w:w="4200"/>
            <w:tcMar>
              <w:top w:type="dxa" w:w="100"/>
              <w:left w:type="dxa" w:w="120"/>
              <w:bottom w:type="dxa" w:w="100"/>
              <w:right w:type="dxa" w:w="120"/>
            </w:tcMar>
            <w:vAlign w:val="center"/>
          </w:tcPr>
          <w:p>
            <w:r>
              <w:rPr>
                <w:sz w:val="19"/>
                <w:szCs w:val="19"/>
              </w:rPr>
              <w:t xml:space="preserve">Cramming (massed practice right before a test)</w:t>
            </w:r>
          </w:p>
        </w:tc>
        <w:tc>
          <w:tcPr>
            <w:tcW w:type="dxa" w:w="1800"/>
            <w:tcMar>
              <w:top w:type="dxa" w:w="100"/>
              <w:left w:type="dxa" w:w="120"/>
              <w:bottom w:type="dxa" w:w="100"/>
              <w:right w:type="dxa" w:w="120"/>
            </w:tcMar>
          </w:tcPr>
          <w:p>
            <w:r>
              <w:rPr>
                <w:b/>
                <w:bCs/>
                <w:color w:val="9E3A38"/>
                <w:sz w:val="19"/>
                <w:szCs w:val="19"/>
              </w:rPr>
              <w:t xml:space="preserve">INEFFECTIVE</w:t>
            </w:r>
          </w:p>
        </w:tc>
        <w:tc>
          <w:tcPr>
            <w:tcW w:type="dxa" w:w="3000"/>
            <w:tcMar>
              <w:top w:type="dxa" w:w="100"/>
              <w:left w:type="dxa" w:w="120"/>
              <w:bottom w:type="dxa" w:w="100"/>
              <w:right w:type="dxa" w:w="120"/>
            </w:tcMar>
            <w:vAlign w:val="center"/>
          </w:tcPr>
          <w:p>
            <w:r>
              <w:rPr>
                <w:i/>
                <w:iCs/>
                <w:sz w:val="18"/>
                <w:szCs w:val="18"/>
              </w:rPr>
              <w:t xml:space="preserve">Produces short-term recognition but poor long-term retention compared to spacing.</w:t>
            </w:r>
          </w:p>
        </w:tc>
      </w:tr>
    </w:tbl>
    <w:p>
      <w:r>
        <w:br w:type="page"/>
      </w:r>
    </w:p>
    <w:p>
      <w:pPr>
        <w:pStyle w:val="Heading1"/>
        <w:spacing w:after="160" w:before="360"/>
      </w:pPr>
      <w:r>
        <w:t xml:space="preserve">Activity 3 — Worksheet Redesign Lab (Do, 25 min)</w:t>
      </w:r>
    </w:p>
    <w:p>
      <w:pPr>
        <w:spacing w:after="120"/>
      </w:pPr>
      <w:r>
        <w:t xml:space="preserve">Learners apply Cognitive Load Theory hands-on by redesigning a poorly-structured sample worksheet.</w:t>
      </w:r>
    </w:p>
    <w:p>
      <w:pPr>
        <w:spacing w:after="40" w:before="120"/>
      </w:pPr>
      <w:r>
        <w:rPr>
          <w:b/>
          <w:bCs/>
          <w:color w:val="1F4E5F"/>
        </w:rPr>
        <w:t xml:space="preserve">Sample "before" worksheet (provided)</w:t>
      </w:r>
    </w:p>
    <w:p>
      <w:pPr>
        <w:spacing w:after="120"/>
      </w:pPr>
      <w:r>
        <w:rPr>
          <w:i/>
          <w:iCs/>
        </w:rPr>
        <w:t xml:space="preserve">A diagram of a plant cell appears at the top of the page, with cell parts numbered 1–8. Below it, separated by a paragraph of unrelated instructions, is a numbered list: "1. Nucleus 2. Cell wall 3. Chloroplast..." matching the numbers on the diagram. Font size varies across the page, and a large decorative border surrounds the content.</w:t>
      </w:r>
    </w:p>
    <w:p>
      <w:pPr>
        <w:spacing w:after="40" w:before="120"/>
      </w:pPr>
      <w:r>
        <w:rPr>
          <w:b/>
          <w:bCs/>
          <w:color w:val="1F4E5F"/>
        </w:rPr>
        <w:t xml:space="preserve">Learner instructions</w:t>
      </w:r>
    </w:p>
    <w:p>
      <w:pPr>
        <w:pStyle w:val="ListParagraph"/>
        <w:numPr>
          <w:ilvl w:val="0"/>
          <w:numId w:val="3"/>
        </w:numPr>
        <w:spacing w:after="60"/>
      </w:pPr>
      <w:r>
        <w:t xml:space="preserve">Identify at least two sources of extraneous load in the sample worksheet above (e.g., split attention between diagram and list, decorative clutter, inconsistent formatting).</w:t>
      </w:r>
    </w:p>
    <w:p>
      <w:pPr>
        <w:pStyle w:val="ListParagraph"/>
        <w:numPr>
          <w:ilvl w:val="0"/>
          <w:numId w:val="3"/>
        </w:numPr>
        <w:spacing w:after="60"/>
      </w:pPr>
      <w:r>
        <w:t xml:space="preserve">Redesign the worksheet on paper or in a simple document: integrate labels directly onto the diagram, remove decorative elements, and use consistent formatting.</w:t>
      </w:r>
    </w:p>
    <w:p>
      <w:pPr>
        <w:pStyle w:val="ListParagraph"/>
        <w:numPr>
          <w:ilvl w:val="0"/>
          <w:numId w:val="3"/>
        </w:numPr>
        <w:spacing w:after="60"/>
      </w:pPr>
      <w:r>
        <w:t xml:space="preserve">Write one sentence explaining how your redesign reduces extraneous load without reducing intrinsic load (i.e., the content is just as rigorous, just less cluttered).</w:t>
      </w:r>
    </w:p>
    <w:p>
      <w:pPr>
        <w:spacing w:after="40" w:before="120"/>
      </w:pPr>
      <w:r>
        <w:rPr>
          <w:b/>
          <w:bCs/>
          <w:color w:val="1F4E5F"/>
        </w:rPr>
        <w:t xml:space="preserve">Reflection question</w:t>
      </w:r>
    </w:p>
    <w:p>
      <w:pPr>
        <w:spacing w:after="120"/>
      </w:pPr>
      <w:r>
        <w:t xml:space="preserve">"Think of a worksheet or handout you currently use. What is one small change you could make this week to reduce extraneous load in it?"</w:t>
      </w:r>
    </w:p>
    <w:p>
      <w:pPr>
        <w:pStyle w:val="Heading1"/>
        <w:spacing w:after="160" w:before="360"/>
      </w:pPr>
      <w:r>
        <w:t xml:space="preserve">Activity 4 — Case Study: Spot the Desirable Difficulty (Do, 15 min)</w:t>
      </w:r>
    </w:p>
    <w:p>
      <w:pPr>
        <w:spacing w:after="120"/>
      </w:pPr>
      <w:r>
        <w:t xml:space="preserve">A short case study contrasting two teachers' approaches to review sessions before a unit test.</w:t>
      </w:r>
    </w:p>
    <w:p>
      <w:pPr>
        <w:spacing w:after="40" w:before="120"/>
      </w:pPr>
      <w:r>
        <w:rPr>
          <w:b/>
          <w:bCs/>
          <w:color w:val="1F4E5F"/>
        </w:rPr>
        <w:t xml:space="preserve">Case study</w:t>
      </w:r>
    </w:p>
    <w:p>
      <w:pPr>
        <w:spacing w:after="120"/>
      </w:pPr>
      <w:r>
        <w:rPr>
          <w:i/>
          <w:iCs/>
        </w:rPr>
        <w:t xml:space="preserve">Teacher A gives students a study guide with all answers filled in and has them re-read it twice the day before the test. Teacher B gives students the same content as a set of blank practice questions, has them attempt retrieval without notes, spaced across three short sessions over the week, with corrective feedback each time.</w:t>
      </w:r>
    </w:p>
    <w:p>
      <w:pPr>
        <w:spacing w:after="40" w:before="120"/>
      </w:pPr>
      <w:r>
        <w:rPr>
          <w:b/>
          <w:bCs/>
          <w:color w:val="1F4E5F"/>
        </w:rPr>
        <w:t xml:space="preserve">Discussion questions</w:t>
      </w:r>
    </w:p>
    <w:p>
      <w:pPr>
        <w:pStyle w:val="ListParagraph"/>
        <w:numPr>
          <w:ilvl w:val="0"/>
          <w:numId w:val="2"/>
        </w:numPr>
        <w:spacing w:after="60"/>
      </w:pPr>
      <w:r>
        <w:t xml:space="preserve">Which teacher's approach reflects desirable difficulty, and which reflects familiar-but-low-value methods from Activity 2?</w:t>
      </w:r>
    </w:p>
    <w:p>
      <w:pPr>
        <w:pStyle w:val="ListParagraph"/>
        <w:numPr>
          <w:ilvl w:val="0"/>
          <w:numId w:val="2"/>
        </w:numPr>
        <w:spacing w:after="60"/>
      </w:pPr>
      <w:r>
        <w:t xml:space="preserve">Which approach would likely feel harder to students in the moment? Which would likely produce stronger long-term retention?</w:t>
      </w:r>
    </w:p>
    <w:p>
      <w:pPr>
        <w:pStyle w:val="ListParagraph"/>
        <w:numPr>
          <w:ilvl w:val="0"/>
          <w:numId w:val="2"/>
        </w:numPr>
        <w:spacing w:after="60"/>
      </w:pPr>
      <w:r>
        <w:t xml:space="preserve">What is one part of Teacher B's approach you could adapt for your own review sessions?</w:t>
      </w:r>
    </w:p>
    <w:p>
      <w:pPr>
        <w:pStyle w:val="Heading1"/>
        <w:spacing w:after="160" w:before="360"/>
      </w:pPr>
      <w:r>
        <w:t xml:space="preserve">Activity 5 — Applied Task: Annotate a Lesson Plan (Knowledge Check, 20 min)</w:t>
      </w:r>
    </w:p>
    <w:p>
      <w:pPr>
        <w:spacing w:after="120"/>
      </w:pPr>
      <w:r>
        <w:t xml:space="preserve">This applied task serves as Module 3's knowledge check. There is no multiple-choice quiz — instead, learners demonstrate understanding by annotating a real or provided lesson plan.</w:t>
      </w:r>
    </w:p>
    <w:p>
      <w:pPr>
        <w:spacing w:after="40" w:before="120"/>
      </w:pPr>
      <w:r>
        <w:rPr>
          <w:b/>
          <w:bCs/>
          <w:color w:val="1F4E5F"/>
        </w:rPr>
        <w:t xml:space="preserve">Instructions</w:t>
      </w:r>
    </w:p>
    <w:p>
      <w:pPr>
        <w:pStyle w:val="ListParagraph"/>
        <w:numPr>
          <w:ilvl w:val="0"/>
          <w:numId w:val="3"/>
        </w:numPr>
        <w:spacing w:after="60"/>
      </w:pPr>
      <w:r>
        <w:t xml:space="preserve">Take a lesson plan you currently use (or the brief sample plan provided in the course platform).</w:t>
      </w:r>
    </w:p>
    <w:p>
      <w:pPr>
        <w:pStyle w:val="ListParagraph"/>
        <w:numPr>
          <w:ilvl w:val="0"/>
          <w:numId w:val="3"/>
        </w:numPr>
        <w:spacing w:after="60"/>
      </w:pPr>
      <w:r>
        <w:t xml:space="preserve">Annotate at least 3 places where you can identify: (a) a source of extraneous load that could be reduced, (b) an opportunity to build in active recall or spaced review, or (c) a moment of desirable difficulty already present or worth adding.</w:t>
      </w:r>
    </w:p>
    <w:p>
      <w:pPr>
        <w:pStyle w:val="ListParagraph"/>
        <w:numPr>
          <w:ilvl w:val="0"/>
          <w:numId w:val="3"/>
        </w:numPr>
        <w:spacing w:after="60"/>
      </w:pPr>
      <w:r>
        <w:t xml:space="preserve">For each annotation, write 1–2 sentences explaining your reasoning using the vocabulary from this module (intrinsic/extraneous/germane load, active recall, spaced repetition, desirable difficulty).</w:t>
      </w:r>
    </w:p>
    <w:p>
      <w:pPr>
        <w:pStyle w:val="ListParagraph"/>
        <w:numPr>
          <w:ilvl w:val="0"/>
          <w:numId w:val="3"/>
        </w:numPr>
        <w:spacing w:after="60"/>
      </w:pPr>
      <w:r>
        <w:t xml:space="preserve">Submit the annotated lesson plan to your portfolio.</w:t>
      </w:r>
    </w:p>
    <w:p>
      <w:pPr>
        <w:spacing w:after="40" w:before="120"/>
      </w:pPr>
      <w:r>
        <w:rPr>
          <w:b/>
          <w:bCs/>
          <w:color w:val="1F4E5F"/>
        </w:rPr>
        <w:t xml:space="preserve">Scoring guidance (self- or facilitator-assessed)</w:t>
      </w:r>
    </w:p>
    <w:p>
      <w:pPr>
        <w:pStyle w:val="ListParagraph"/>
        <w:numPr>
          <w:ilvl w:val="0"/>
          <w:numId w:val="2"/>
        </w:numPr>
        <w:spacing w:after="60"/>
      </w:pPr>
      <w:r>
        <w:t xml:space="preserve">Meets expectations: at least 3 annotations, each correctly applying a learning-science concept from this module</w:t>
      </w:r>
    </w:p>
    <w:p>
      <w:pPr>
        <w:pStyle w:val="ListParagraph"/>
        <w:numPr>
          <w:ilvl w:val="0"/>
          <w:numId w:val="2"/>
        </w:numPr>
        <w:spacing w:after="60"/>
      </w:pPr>
      <w:r>
        <w:t xml:space="preserve">Needs revision: fewer than 3 annotations, or concepts applied incorrectly/vaguely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2026-07-21T06:39:18.073Z</dcterms:created>
  <dcterms:modified xsi:type="dcterms:W3CDTF">2026-07-21T06:39:18.073Z</dcterms:modified>
</cp:coreProperties>
</file>

<file path=docProps/custom.xml><?xml version="1.0" encoding="utf-8"?>
<Properties xmlns="http://schemas.openxmlformats.org/officeDocument/2006/custom-properties" xmlns:vt="http://schemas.openxmlformats.org/officeDocument/2006/docPropsVTypes"/>
</file>