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0"/>
          <w:szCs w:val="30"/>
        </w:rPr>
        <w:t xml:space="preserve">Module 8: Helping Students Prepare for an AI-Driven World</w:t>
      </w:r>
    </w:p>
    <w:p>
      <w:pPr>
        <w:spacing w:after="200"/>
        <w:jc w:val="center"/>
      </w:pPr>
      <w:r>
        <w:rPr>
          <w:color w:val="595959"/>
          <w:sz w:val="26"/>
          <w:szCs w:val="26"/>
        </w:rPr>
        <w:t xml:space="preserve">Lesson Activities, Video Script, and Course Capstone</w:t>
      </w:r>
    </w:p>
    <w:p>
      <w:pPr>
        <w:spacing w:after="300"/>
        <w:jc w:val="center"/>
      </w:pPr>
      <w:r>
        <w:rPr>
          <w:i/>
          <w:iCs/>
          <w:color w:val="595959"/>
          <w:sz w:val="20"/>
          <w:szCs w:val="20"/>
        </w:rPr>
        <w:t xml:space="preserve">Final module of the course — includes the capstone activity plan</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CFS — Understand level, all 4 dimensions</w:t>
      </w:r>
      <w:r>
        <w:rPr>
          <w:color w:val="595959"/>
        </w:rPr>
        <w:t xml:space="preserve">   |   </w:t>
      </w:r>
      <w:r>
        <w:rPr>
          <w:b/>
          <w:bCs/>
          <w:color w:val="595959"/>
        </w:rPr>
        <w:t xml:space="preserve">Total estimated time: </w:t>
      </w:r>
      <w:r>
        <w:rPr>
          <w:color w:val="595959"/>
        </w:rPr>
        <w:t xml:space="preserve">1.5–2 hrs (capstone may run longer)</w:t>
      </w:r>
    </w:p>
    <w:p>
      <w:pPr>
        <w:spacing w:after="40" w:before="120"/>
      </w:pPr>
      <w:r>
        <w:rPr>
          <w:b/>
          <w:bCs/>
          <w:color w:val="1F4E5F"/>
        </w:rPr>
        <w:t xml:space="preserve">Learning objectives</w:t>
      </w:r>
    </w:p>
    <w:p>
      <w:pPr>
        <w:pStyle w:val="ListParagraph"/>
        <w:numPr>
          <w:ilvl w:val="0"/>
          <w:numId w:val="2"/>
        </w:numPr>
        <w:spacing w:after="60"/>
      </w:pPr>
      <w:r>
        <w:t xml:space="preserve">Introduce the AI Competency Framework for Students (12 competencies, 4 dimensions)</w:t>
      </w:r>
    </w:p>
    <w:p>
      <w:pPr>
        <w:pStyle w:val="ListParagraph"/>
        <w:numPr>
          <w:ilvl w:val="0"/>
          <w:numId w:val="2"/>
        </w:numPr>
        <w:spacing w:after="60"/>
      </w:pPr>
      <w:r>
        <w:t xml:space="preserve">Explain Druga et al. (2017) findings on children's perceptions of AI, in order to teach children about AI accurately</w:t>
      </w:r>
    </w:p>
    <w:p>
      <w:pPr>
        <w:pStyle w:val="ListParagraph"/>
        <w:numPr>
          <w:ilvl w:val="0"/>
          <w:numId w:val="2"/>
        </w:numPr>
        <w:spacing w:after="60"/>
      </w:pPr>
      <w:r>
        <w:t xml:space="preserve">Design simple in-class activities to help students build AI literacy</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600"/>
        <w:gridCol w:w="19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0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6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9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bCs/>
                <w:sz w:val="19"/>
                <w:szCs w:val="19"/>
              </w:rPr>
              <w:t xml:space="preserve">1</w:t>
            </w:r>
          </w:p>
        </w:tc>
        <w:tc>
          <w:tcPr>
            <w:tcW w:type="dxa" w:w="4000"/>
            <w:tcMar>
              <w:top w:type="dxa" w:w="100"/>
              <w:left w:type="dxa" w:w="120"/>
              <w:bottom w:type="dxa" w:w="100"/>
              <w:right w:type="dxa" w:w="120"/>
            </w:tcMar>
            <w:vAlign w:val="center"/>
          </w:tcPr>
          <w:p>
            <w:r>
              <w:rPr>
                <w:b w:val="false"/>
                <w:bCs w:val="false"/>
                <w:sz w:val="19"/>
                <w:szCs w:val="19"/>
              </w:rPr>
              <w:t xml:space="preserve">"Kids and AI: What They Get Wrong" Video</w:t>
            </w:r>
          </w:p>
        </w:tc>
        <w:tc>
          <w:tcPr>
            <w:tcW w:type="dxa" w:w="1600"/>
            <w:tcMar>
              <w:top w:type="dxa" w:w="100"/>
              <w:left w:type="dxa" w:w="120"/>
              <w:bottom w:type="dxa" w:w="100"/>
              <w:right w:type="dxa" w:w="120"/>
            </w:tcMar>
            <w:vAlign w:val="center"/>
          </w:tcPr>
          <w:p>
            <w:r>
              <w:rPr>
                <w:b w:val="false"/>
                <w:bCs w:val="false"/>
                <w:sz w:val="19"/>
                <w:szCs w:val="19"/>
              </w:rPr>
              <w:t xml:space="preserve">Watch</w:t>
            </w:r>
          </w:p>
        </w:tc>
        <w:tc>
          <w:tcPr>
            <w:tcW w:type="dxa" w:w="1900"/>
            <w:tcMar>
              <w:top w:type="dxa" w:w="100"/>
              <w:left w:type="dxa" w:w="120"/>
              <w:bottom w:type="dxa" w:w="100"/>
              <w:right w:type="dxa" w:w="120"/>
            </w:tcMar>
            <w:vAlign w:val="center"/>
          </w:tcPr>
          <w:p>
            <w:r>
              <w:rPr>
                <w:b w:val="false"/>
                <w:bCs w:val="false"/>
                <w:sz w:val="19"/>
                <w:szCs w:val="19"/>
              </w:rPr>
              <w:t xml:space="preserve">9–10 min</w:t>
            </w:r>
          </w:p>
        </w:tc>
      </w:tr>
      <w:tr>
        <w:tc>
          <w:tcPr>
            <w:tcW w:type="dxa" w:w="500"/>
            <w:shd w:fill="EAF1F3" w:val="clear"/>
            <w:tcMar>
              <w:top w:type="dxa" w:w="100"/>
              <w:left w:type="dxa" w:w="120"/>
              <w:bottom w:type="dxa" w:w="100"/>
              <w:right w:type="dxa" w:w="120"/>
            </w:tcMar>
            <w:vAlign w:val="center"/>
          </w:tcPr>
          <w:p>
            <w:r>
              <w:rPr>
                <w:b/>
                <w:bCs/>
                <w:sz w:val="19"/>
                <w:szCs w:val="19"/>
              </w:rPr>
              <w:t xml:space="preserve">2</w:t>
            </w:r>
          </w:p>
        </w:tc>
        <w:tc>
          <w:tcPr>
            <w:tcW w:type="dxa" w:w="4000"/>
            <w:shd w:fill="EAF1F3" w:val="clear"/>
            <w:tcMar>
              <w:top w:type="dxa" w:w="100"/>
              <w:left w:type="dxa" w:w="120"/>
              <w:bottom w:type="dxa" w:w="100"/>
              <w:right w:type="dxa" w:w="120"/>
            </w:tcMar>
            <w:vAlign w:val="center"/>
          </w:tcPr>
          <w:p>
            <w:r>
              <w:rPr>
                <w:b w:val="false"/>
                <w:bCs w:val="false"/>
                <w:sz w:val="19"/>
                <w:szCs w:val="19"/>
              </w:rPr>
              <w:t xml:space="preserve">Quick-Reference: The AI Competency Framework for Students</w:t>
            </w:r>
          </w:p>
        </w:tc>
        <w:tc>
          <w:tcPr>
            <w:tcW w:type="dxa" w:w="1600"/>
            <w:shd w:fill="EAF1F3" w:val="clear"/>
            <w:tcMar>
              <w:top w:type="dxa" w:w="100"/>
              <w:left w:type="dxa" w:w="120"/>
              <w:bottom w:type="dxa" w:w="100"/>
              <w:right w:type="dxa" w:w="120"/>
            </w:tcMar>
            <w:vAlign w:val="center"/>
          </w:tcPr>
          <w:p>
            <w:r>
              <w:rPr>
                <w:b w:val="false"/>
                <w:bCs w:val="false"/>
                <w:sz w:val="19"/>
                <w:szCs w:val="19"/>
              </w:rPr>
              <w:t xml:space="preserve">Read</w:t>
            </w:r>
          </w:p>
        </w:tc>
        <w:tc>
          <w:tcPr>
            <w:tcW w:type="dxa" w:w="1900"/>
            <w:shd w:fill="EAF1F3" w:val="clear"/>
            <w:tcMar>
              <w:top w:type="dxa" w:w="100"/>
              <w:left w:type="dxa" w:w="120"/>
              <w:bottom w:type="dxa" w:w="100"/>
              <w:right w:type="dxa" w:w="120"/>
            </w:tcMar>
            <w:vAlign w:val="center"/>
          </w:tcPr>
          <w:p>
            <w:r>
              <w:rPr>
                <w:b w:val="false"/>
                <w:bCs w:val="false"/>
                <w:sz w:val="19"/>
                <w:szCs w:val="19"/>
              </w:rPr>
              <w:t xml:space="preserve">10 min</w:t>
            </w:r>
          </w:p>
        </w:tc>
      </w:tr>
      <w:tr>
        <w:tc>
          <w:tcPr>
            <w:tcW w:type="dxa" w:w="500"/>
            <w:tcMar>
              <w:top w:type="dxa" w:w="100"/>
              <w:left w:type="dxa" w:w="120"/>
              <w:bottom w:type="dxa" w:w="100"/>
              <w:right w:type="dxa" w:w="120"/>
            </w:tcMar>
            <w:vAlign w:val="center"/>
          </w:tcPr>
          <w:p>
            <w:r>
              <w:rPr>
                <w:b/>
                <w:bCs/>
                <w:sz w:val="19"/>
                <w:szCs w:val="19"/>
              </w:rPr>
              <w:t xml:space="preserve">3</w:t>
            </w:r>
          </w:p>
        </w:tc>
        <w:tc>
          <w:tcPr>
            <w:tcW w:type="dxa" w:w="4000"/>
            <w:tcMar>
              <w:top w:type="dxa" w:w="100"/>
              <w:left w:type="dxa" w:w="120"/>
              <w:bottom w:type="dxa" w:w="100"/>
              <w:right w:type="dxa" w:w="120"/>
            </w:tcMar>
            <w:vAlign w:val="center"/>
          </w:tcPr>
          <w:p>
            <w:r>
              <w:rPr>
                <w:b w:val="false"/>
                <w:bCs w:val="false"/>
                <w:sz w:val="19"/>
                <w:szCs w:val="19"/>
              </w:rPr>
              <w:t xml:space="preserve">Druga et al. Findings: Common Misconceptions Kids Have</w:t>
            </w:r>
          </w:p>
        </w:tc>
        <w:tc>
          <w:tcPr>
            <w:tcW w:type="dxa" w:w="1600"/>
            <w:tcMar>
              <w:top w:type="dxa" w:w="100"/>
              <w:left w:type="dxa" w:w="120"/>
              <w:bottom w:type="dxa" w:w="100"/>
              <w:right w:type="dxa" w:w="120"/>
            </w:tcMar>
            <w:vAlign w:val="center"/>
          </w:tcPr>
          <w:p>
            <w:r>
              <w:rPr>
                <w:b w:val="false"/>
                <w:bCs w:val="false"/>
                <w:sz w:val="19"/>
                <w:szCs w:val="19"/>
              </w:rPr>
              <w:t xml:space="preserve">Do</w:t>
            </w:r>
          </w:p>
        </w:tc>
        <w:tc>
          <w:tcPr>
            <w:tcW w:type="dxa" w:w="1900"/>
            <w:tcMar>
              <w:top w:type="dxa" w:w="100"/>
              <w:left w:type="dxa" w:w="120"/>
              <w:bottom w:type="dxa" w:w="100"/>
              <w:right w:type="dxa" w:w="120"/>
            </w:tcMar>
            <w:vAlign w:val="center"/>
          </w:tcPr>
          <w:p>
            <w:r>
              <w:rPr>
                <w:b w:val="false"/>
                <w:bCs w:val="false"/>
                <w:sz w:val="19"/>
                <w:szCs w:val="19"/>
              </w:rPr>
              <w:t xml:space="preserve">15 min</w:t>
            </w:r>
          </w:p>
        </w:tc>
      </w:tr>
      <w:tr>
        <w:tc>
          <w:tcPr>
            <w:tcW w:type="dxa" w:w="500"/>
            <w:shd w:fill="EAF1F3" w:val="clear"/>
            <w:tcMar>
              <w:top w:type="dxa" w:w="100"/>
              <w:left w:type="dxa" w:w="120"/>
              <w:bottom w:type="dxa" w:w="100"/>
              <w:right w:type="dxa" w:w="120"/>
            </w:tcMar>
            <w:vAlign w:val="center"/>
          </w:tcPr>
          <w:p>
            <w:r>
              <w:rPr>
                <w:b/>
                <w:bCs/>
                <w:sz w:val="19"/>
                <w:szCs w:val="19"/>
              </w:rPr>
              <w:t xml:space="preserve">4</w:t>
            </w:r>
          </w:p>
        </w:tc>
        <w:tc>
          <w:tcPr>
            <w:tcW w:type="dxa" w:w="4000"/>
            <w:shd w:fill="EAF1F3" w:val="clear"/>
            <w:tcMar>
              <w:top w:type="dxa" w:w="100"/>
              <w:left w:type="dxa" w:w="120"/>
              <w:bottom w:type="dxa" w:w="100"/>
              <w:right w:type="dxa" w:w="120"/>
            </w:tcMar>
            <w:vAlign w:val="center"/>
          </w:tcPr>
          <w:p>
            <w:r>
              <w:rPr>
                <w:b w:val="false"/>
                <w:bCs w:val="false"/>
                <w:sz w:val="19"/>
                <w:szCs w:val="19"/>
              </w:rPr>
              <w:t xml:space="preserve">Find Your Entry Point</w:t>
            </w:r>
          </w:p>
        </w:tc>
        <w:tc>
          <w:tcPr>
            <w:tcW w:type="dxa" w:w="1600"/>
            <w:shd w:fill="EAF1F3" w:val="clear"/>
            <w:tcMar>
              <w:top w:type="dxa" w:w="100"/>
              <w:left w:type="dxa" w:w="120"/>
              <w:bottom w:type="dxa" w:w="100"/>
              <w:right w:type="dxa" w:w="120"/>
            </w:tcMar>
            <w:vAlign w:val="center"/>
          </w:tcPr>
          <w:p>
            <w:r>
              <w:rPr>
                <w:b w:val="false"/>
                <w:bCs w:val="false"/>
                <w:sz w:val="19"/>
                <w:szCs w:val="19"/>
              </w:rPr>
              <w:t xml:space="preserve">Do</w:t>
            </w:r>
          </w:p>
        </w:tc>
        <w:tc>
          <w:tcPr>
            <w:tcW w:type="dxa" w:w="1900"/>
            <w:shd w:fill="EAF1F3" w:val="clear"/>
            <w:tcMar>
              <w:top w:type="dxa" w:w="100"/>
              <w:left w:type="dxa" w:w="120"/>
              <w:bottom w:type="dxa" w:w="100"/>
              <w:right w:type="dxa" w:w="120"/>
            </w:tcMar>
            <w:vAlign w:val="center"/>
          </w:tcPr>
          <w:p>
            <w:r>
              <w:rPr>
                <w:b w:val="false"/>
                <w:bCs w:val="false"/>
                <w:sz w:val="19"/>
                <w:szCs w:val="19"/>
              </w:rPr>
              <w:t xml:space="preserve">15 min</w:t>
            </w:r>
          </w:p>
        </w:tc>
      </w:tr>
      <w:tr>
        <w:tc>
          <w:tcPr>
            <w:tcW w:type="dxa" w:w="500"/>
            <w:tcMar>
              <w:top w:type="dxa" w:w="100"/>
              <w:left w:type="dxa" w:w="120"/>
              <w:bottom w:type="dxa" w:w="100"/>
              <w:right w:type="dxa" w:w="120"/>
            </w:tcMar>
            <w:vAlign w:val="center"/>
          </w:tcPr>
          <w:p>
            <w:r>
              <w:rPr>
                <w:b/>
                <w:bCs/>
                <w:sz w:val="19"/>
                <w:szCs w:val="19"/>
              </w:rPr>
              <w:t xml:space="preserve">5</w:t>
            </w:r>
          </w:p>
        </w:tc>
        <w:tc>
          <w:tcPr>
            <w:tcW w:type="dxa" w:w="4000"/>
            <w:tcMar>
              <w:top w:type="dxa" w:w="100"/>
              <w:left w:type="dxa" w:w="120"/>
              <w:bottom w:type="dxa" w:w="100"/>
              <w:right w:type="dxa" w:w="120"/>
            </w:tcMar>
            <w:vAlign w:val="center"/>
          </w:tcPr>
          <w:p>
            <w:r>
              <w:rPr>
                <w:b w:val="false"/>
                <w:bCs w:val="false"/>
                <w:sz w:val="19"/>
                <w:szCs w:val="19"/>
              </w:rPr>
              <w:t xml:space="preserve">Design Your Classroom Activity (Capstone)</w:t>
            </w:r>
          </w:p>
        </w:tc>
        <w:tc>
          <w:tcPr>
            <w:tcW w:type="dxa" w:w="1600"/>
            <w:tcMar>
              <w:top w:type="dxa" w:w="100"/>
              <w:left w:type="dxa" w:w="120"/>
              <w:bottom w:type="dxa" w:w="100"/>
              <w:right w:type="dxa" w:w="120"/>
            </w:tcMar>
            <w:vAlign w:val="center"/>
          </w:tcPr>
          <w:p>
            <w:r>
              <w:rPr>
                <w:b w:val="false"/>
                <w:bCs w:val="false"/>
                <w:sz w:val="19"/>
                <w:szCs w:val="19"/>
              </w:rPr>
              <w:t xml:space="preserve">Write</w:t>
            </w:r>
          </w:p>
        </w:tc>
        <w:tc>
          <w:tcPr>
            <w:tcW w:type="dxa" w:w="1900"/>
            <w:tcMar>
              <w:top w:type="dxa" w:w="100"/>
              <w:left w:type="dxa" w:w="120"/>
              <w:bottom w:type="dxa" w:w="100"/>
              <w:right w:type="dxa" w:w="120"/>
            </w:tcMar>
            <w:vAlign w:val="center"/>
          </w:tcPr>
          <w:p>
            <w:r>
              <w:rPr>
                <w:b w:val="false"/>
                <w:bCs w:val="false"/>
                <w:sz w:val="19"/>
                <w:szCs w:val="19"/>
              </w:rPr>
              <w:t xml:space="preserve">35–40 min</w:t>
            </w:r>
          </w:p>
        </w:tc>
      </w:tr>
      <w:tr>
        <w:tc>
          <w:tcPr>
            <w:tcW w:type="dxa" w:w="500"/>
            <w:shd w:fill="EAF1F3" w:val="clear"/>
            <w:tcMar>
              <w:top w:type="dxa" w:w="100"/>
              <w:left w:type="dxa" w:w="120"/>
              <w:bottom w:type="dxa" w:w="100"/>
              <w:right w:type="dxa" w:w="120"/>
            </w:tcMar>
            <w:vAlign w:val="center"/>
          </w:tcPr>
          <w:p>
            <w:r>
              <w:rPr>
                <w:b/>
                <w:bCs/>
                <w:sz w:val="19"/>
                <w:szCs w:val="19"/>
              </w:rPr>
              <w:t xml:space="preserve">6</w:t>
            </w:r>
          </w:p>
        </w:tc>
        <w:tc>
          <w:tcPr>
            <w:tcW w:type="dxa" w:w="4000"/>
            <w:shd w:fill="EAF1F3" w:val="clear"/>
            <w:tcMar>
              <w:top w:type="dxa" w:w="100"/>
              <w:left w:type="dxa" w:w="120"/>
              <w:bottom w:type="dxa" w:w="100"/>
              <w:right w:type="dxa" w:w="120"/>
            </w:tcMar>
            <w:vAlign w:val="center"/>
          </w:tcPr>
          <w:p>
            <w:r>
              <w:rPr>
                <w:b w:val="false"/>
                <w:bCs w:val="false"/>
                <w:sz w:val="19"/>
                <w:szCs w:val="19"/>
              </w:rPr>
              <w:t xml:space="preserve">Course Wrap-Up: Revisit Your Goals</w:t>
            </w:r>
          </w:p>
        </w:tc>
        <w:tc>
          <w:tcPr>
            <w:tcW w:type="dxa" w:w="1600"/>
            <w:shd w:fill="EAF1F3" w:val="clear"/>
            <w:tcMar>
              <w:top w:type="dxa" w:w="100"/>
              <w:left w:type="dxa" w:w="120"/>
              <w:bottom w:type="dxa" w:w="100"/>
              <w:right w:type="dxa" w:w="120"/>
            </w:tcMar>
            <w:vAlign w:val="center"/>
          </w:tcPr>
          <w:p>
            <w:r>
              <w:rPr>
                <w:b w:val="false"/>
                <w:bCs w:val="false"/>
                <w:sz w:val="19"/>
                <w:szCs w:val="19"/>
              </w:rPr>
              <w:t xml:space="preserve">Reflect</w:t>
            </w:r>
          </w:p>
        </w:tc>
        <w:tc>
          <w:tcPr>
            <w:tcW w:type="dxa" w:w="1900"/>
            <w:shd w:fill="EAF1F3" w:val="clear"/>
            <w:tcMar>
              <w:top w:type="dxa" w:w="100"/>
              <w:left w:type="dxa" w:w="120"/>
              <w:bottom w:type="dxa" w:w="100"/>
              <w:right w:type="dxa" w:w="120"/>
            </w:tcMar>
            <w:vAlign w:val="center"/>
          </w:tcPr>
          <w:p>
            <w:r>
              <w:rPr>
                <w:b w:val="false"/>
                <w:bCs w:val="false"/>
                <w:sz w:val="19"/>
                <w:szCs w:val="19"/>
              </w:rPr>
              <w:t xml:space="preserve">10 min</w:t>
            </w:r>
          </w:p>
        </w:tc>
      </w:tr>
    </w:tbl>
    <w:p>
      <w:r>
        <w:br w:type="page"/>
      </w:r>
    </w:p>
    <w:p>
      <w:pPr>
        <w:pStyle w:val="Heading1"/>
        <w:spacing w:after="160" w:before="360"/>
      </w:pPr>
      <w:r>
        <w:t xml:space="preserve">Activity 1 — "Kids and AI: What They Get Wrong" Video (Watch, 9–10 min)</w:t>
      </w:r>
    </w:p>
    <w:p>
      <w:pPr>
        <w:spacing w:after="120"/>
      </w:pPr>
      <w:r>
        <w:t xml:space="preserve">The course's final explainer video: it introduces the AI Competency Framework for Students, shares Druga et al.'s findings on children's misconceptions about AI, and previews the capstone activity design task.</w:t>
      </w:r>
    </w:p>
    <w:p>
      <w:pPr>
        <w:spacing w:after="40" w:before="120"/>
      </w:pPr>
      <w:r>
        <w:rPr>
          <w:b/>
          <w:bCs/>
          <w:color w:val="1F4E5F"/>
        </w:rPr>
        <w:t xml:space="preserve">Learner instructions</w:t>
      </w:r>
    </w:p>
    <w:p>
      <w:pPr>
        <w:spacing w:after="120"/>
      </w:pPr>
      <w:r>
        <w:t xml:space="preserve">"Watch the video below once, all the way through. This is the last video in the course — the activities that follow lead directly into your capstone."</w:t>
      </w:r>
    </w:p>
    <w:p>
      <w:pPr>
        <w:pStyle w:val="Heading2"/>
        <w:spacing w:after="120" w:before="280"/>
      </w:pPr>
      <w:r>
        <w:t xml:space="preserve">Video Script: "Kids and AI: What They Get Wrong"</w:t>
      </w:r>
    </w:p>
    <w:p>
      <w:pPr>
        <w:spacing w:after="120"/>
      </w:pPr>
      <w:r>
        <w:t xml:space="preserve">Target length: 6.5 minutes. Format: host on camera and/or voiceover with animated diagrams for Segments 3, 4, and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vAlign w:val="center"/>
          </w:tcPr>
          <w:p>
            <w:r>
              <w:rPr>
                <w:b/>
                <w:bCs/>
                <w:sz w:val="19"/>
                <w:szCs w:val="19"/>
              </w:rPr>
              <w:t xml:space="preserve">1. Cold open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0:00–0:40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or a short illustrated vignette: a young child asking a smart speaker, "Are you alive? Do you have feelings?"</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"'Are you alive? Do you have feelings?' Children ask AI devices questions like this all the time — and how we answer shapes how an entire generation understands AI. This final module is about helping your students build accurate, healthy AI literacy of their own."</w:t>
            </w:r>
          </w:p>
        </w:tc>
      </w:tr>
      <w:tr>
        <w:tc>
          <w:tcPr>
            <w:tcW w:type="dxa" w:w="1300"/>
            <w:tcMar>
              <w:top w:type="dxa" w:w="100"/>
              <w:left w:type="dxa" w:w="120"/>
              <w:bottom w:type="dxa" w:w="100"/>
              <w:right w:type="dxa" w:w="120"/>
            </w:tcMar>
            <w:vAlign w:val="center"/>
          </w:tcPr>
          <w:p>
            <w:r>
              <w:rPr>
                <w:b/>
                <w:bCs/>
                <w:sz w:val="19"/>
                <w:szCs w:val="19"/>
              </w:rPr>
              <w:t xml:space="preserve">2. Why this matters now</w:t>
            </w:r>
          </w:p>
        </w:tc>
        <w:tc>
          <w:tcPr>
            <w:tcW w:type="dxa" w:w="1100"/>
            <w:tcMar>
              <w:top w:type="dxa" w:w="100"/>
              <w:left w:type="dxa" w:w="120"/>
              <w:bottom w:type="dxa" w:w="100"/>
              <w:right w:type="dxa" w:w="120"/>
            </w:tcMar>
            <w:vAlign w:val="center"/>
          </w:tcPr>
          <w:p>
            <w:r>
              <w:rPr>
                <w:b w:val="false"/>
                <w:bCs w:val="false"/>
                <w:sz w:val="19"/>
                <w:szCs w:val="19"/>
              </w:rPr>
              <w:t xml:space="preserve">0:40–1:30</w:t>
            </w:r>
          </w:p>
        </w:tc>
        <w:tc>
          <w:tcPr>
            <w:tcW w:type="dxa" w:w="3000"/>
            <w:tcMar>
              <w:top w:type="dxa" w:w="100"/>
              <w:left w:type="dxa" w:w="120"/>
              <w:bottom w:type="dxa" w:w="100"/>
              <w:right w:type="dxa" w:w="120"/>
            </w:tcMar>
            <w:vAlign w:val="center"/>
          </w:tcPr>
          <w:p>
            <w:r>
              <w:rPr>
                <w:b w:val="false"/>
                <w:bCs w:val="false"/>
                <w:sz w:val="19"/>
                <w:szCs w:val="19"/>
              </w:rPr>
              <w:t xml:space="preserve">Simple graphic: a child surrounded by icons of AI-enabled devices (smart speaker, tablet, tutoring app, search).</w:t>
            </w:r>
          </w:p>
        </w:tc>
        <w:tc>
          <w:tcPr>
            <w:tcW w:type="dxa" w:w="3600"/>
            <w:tcMar>
              <w:top w:type="dxa" w:w="100"/>
              <w:left w:type="dxa" w:w="120"/>
              <w:bottom w:type="dxa" w:w="100"/>
              <w:right w:type="dxa" w:w="120"/>
            </w:tcMar>
            <w:vAlign w:val="center"/>
          </w:tcPr>
          <w:p>
            <w:r>
              <w:rPr>
                <w:b w:val="false"/>
                <w:bCs w:val="false"/>
                <w:sz w:val="19"/>
                <w:szCs w:val="19"/>
              </w:rPr>
              <w:t xml:space="preserve">"Your students are growing up with AI woven into daily life, often before they have the concepts to make sense of it. Just as you've built your own AI literacy across this course, students need an age-appropriate version of the same thing — and UNESCO has built a framework for exactly that."</w:t>
            </w:r>
          </w:p>
        </w:tc>
      </w:tr>
      <w:tr>
        <w:tc>
          <w:tcPr>
            <w:tcW w:type="dxa" w:w="1300"/>
            <w:shd w:fill="EAF1F3" w:val="clear"/>
            <w:tcMar>
              <w:top w:type="dxa" w:w="100"/>
              <w:left w:type="dxa" w:w="120"/>
              <w:bottom w:type="dxa" w:w="100"/>
              <w:right w:type="dxa" w:w="120"/>
            </w:tcMar>
            <w:vAlign w:val="center"/>
          </w:tcPr>
          <w:p>
            <w:r>
              <w:rPr>
                <w:b/>
                <w:bCs/>
                <w:sz w:val="19"/>
                <w:szCs w:val="19"/>
              </w:rPr>
              <w:t xml:space="preserve">3. The AI Competency Framework for Students</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1:30–3:00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Animated 4-box diagram: Human-Centred Mindset, Ethics of AI, AI Techniques and Applications, AI System Design — each with 3 small competency icons underneath.</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"The AI Competency Framework for Students organizes what students should learn into four dimensions, each containing three specific competencies — twelve in total. This course introduces you to the framework at its 'Understand' level: the foundational awareness students build before moving on to applying, evaluating, and eventually creating with AI concepts themselves."</w:t>
            </w:r>
          </w:p>
        </w:tc>
      </w:tr>
      <w:tr>
        <w:tc>
          <w:tcPr>
            <w:tcW w:type="dxa" w:w="1300"/>
            <w:tcMar>
              <w:top w:type="dxa" w:w="100"/>
              <w:left w:type="dxa" w:w="120"/>
              <w:bottom w:type="dxa" w:w="100"/>
              <w:right w:type="dxa" w:w="120"/>
            </w:tcMar>
            <w:vAlign w:val="center"/>
          </w:tcPr>
          <w:p>
            <w:r>
              <w:rPr>
                <w:b/>
                <w:bCs/>
                <w:sz w:val="19"/>
                <w:szCs w:val="19"/>
              </w:rPr>
              <w:t xml:space="preserve">4. What children get wrong about AI</w:t>
            </w:r>
          </w:p>
        </w:tc>
        <w:tc>
          <w:tcPr>
            <w:tcW w:type="dxa" w:w="1100"/>
            <w:tcMar>
              <w:top w:type="dxa" w:w="100"/>
              <w:left w:type="dxa" w:w="120"/>
              <w:bottom w:type="dxa" w:w="100"/>
              <w:right w:type="dxa" w:w="120"/>
            </w:tcMar>
            <w:vAlign w:val="center"/>
          </w:tcPr>
          <w:p>
            <w:r>
              <w:rPr>
                <w:b w:val="false"/>
                <w:bCs w:val="false"/>
                <w:sz w:val="19"/>
                <w:szCs w:val="19"/>
              </w:rPr>
              <w:t xml:space="preserve">3:00–4:30</w:t>
            </w:r>
          </w:p>
        </w:tc>
        <w:tc>
          <w:tcPr>
            <w:tcW w:type="dxa" w:w="3000"/>
            <w:tcMar>
              <w:top w:type="dxa" w:w="100"/>
              <w:left w:type="dxa" w:w="120"/>
              <w:bottom w:type="dxa" w:w="100"/>
              <w:right w:type="dxa" w:w="120"/>
            </w:tcMar>
            <w:vAlign w:val="center"/>
          </w:tcPr>
          <w:p>
            <w:r>
              <w:rPr>
                <w:b w:val="false"/>
                <w:bCs w:val="false"/>
                <w:sz w:val="19"/>
                <w:szCs w:val="19"/>
              </w:rPr>
              <w:t xml:space="preserve">Three short illustrated examples appearing one at a time: a child believing a smart speaker has feelings; a child assuming an AI is smarter than any person; a child unsure whether an AI agent is "alive."</w:t>
            </w:r>
          </w:p>
        </w:tc>
        <w:tc>
          <w:tcPr>
            <w:tcW w:type="dxa" w:w="3600"/>
            <w:tcMar>
              <w:top w:type="dxa" w:w="100"/>
              <w:left w:type="dxa" w:w="120"/>
              <w:bottom w:type="dxa" w:w="100"/>
              <w:right w:type="dxa" w:w="120"/>
            </w:tcMar>
            <w:vAlign w:val="center"/>
          </w:tcPr>
          <w:p>
            <w:r>
              <w:rPr>
                <w:b w:val="false"/>
                <w:bCs w:val="false"/>
                <w:sz w:val="19"/>
                <w:szCs w:val="19"/>
              </w:rPr>
              <w:t xml:space="preserve">"Researchers Druga and colleagues studied young children's interactions with smart AI agents and found a consistent pattern: children often attribute human-like feelings and even aliveness to AI systems, and can overestimate how smart or capable they are compared to a person. That's not a small misunderstanding — it shapes how much a child trusts, or doesn't question, what an AI tells them."</w:t>
            </w:r>
          </w:p>
        </w:tc>
      </w:tr>
      <w:tr>
        <w:tc>
          <w:tcPr>
            <w:tcW w:type="dxa" w:w="1300"/>
            <w:shd w:fill="EAF1F3" w:val="clear"/>
            <w:tcMar>
              <w:top w:type="dxa" w:w="100"/>
              <w:left w:type="dxa" w:w="120"/>
              <w:bottom w:type="dxa" w:w="100"/>
              <w:right w:type="dxa" w:w="120"/>
            </w:tcMar>
            <w:vAlign w:val="center"/>
          </w:tcPr>
          <w:p>
            <w:r>
              <w:rPr>
                <w:b/>
                <w:bCs/>
                <w:sz w:val="19"/>
                <w:szCs w:val="19"/>
              </w:rPr>
              <w:t xml:space="preserve">5. Talking to kids about AI accurately</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4:30–5:30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Two-column graphic: ✗ "It's basically a robot friend who understands you" vs. ✓ "It's a very good pattern-guesser, not a person."</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"Knowing this, you can gently and consistently correct these misconceptions — the same way you corrected your own in Module 1. A smart speaker isn't a friend with feelings; it's a tool that's very good at guessing patterns in language. Said simply and often enough, at whatever age-appropriate level fits your students, this framing sticks."</w:t>
            </w:r>
          </w:p>
        </w:tc>
      </w:tr>
      <w:tr>
        <w:tc>
          <w:tcPr>
            <w:tcW w:type="dxa" w:w="1300"/>
            <w:tcMar>
              <w:top w:type="dxa" w:w="100"/>
              <w:left w:type="dxa" w:w="120"/>
              <w:bottom w:type="dxa" w:w="100"/>
              <w:right w:type="dxa" w:w="120"/>
            </w:tcMar>
            <w:vAlign w:val="center"/>
          </w:tcPr>
          <w:p>
            <w:r>
              <w:rPr>
                <w:b/>
                <w:bCs/>
                <w:sz w:val="19"/>
                <w:szCs w:val="19"/>
              </w:rPr>
              <w:t xml:space="preserve">6. Designing a simple classroom activity</w:t>
            </w:r>
          </w:p>
        </w:tc>
        <w:tc>
          <w:tcPr>
            <w:tcW w:type="dxa" w:w="1100"/>
            <w:tcMar>
              <w:top w:type="dxa" w:w="100"/>
              <w:left w:type="dxa" w:w="120"/>
              <w:bottom w:type="dxa" w:w="100"/>
              <w:right w:type="dxa" w:w="120"/>
            </w:tcMar>
            <w:vAlign w:val="center"/>
          </w:tcPr>
          <w:p>
            <w:r>
              <w:rPr>
                <w:b w:val="false"/>
                <w:bCs w:val="false"/>
                <w:sz w:val="19"/>
                <w:szCs w:val="19"/>
              </w:rPr>
              <w:t xml:space="preserve">5:30–6:45</w:t>
            </w:r>
          </w:p>
        </w:tc>
        <w:tc>
          <w:tcPr>
            <w:tcW w:type="dxa" w:w="3000"/>
            <w:tcMar>
              <w:top w:type="dxa" w:w="100"/>
              <w:left w:type="dxa" w:w="120"/>
              <w:bottom w:type="dxa" w:w="100"/>
              <w:right w:type="dxa" w:w="120"/>
            </w:tcMar>
            <w:vAlign w:val="center"/>
          </w:tcPr>
          <w:p>
            <w:r>
              <w:rPr>
                <w:b w:val="false"/>
                <w:bCs w:val="false"/>
                <w:sz w:val="19"/>
                <w:szCs w:val="19"/>
              </w:rPr>
              <w:t xml:space="preserve">Graphic: a simple activity template with four labeled boxes — Objective, Materials, Steps, Check for Understanding.</w:t>
            </w:r>
          </w:p>
        </w:tc>
        <w:tc>
          <w:tcPr>
            <w:tcW w:type="dxa" w:w="3600"/>
            <w:tcMar>
              <w:top w:type="dxa" w:w="100"/>
              <w:left w:type="dxa" w:w="120"/>
              <w:bottom w:type="dxa" w:w="100"/>
              <w:right w:type="dxa" w:w="120"/>
            </w:tcMar>
            <w:vAlign w:val="center"/>
          </w:tcPr>
          <w:p>
            <w:r>
              <w:rPr>
                <w:b w:val="false"/>
                <w:bCs w:val="false"/>
                <w:sz w:val="19"/>
                <w:szCs w:val="19"/>
              </w:rPr>
              <w:t xml:space="preserve">"To finish the course, you'll design one classroom activity that helps your own students build a piece of AI literacy — tied to one competency from the framework you just saw. It doesn't need to be elaborate: a short discussion, a simple demonstration, even a version of the prediction exercise from Module 1 adapted for your students' age. What matters is that it's realistic enough that you'd actually use it."</w:t>
            </w:r>
          </w:p>
        </w:tc>
      </w:tr>
      <w:tr>
        <w:tc>
          <w:tcPr>
            <w:tcW w:type="dxa" w:w="1300"/>
            <w:shd w:fill="EAF1F3" w:val="clear"/>
            <w:tcMar>
              <w:top w:type="dxa" w:w="100"/>
              <w:left w:type="dxa" w:w="120"/>
              <w:bottom w:type="dxa" w:w="100"/>
              <w:right w:type="dxa" w:w="120"/>
            </w:tcMar>
            <w:vAlign w:val="center"/>
          </w:tcPr>
          <w:p>
            <w:r>
              <w:rPr>
                <w:b/>
                <w:bCs/>
                <w:sz w:val="19"/>
                <w:szCs w:val="19"/>
              </w:rPr>
              <w:t xml:space="preserve">7. Wrap-up / course close</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6:45–7:30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warm tone, course logo returns, small "Congratulations" text appears.</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"This is the last video in the course. After you design and submit your activity, take a moment to look back at the goal you set in Module 0 and the growth plan from Module 2. You've come a long way — and so will your students. Congratulations on reaching the end."</w:t>
            </w:r>
          </w:p>
        </w:tc>
      </w:tr>
    </w:tbl>
    <w:p>
      <w:pPr>
        <w:pStyle w:val="Heading3"/>
        <w:spacing w:after="80" w:before="200"/>
      </w:pPr>
      <w:r>
        <w:t xml:space="preserve">Production notes</w:t>
      </w:r>
    </w:p>
    <w:p>
      <w:pPr>
        <w:pStyle w:val="ListParagraph"/>
        <w:numPr>
          <w:ilvl w:val="0"/>
          <w:numId w:val="2"/>
        </w:numPr>
        <w:spacing w:after="60"/>
      </w:pPr>
      <w:r>
        <w:t xml:space="preserve">Segment 4's illustrated examples should feel warm and relatable, not mocking — the goal is empathy for how children reasonably interpret unfamiliar technology.</w:t>
      </w:r>
    </w:p>
    <w:p>
      <w:pPr>
        <w:pStyle w:val="ListParagraph"/>
        <w:numPr>
          <w:ilvl w:val="0"/>
          <w:numId w:val="2"/>
        </w:numPr>
        <w:spacing w:after="60"/>
      </w:pPr>
      <w:r>
        <w:t xml:space="preserve">Segment 7 should feel like a genuine close to the whole course, not just this module — consider a slightly different visual treatment (e.g., the course logo) to mark the milestone.</w:t>
      </w:r>
    </w:p>
    <w:p>
      <w:pPr>
        <w:pStyle w:val="ListParagraph"/>
        <w:numPr>
          <w:ilvl w:val="0"/>
          <w:numId w:val="2"/>
        </w:numPr>
        <w:spacing w:after="60"/>
      </w:pPr>
      <w:r>
        <w:t xml:space="preserve">Add captions/subtitles for accessibility.</w:t>
      </w:r>
    </w:p>
    <w:p>
      <w:pPr>
        <w:pStyle w:val="Heading1"/>
        <w:spacing w:after="160" w:before="360"/>
      </w:pPr>
      <w:r>
        <w:t xml:space="preserve">Activity 2 — Quick-Reference: The AI Competency Framework for Students (Read, 10 min)</w:t>
      </w:r>
    </w:p>
    <w:p>
      <w:pPr>
        <w:spacing w:after="120"/>
      </w:pPr>
      <w:r>
        <w:rPr>
          <w:i/>
          <w:iCs/>
          <w:color w:val="595959"/>
          <w:sz w:val="19"/>
          <w:szCs w:val="19"/>
        </w:rPr>
        <w:t xml:space="preserve">Note: competency names and descriptors below are illustrative, written to convey the general structure and meaning of the framework's four dimensions and Understand-level competencies. Facilitators should cross-check exact wording against the official UNESCO AI CFS document when using this for formal certification.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00"/>
      </w:tblGrid>
      <w:tr>
        <w:tc>
          <w:tcPr>
            <w:tcW w:type="dxa" w:w="2400"/>
            <w:shd w:fill="1F4E5F" w:val="clear"/>
            <w:tcMar>
              <w:top w:type="dxa" w:w="100"/>
              <w:left w:type="dxa" w:w="120"/>
              <w:bottom w:type="dxa" w:w="100"/>
              <w:right w:type="dxa" w:w="120"/>
            </w:tcMar>
            <w:vAlign w:val="center"/>
          </w:tcPr>
          <w:p>
            <w:r>
              <w:rPr>
                <w:b/>
                <w:bCs/>
                <w:color w:val="FFFFFF"/>
                <w:sz w:val="20"/>
                <w:szCs w:val="20"/>
              </w:rPr>
              <w:t xml:space="preserve">Dimension</w:t>
            </w:r>
          </w:p>
        </w:tc>
        <w:tc>
          <w:tcPr>
            <w:tcW w:type="dxa" w:w="2700"/>
            <w:shd w:fill="1F4E5F" w:val="clear"/>
            <w:tcMar>
              <w:top w:type="dxa" w:w="100"/>
              <w:left w:type="dxa" w:w="120"/>
              <w:bottom w:type="dxa" w:w="100"/>
              <w:right w:type="dxa" w:w="120"/>
            </w:tcMar>
            <w:vAlign w:val="center"/>
          </w:tcPr>
          <w:p>
            <w:r>
              <w:rPr>
                <w:b/>
                <w:bCs/>
                <w:color w:val="FFFFFF"/>
                <w:sz w:val="20"/>
                <w:szCs w:val="20"/>
              </w:rPr>
              <w:t xml:space="preserve">Competency (Understand level)</w:t>
            </w:r>
          </w:p>
        </w:tc>
        <w:tc>
          <w:tcPr>
            <w:tcW w:type="dxa" w:w="3900"/>
            <w:shd w:fill="1F4E5F" w:val="clear"/>
            <w:tcMar>
              <w:top w:type="dxa" w:w="100"/>
              <w:left w:type="dxa" w:w="120"/>
              <w:bottom w:type="dxa" w:w="100"/>
              <w:right w:type="dxa" w:w="120"/>
            </w:tcMar>
            <w:vAlign w:val="center"/>
          </w:tcPr>
          <w:p>
            <w:r>
              <w:rPr>
                <w:b/>
                <w:bCs/>
                <w:color w:val="FFFFFF"/>
                <w:sz w:val="20"/>
                <w:szCs w:val="20"/>
              </w:rPr>
              <w:t xml:space="preserve">What It Looks Like</w:t>
            </w:r>
          </w:p>
        </w:tc>
      </w:tr>
      <w:tr>
        <w:tc>
          <w:tcPr>
            <w:tcW w:type="dxa" w:w="2400"/>
            <w:shd w:fill="EAF1F3" w:val="clear"/>
            <w:tcMar>
              <w:top w:type="dxa" w:w="100"/>
              <w:left w:type="dxa" w:w="120"/>
              <w:bottom w:type="dxa" w:w="100"/>
              <w:right w:type="dxa" w:w="120"/>
            </w:tcMar>
            <w:vAlign w:val="center"/>
          </w:tcPr>
          <w:p>
            <w:r>
              <w:rPr>
                <w:b/>
                <w:bCs/>
                <w:sz w:val="18"/>
                <w:szCs w:val="18"/>
              </w:rPr>
              <w:t xml:space="preserve">Human-Centred Mindset</w:t>
            </w:r>
          </w:p>
        </w:tc>
        <w:tc>
          <w:tcPr>
            <w:tcW w:type="dxa" w:w="2700"/>
            <w:shd w:fill="EAF1F3" w:val="clear"/>
            <w:tcMar>
              <w:top w:type="dxa" w:w="100"/>
              <w:left w:type="dxa" w:w="120"/>
              <w:bottom w:type="dxa" w:w="100"/>
              <w:right w:type="dxa" w:w="120"/>
            </w:tcMar>
            <w:vAlign w:val="center"/>
          </w:tcPr>
          <w:p>
            <w:r>
              <w:rPr>
                <w:sz w:val="18"/>
                <w:szCs w:val="18"/>
              </w:rPr>
              <w:t xml:space="preserve">Recognize AI's role in daily life</w:t>
            </w:r>
          </w:p>
        </w:tc>
        <w:tc>
          <w:tcPr>
            <w:tcW w:type="dxa" w:w="3900"/>
            <w:shd w:fill="EAF1F3" w:val="clear"/>
            <w:tcMar>
              <w:top w:type="dxa" w:w="100"/>
              <w:left w:type="dxa" w:w="120"/>
              <w:bottom w:type="dxa" w:w="100"/>
              <w:right w:type="dxa" w:w="120"/>
            </w:tcMar>
            <w:vAlign w:val="center"/>
          </w:tcPr>
          <w:p>
            <w:r>
              <w:rPr>
                <w:sz w:val="18"/>
                <w:szCs w:val="18"/>
              </w:rPr>
              <w:t xml:space="preserve">Understand AI affects people and society, not just devices</w:t>
            </w:r>
          </w:p>
        </w:tc>
      </w:tr>
      <w:tr>
        <w:tc>
          <w:tcPr>
            <w:tcW w:type="dxa" w:w="2400"/>
            <w:tcMar>
              <w:top w:type="dxa" w:w="100"/>
              <w:left w:type="dxa" w:w="120"/>
              <w:bottom w:type="dxa" w:w="100"/>
              <w:right w:type="dxa" w:w="120"/>
            </w:tcMar>
            <w:vAlign w:val="center"/>
          </w:tcPr>
          <w:p>
            <w:r>
              <w:rPr>
                <w:b/>
                <w:bCs/>
                <w:sz w:val="18"/>
                <w:szCs w:val="18"/>
              </w:rPr>
              <w:t xml:space="preserve">Human-Centred Mindset</w:t>
            </w:r>
          </w:p>
        </w:tc>
        <w:tc>
          <w:tcPr>
            <w:tcW w:type="dxa" w:w="2700"/>
            <w:tcMar>
              <w:top w:type="dxa" w:w="100"/>
              <w:left w:type="dxa" w:w="120"/>
              <w:bottom w:type="dxa" w:w="100"/>
              <w:right w:type="dxa" w:w="120"/>
            </w:tcMar>
            <w:vAlign w:val="center"/>
          </w:tcPr>
          <w:p>
            <w:r>
              <w:rPr>
                <w:sz w:val="18"/>
                <w:szCs w:val="18"/>
              </w:rPr>
              <w:t xml:space="preserve">Reflect on personal interactions with AI</w:t>
            </w:r>
          </w:p>
        </w:tc>
        <w:tc>
          <w:tcPr>
            <w:tcW w:type="dxa" w:w="3900"/>
            <w:tcMar>
              <w:top w:type="dxa" w:w="100"/>
              <w:left w:type="dxa" w:w="120"/>
              <w:bottom w:type="dxa" w:w="100"/>
              <w:right w:type="dxa" w:w="120"/>
            </w:tcMar>
            <w:vAlign w:val="center"/>
          </w:tcPr>
          <w:p>
            <w:r>
              <w:rPr>
                <w:sz w:val="18"/>
                <w:szCs w:val="18"/>
              </w:rPr>
              <w:t xml:space="preserve">Notice and describe one's own use of AI tools or devices</w:t>
            </w:r>
          </w:p>
        </w:tc>
      </w:tr>
      <w:tr>
        <w:tc>
          <w:tcPr>
            <w:tcW w:type="dxa" w:w="2400"/>
            <w:shd w:fill="EAF1F3" w:val="clear"/>
            <w:tcMar>
              <w:top w:type="dxa" w:w="100"/>
              <w:left w:type="dxa" w:w="120"/>
              <w:bottom w:type="dxa" w:w="100"/>
              <w:right w:type="dxa" w:w="120"/>
            </w:tcMar>
            <w:vAlign w:val="center"/>
          </w:tcPr>
          <w:p>
            <w:r>
              <w:rPr>
                <w:b/>
                <w:bCs/>
                <w:sz w:val="18"/>
                <w:szCs w:val="18"/>
              </w:rPr>
              <w:t xml:space="preserve">Human-Centred Mindset</w:t>
            </w:r>
          </w:p>
        </w:tc>
        <w:tc>
          <w:tcPr>
            <w:tcW w:type="dxa" w:w="2700"/>
            <w:shd w:fill="EAF1F3" w:val="clear"/>
            <w:tcMar>
              <w:top w:type="dxa" w:w="100"/>
              <w:left w:type="dxa" w:w="120"/>
              <w:bottom w:type="dxa" w:w="100"/>
              <w:right w:type="dxa" w:w="120"/>
            </w:tcMar>
            <w:vAlign w:val="center"/>
          </w:tcPr>
          <w:p>
            <w:r>
              <w:rPr>
                <w:sz w:val="18"/>
                <w:szCs w:val="18"/>
              </w:rPr>
              <w:t xml:space="preserve">Consider AI's impact on others</w:t>
            </w:r>
          </w:p>
        </w:tc>
        <w:tc>
          <w:tcPr>
            <w:tcW w:type="dxa" w:w="3900"/>
            <w:shd w:fill="EAF1F3" w:val="clear"/>
            <w:tcMar>
              <w:top w:type="dxa" w:w="100"/>
              <w:left w:type="dxa" w:w="120"/>
              <w:bottom w:type="dxa" w:w="100"/>
              <w:right w:type="dxa" w:w="120"/>
            </w:tcMar>
            <w:vAlign w:val="center"/>
          </w:tcPr>
          <w:p>
            <w:r>
              <w:rPr>
                <w:sz w:val="18"/>
                <w:szCs w:val="18"/>
              </w:rPr>
              <w:t xml:space="preserve">Recognize that AI can affect people differently</w:t>
            </w:r>
          </w:p>
        </w:tc>
      </w:tr>
      <w:tr>
        <w:tc>
          <w:tcPr>
            <w:tcW w:type="dxa" w:w="2400"/>
            <w:tcMar>
              <w:top w:type="dxa" w:w="100"/>
              <w:left w:type="dxa" w:w="120"/>
              <w:bottom w:type="dxa" w:w="100"/>
              <w:right w:type="dxa" w:w="120"/>
            </w:tcMar>
            <w:vAlign w:val="center"/>
          </w:tcPr>
          <w:p>
            <w:r>
              <w:rPr>
                <w:b/>
                <w:bCs/>
                <w:sz w:val="18"/>
                <w:szCs w:val="18"/>
              </w:rPr>
              <w:t xml:space="preserve">Ethics of AI</w:t>
            </w:r>
          </w:p>
        </w:tc>
        <w:tc>
          <w:tcPr>
            <w:tcW w:type="dxa" w:w="2700"/>
            <w:tcMar>
              <w:top w:type="dxa" w:w="100"/>
              <w:left w:type="dxa" w:w="120"/>
              <w:bottom w:type="dxa" w:w="100"/>
              <w:right w:type="dxa" w:w="120"/>
            </w:tcMar>
            <w:vAlign w:val="center"/>
          </w:tcPr>
          <w:p>
            <w:r>
              <w:rPr>
                <w:sz w:val="18"/>
                <w:szCs w:val="18"/>
              </w:rPr>
              <w:t xml:space="preserve">Understand fairness in AI</w:t>
            </w:r>
          </w:p>
        </w:tc>
        <w:tc>
          <w:tcPr>
            <w:tcW w:type="dxa" w:w="3900"/>
            <w:tcMar>
              <w:top w:type="dxa" w:w="100"/>
              <w:left w:type="dxa" w:w="120"/>
              <w:bottom w:type="dxa" w:w="100"/>
              <w:right w:type="dxa" w:w="120"/>
            </w:tcMar>
            <w:vAlign w:val="center"/>
          </w:tcPr>
          <w:p>
            <w:r>
              <w:rPr>
                <w:sz w:val="18"/>
                <w:szCs w:val="18"/>
              </w:rPr>
              <w:t xml:space="preserve">Recognize that AI outputs can be unfair or biased</w:t>
            </w:r>
          </w:p>
        </w:tc>
      </w:tr>
      <w:tr>
        <w:tc>
          <w:tcPr>
            <w:tcW w:type="dxa" w:w="2400"/>
            <w:shd w:fill="EAF1F3" w:val="clear"/>
            <w:tcMar>
              <w:top w:type="dxa" w:w="100"/>
              <w:left w:type="dxa" w:w="120"/>
              <w:bottom w:type="dxa" w:w="100"/>
              <w:right w:type="dxa" w:w="120"/>
            </w:tcMar>
            <w:vAlign w:val="center"/>
          </w:tcPr>
          <w:p>
            <w:r>
              <w:rPr>
                <w:b/>
                <w:bCs/>
                <w:sz w:val="18"/>
                <w:szCs w:val="18"/>
              </w:rPr>
              <w:t xml:space="preserve">Ethics of AI</w:t>
            </w:r>
          </w:p>
        </w:tc>
        <w:tc>
          <w:tcPr>
            <w:tcW w:type="dxa" w:w="2700"/>
            <w:shd w:fill="EAF1F3" w:val="clear"/>
            <w:tcMar>
              <w:top w:type="dxa" w:w="100"/>
              <w:left w:type="dxa" w:w="120"/>
              <w:bottom w:type="dxa" w:w="100"/>
              <w:right w:type="dxa" w:w="120"/>
            </w:tcMar>
            <w:vAlign w:val="center"/>
          </w:tcPr>
          <w:p>
            <w:r>
              <w:rPr>
                <w:sz w:val="18"/>
                <w:szCs w:val="18"/>
              </w:rPr>
              <w:t xml:space="preserve">Understand privacy basics</w:t>
            </w:r>
          </w:p>
        </w:tc>
        <w:tc>
          <w:tcPr>
            <w:tcW w:type="dxa" w:w="3900"/>
            <w:shd w:fill="EAF1F3" w:val="clear"/>
            <w:tcMar>
              <w:top w:type="dxa" w:w="100"/>
              <w:left w:type="dxa" w:w="120"/>
              <w:bottom w:type="dxa" w:w="100"/>
              <w:right w:type="dxa" w:w="120"/>
            </w:tcMar>
            <w:vAlign w:val="center"/>
          </w:tcPr>
          <w:p>
            <w:r>
              <w:rPr>
                <w:sz w:val="18"/>
                <w:szCs w:val="18"/>
              </w:rPr>
              <w:t xml:space="preserve">Recognize that AI systems can collect personal information</w:t>
            </w:r>
          </w:p>
        </w:tc>
      </w:tr>
      <w:tr>
        <w:tc>
          <w:tcPr>
            <w:tcW w:type="dxa" w:w="2400"/>
            <w:tcMar>
              <w:top w:type="dxa" w:w="100"/>
              <w:left w:type="dxa" w:w="120"/>
              <w:bottom w:type="dxa" w:w="100"/>
              <w:right w:type="dxa" w:w="120"/>
            </w:tcMar>
            <w:vAlign w:val="center"/>
          </w:tcPr>
          <w:p>
            <w:r>
              <w:rPr>
                <w:b/>
                <w:bCs/>
                <w:sz w:val="18"/>
                <w:szCs w:val="18"/>
              </w:rPr>
              <w:t xml:space="preserve">Ethics of AI</w:t>
            </w:r>
          </w:p>
        </w:tc>
        <w:tc>
          <w:tcPr>
            <w:tcW w:type="dxa" w:w="2700"/>
            <w:tcMar>
              <w:top w:type="dxa" w:w="100"/>
              <w:left w:type="dxa" w:w="120"/>
              <w:bottom w:type="dxa" w:w="100"/>
              <w:right w:type="dxa" w:w="120"/>
            </w:tcMar>
            <w:vAlign w:val="center"/>
          </w:tcPr>
          <w:p>
            <w:r>
              <w:rPr>
                <w:sz w:val="18"/>
                <w:szCs w:val="18"/>
              </w:rPr>
              <w:t xml:space="preserve">Understand safe and responsible use</w:t>
            </w:r>
          </w:p>
        </w:tc>
        <w:tc>
          <w:tcPr>
            <w:tcW w:type="dxa" w:w="3900"/>
            <w:tcMar>
              <w:top w:type="dxa" w:w="100"/>
              <w:left w:type="dxa" w:w="120"/>
              <w:bottom w:type="dxa" w:w="100"/>
              <w:right w:type="dxa" w:w="120"/>
            </w:tcMar>
            <w:vAlign w:val="center"/>
          </w:tcPr>
          <w:p>
            <w:r>
              <w:rPr>
                <w:sz w:val="18"/>
                <w:szCs w:val="18"/>
              </w:rPr>
              <w:t xml:space="preserve">Identify simple safe-use practices when interacting with AI</w:t>
            </w:r>
          </w:p>
        </w:tc>
      </w:tr>
      <w:tr>
        <w:tc>
          <w:tcPr>
            <w:tcW w:type="dxa" w:w="2400"/>
            <w:shd w:fill="EAF1F3" w:val="clear"/>
            <w:tcMar>
              <w:top w:type="dxa" w:w="100"/>
              <w:left w:type="dxa" w:w="120"/>
              <w:bottom w:type="dxa" w:w="100"/>
              <w:right w:type="dxa" w:w="120"/>
            </w:tcMar>
            <w:vAlign w:val="center"/>
          </w:tcPr>
          <w:p>
            <w:r>
              <w:rPr>
                <w:b/>
                <w:bCs/>
                <w:sz w:val="18"/>
                <w:szCs w:val="18"/>
              </w:rPr>
              <w:t xml:space="preserve">AI Techniques and Applications</w:t>
            </w:r>
          </w:p>
        </w:tc>
        <w:tc>
          <w:tcPr>
            <w:tcW w:type="dxa" w:w="2700"/>
            <w:shd w:fill="EAF1F3" w:val="clear"/>
            <w:tcMar>
              <w:top w:type="dxa" w:w="100"/>
              <w:left w:type="dxa" w:w="120"/>
              <w:bottom w:type="dxa" w:w="100"/>
              <w:right w:type="dxa" w:w="120"/>
            </w:tcMar>
            <w:vAlign w:val="center"/>
          </w:tcPr>
          <w:p>
            <w:r>
              <w:rPr>
                <w:sz w:val="18"/>
                <w:szCs w:val="18"/>
              </w:rPr>
              <w:t xml:space="preserve">Recognize what AI is</w:t>
            </w:r>
          </w:p>
        </w:tc>
        <w:tc>
          <w:tcPr>
            <w:tcW w:type="dxa" w:w="3900"/>
            <w:shd w:fill="EAF1F3" w:val="clear"/>
            <w:tcMar>
              <w:top w:type="dxa" w:w="100"/>
              <w:left w:type="dxa" w:w="120"/>
              <w:bottom w:type="dxa" w:w="100"/>
              <w:right w:type="dxa" w:w="120"/>
            </w:tcMar>
            <w:vAlign w:val="center"/>
          </w:tcPr>
          <w:p>
            <w:r>
              <w:rPr>
                <w:sz w:val="18"/>
                <w:szCs w:val="18"/>
              </w:rPr>
              <w:t xml:space="preserve">Distinguish AI systems from non-AI technology</w:t>
            </w:r>
          </w:p>
        </w:tc>
      </w:tr>
      <w:tr>
        <w:tc>
          <w:tcPr>
            <w:tcW w:type="dxa" w:w="2400"/>
            <w:tcMar>
              <w:top w:type="dxa" w:w="100"/>
              <w:left w:type="dxa" w:w="120"/>
              <w:bottom w:type="dxa" w:w="100"/>
              <w:right w:type="dxa" w:w="120"/>
            </w:tcMar>
            <w:vAlign w:val="center"/>
          </w:tcPr>
          <w:p>
            <w:r>
              <w:rPr>
                <w:b/>
                <w:bCs/>
                <w:sz w:val="18"/>
                <w:szCs w:val="18"/>
              </w:rPr>
              <w:t xml:space="preserve">AI Techniques and Applications</w:t>
            </w:r>
          </w:p>
        </w:tc>
        <w:tc>
          <w:tcPr>
            <w:tcW w:type="dxa" w:w="2700"/>
            <w:tcMar>
              <w:top w:type="dxa" w:w="100"/>
              <w:left w:type="dxa" w:w="120"/>
              <w:bottom w:type="dxa" w:w="100"/>
              <w:right w:type="dxa" w:w="120"/>
            </w:tcMar>
            <w:vAlign w:val="center"/>
          </w:tcPr>
          <w:p>
            <w:r>
              <w:rPr>
                <w:sz w:val="18"/>
                <w:szCs w:val="18"/>
              </w:rPr>
              <w:t xml:space="preserve">Understand how AI makes decisions</w:t>
            </w:r>
          </w:p>
        </w:tc>
        <w:tc>
          <w:tcPr>
            <w:tcW w:type="dxa" w:w="3900"/>
            <w:tcMar>
              <w:top w:type="dxa" w:w="100"/>
              <w:left w:type="dxa" w:w="120"/>
              <w:bottom w:type="dxa" w:w="100"/>
              <w:right w:type="dxa" w:w="120"/>
            </w:tcMar>
            <w:vAlign w:val="center"/>
          </w:tcPr>
          <w:p>
            <w:r>
              <w:rPr>
                <w:sz w:val="18"/>
                <w:szCs w:val="18"/>
              </w:rPr>
              <w:t xml:space="preserve">Describe, in simple terms, that AI follows patterns in data</w:t>
            </w:r>
          </w:p>
        </w:tc>
      </w:tr>
      <w:tr>
        <w:tc>
          <w:tcPr>
            <w:tcW w:type="dxa" w:w="2400"/>
            <w:shd w:fill="EAF1F3" w:val="clear"/>
            <w:tcMar>
              <w:top w:type="dxa" w:w="100"/>
              <w:left w:type="dxa" w:w="120"/>
              <w:bottom w:type="dxa" w:w="100"/>
              <w:right w:type="dxa" w:w="120"/>
            </w:tcMar>
            <w:vAlign w:val="center"/>
          </w:tcPr>
          <w:p>
            <w:r>
              <w:rPr>
                <w:b/>
                <w:bCs/>
                <w:sz w:val="18"/>
                <w:szCs w:val="18"/>
              </w:rPr>
              <w:t xml:space="preserve">AI Techniques and Applications</w:t>
            </w:r>
          </w:p>
        </w:tc>
        <w:tc>
          <w:tcPr>
            <w:tcW w:type="dxa" w:w="2700"/>
            <w:shd w:fill="EAF1F3" w:val="clear"/>
            <w:tcMar>
              <w:top w:type="dxa" w:w="100"/>
              <w:left w:type="dxa" w:w="120"/>
              <w:bottom w:type="dxa" w:w="100"/>
              <w:right w:type="dxa" w:w="120"/>
            </w:tcMar>
            <w:vAlign w:val="center"/>
          </w:tcPr>
          <w:p>
            <w:r>
              <w:rPr>
                <w:sz w:val="18"/>
                <w:szCs w:val="18"/>
              </w:rPr>
              <w:t xml:space="preserve">Identify AI in everyday tools</w:t>
            </w:r>
          </w:p>
        </w:tc>
        <w:tc>
          <w:tcPr>
            <w:tcW w:type="dxa" w:w="3900"/>
            <w:shd w:fill="EAF1F3" w:val="clear"/>
            <w:tcMar>
              <w:top w:type="dxa" w:w="100"/>
              <w:left w:type="dxa" w:w="120"/>
              <w:bottom w:type="dxa" w:w="100"/>
              <w:right w:type="dxa" w:w="120"/>
            </w:tcMar>
            <w:vAlign w:val="center"/>
          </w:tcPr>
          <w:p>
            <w:r>
              <w:rPr>
                <w:sz w:val="18"/>
                <w:szCs w:val="18"/>
              </w:rPr>
              <w:t xml:space="preserve">Recognize familiar apps or devices that use AI</w:t>
            </w:r>
          </w:p>
        </w:tc>
      </w:tr>
      <w:tr>
        <w:tc>
          <w:tcPr>
            <w:tcW w:type="dxa" w:w="2400"/>
            <w:tcMar>
              <w:top w:type="dxa" w:w="100"/>
              <w:left w:type="dxa" w:w="120"/>
              <w:bottom w:type="dxa" w:w="100"/>
              <w:right w:type="dxa" w:w="120"/>
            </w:tcMar>
            <w:vAlign w:val="center"/>
          </w:tcPr>
          <w:p>
            <w:r>
              <w:rPr>
                <w:b/>
                <w:bCs/>
                <w:sz w:val="18"/>
                <w:szCs w:val="18"/>
              </w:rPr>
              <w:t xml:space="preserve">AI System Design</w:t>
            </w:r>
          </w:p>
        </w:tc>
        <w:tc>
          <w:tcPr>
            <w:tcW w:type="dxa" w:w="2700"/>
            <w:tcMar>
              <w:top w:type="dxa" w:w="100"/>
              <w:left w:type="dxa" w:w="120"/>
              <w:bottom w:type="dxa" w:w="100"/>
              <w:right w:type="dxa" w:w="120"/>
            </w:tcMar>
            <w:vAlign w:val="center"/>
          </w:tcPr>
          <w:p>
            <w:r>
              <w:rPr>
                <w:sz w:val="18"/>
                <w:szCs w:val="18"/>
              </w:rPr>
              <w:t xml:space="preserve">Understand that AI is designed by people</w:t>
            </w:r>
          </w:p>
        </w:tc>
        <w:tc>
          <w:tcPr>
            <w:tcW w:type="dxa" w:w="3900"/>
            <w:tcMar>
              <w:top w:type="dxa" w:w="100"/>
              <w:left w:type="dxa" w:w="120"/>
              <w:bottom w:type="dxa" w:w="100"/>
              <w:right w:type="dxa" w:w="120"/>
            </w:tcMar>
            <w:vAlign w:val="center"/>
          </w:tcPr>
          <w:p>
            <w:r>
              <w:rPr>
                <w:sz w:val="18"/>
                <w:szCs w:val="18"/>
              </w:rPr>
              <w:t xml:space="preserve">Recognize AI systems are built and can be changed by people</w:t>
            </w:r>
          </w:p>
        </w:tc>
      </w:tr>
      <w:tr>
        <w:tc>
          <w:tcPr>
            <w:tcW w:type="dxa" w:w="2400"/>
            <w:shd w:fill="EAF1F3" w:val="clear"/>
            <w:tcMar>
              <w:top w:type="dxa" w:w="100"/>
              <w:left w:type="dxa" w:w="120"/>
              <w:bottom w:type="dxa" w:w="100"/>
              <w:right w:type="dxa" w:w="120"/>
            </w:tcMar>
            <w:vAlign w:val="center"/>
          </w:tcPr>
          <w:p>
            <w:r>
              <w:rPr>
                <w:b/>
                <w:bCs/>
                <w:sz w:val="18"/>
                <w:szCs w:val="18"/>
              </w:rPr>
              <w:t xml:space="preserve">AI System Design</w:t>
            </w:r>
          </w:p>
        </w:tc>
        <w:tc>
          <w:tcPr>
            <w:tcW w:type="dxa" w:w="2700"/>
            <w:shd w:fill="EAF1F3" w:val="clear"/>
            <w:tcMar>
              <w:top w:type="dxa" w:w="100"/>
              <w:left w:type="dxa" w:w="120"/>
              <w:bottom w:type="dxa" w:w="100"/>
              <w:right w:type="dxa" w:w="120"/>
            </w:tcMar>
            <w:vAlign w:val="center"/>
          </w:tcPr>
          <w:p>
            <w:r>
              <w:rPr>
                <w:sz w:val="18"/>
                <w:szCs w:val="18"/>
              </w:rPr>
              <w:t xml:space="preserve">Understand data's role in AI</w:t>
            </w:r>
          </w:p>
        </w:tc>
        <w:tc>
          <w:tcPr>
            <w:tcW w:type="dxa" w:w="3900"/>
            <w:shd w:fill="EAF1F3" w:val="clear"/>
            <w:tcMar>
              <w:top w:type="dxa" w:w="100"/>
              <w:left w:type="dxa" w:w="120"/>
              <w:bottom w:type="dxa" w:w="100"/>
              <w:right w:type="dxa" w:w="120"/>
            </w:tcMar>
            <w:vAlign w:val="center"/>
          </w:tcPr>
          <w:p>
            <w:r>
              <w:rPr>
                <w:sz w:val="18"/>
                <w:szCs w:val="18"/>
              </w:rPr>
              <w:t xml:space="preserve">Recognize AI systems learn from data provided by people</w:t>
            </w:r>
          </w:p>
        </w:tc>
      </w:tr>
      <w:tr>
        <w:tc>
          <w:tcPr>
            <w:tcW w:type="dxa" w:w="2400"/>
            <w:tcMar>
              <w:top w:type="dxa" w:w="100"/>
              <w:left w:type="dxa" w:w="120"/>
              <w:bottom w:type="dxa" w:w="100"/>
              <w:right w:type="dxa" w:w="120"/>
            </w:tcMar>
            <w:vAlign w:val="center"/>
          </w:tcPr>
          <w:p>
            <w:r>
              <w:rPr>
                <w:b/>
                <w:bCs/>
                <w:sz w:val="18"/>
                <w:szCs w:val="18"/>
              </w:rPr>
              <w:t xml:space="preserve">AI System Design</w:t>
            </w:r>
          </w:p>
        </w:tc>
        <w:tc>
          <w:tcPr>
            <w:tcW w:type="dxa" w:w="2700"/>
            <w:tcMar>
              <w:top w:type="dxa" w:w="100"/>
              <w:left w:type="dxa" w:w="120"/>
              <w:bottom w:type="dxa" w:w="100"/>
              <w:right w:type="dxa" w:w="120"/>
            </w:tcMar>
            <w:vAlign w:val="center"/>
          </w:tcPr>
          <w:p>
            <w:r>
              <w:rPr>
                <w:sz w:val="18"/>
                <w:szCs w:val="18"/>
              </w:rPr>
              <w:t xml:space="preserve">Imagine improving an AI system</w:t>
            </w:r>
          </w:p>
        </w:tc>
        <w:tc>
          <w:tcPr>
            <w:tcW w:type="dxa" w:w="3900"/>
            <w:tcMar>
              <w:top w:type="dxa" w:w="100"/>
              <w:left w:type="dxa" w:w="120"/>
              <w:bottom w:type="dxa" w:w="100"/>
              <w:right w:type="dxa" w:w="120"/>
            </w:tcMar>
            <w:vAlign w:val="center"/>
          </w:tcPr>
          <w:p>
            <w:r>
              <w:rPr>
                <w:sz w:val="18"/>
                <w:szCs w:val="18"/>
              </w:rPr>
              <w:t xml:space="preserve">Suggest a simple idea for how an AI tool could be improved</w:t>
            </w:r>
          </w:p>
        </w:tc>
      </w:tr>
    </w:tbl>
    <w:p>
      <w:r>
        <w:br w:type="page"/>
      </w:r>
    </w:p>
    <w:p>
      <w:pPr>
        <w:pStyle w:val="Heading1"/>
        <w:spacing w:after="160" w:before="360"/>
      </w:pPr>
      <w:r>
        <w:t xml:space="preserve">Activity 3 — Druga et al. Findings: Common Misconceptions Kids Have (Do, 15 min)</w:t>
      </w:r>
    </w:p>
    <w:p>
      <w:pPr>
        <w:spacing w:after="120"/>
      </w:pPr>
      <w:r>
        <w:t xml:space="preserve">Learners connect the research findings from the video to their own students.</w:t>
      </w:r>
    </w:p>
    <w:p>
      <w:pPr>
        <w:spacing w:after="40" w:before="120"/>
      </w:pPr>
      <w:r>
        <w:rPr>
          <w:b/>
          <w:bCs/>
          <w:color w:val="1F4E5F"/>
        </w:rPr>
        <w:t xml:space="preserve">Key findings (from the video)</w:t>
      </w:r>
    </w:p>
    <w:p>
      <w:pPr>
        <w:pStyle w:val="ListParagraph"/>
        <w:numPr>
          <w:ilvl w:val="0"/>
          <w:numId w:val="2"/>
        </w:numPr>
        <w:spacing w:after="60"/>
      </w:pPr>
      <w:r>
        <w:t xml:space="preserve">Children often attribute human-like feelings, or even aliveness, to AI agents such as smart speakers</w:t>
      </w:r>
    </w:p>
    <w:p>
      <w:pPr>
        <w:pStyle w:val="ListParagraph"/>
        <w:numPr>
          <w:ilvl w:val="0"/>
          <w:numId w:val="2"/>
        </w:numPr>
        <w:spacing w:after="60"/>
      </w:pPr>
      <w:r>
        <w:t xml:space="preserve">Children can overestimate how smart or capable an AI system is compared to a person</w:t>
      </w:r>
    </w:p>
    <w:p>
      <w:pPr>
        <w:pStyle w:val="ListParagraph"/>
        <w:numPr>
          <w:ilvl w:val="0"/>
          <w:numId w:val="2"/>
        </w:numPr>
        <w:spacing w:after="60"/>
      </w:pPr>
      <w:r>
        <w:t xml:space="preserve">These beliefs shape how much children trust AI output without question</w:t>
      </w:r>
    </w:p>
    <w:p>
      <w:pPr>
        <w:spacing w:after="40" w:before="120"/>
      </w:pPr>
      <w:r>
        <w:rPr>
          <w:b/>
          <w:bCs/>
          <w:color w:val="1F4E5F"/>
        </w:rPr>
        <w:t xml:space="preserve">Reflection questions</w:t>
      </w:r>
    </w:p>
    <w:p>
      <w:pPr>
        <w:pStyle w:val="ListParagraph"/>
        <w:numPr>
          <w:ilvl w:val="0"/>
          <w:numId w:val="2"/>
        </w:numPr>
        <w:spacing w:after="60"/>
      </w:pPr>
      <w:r>
        <w:t xml:space="preserve">Have you heard a student say something that reflects one of these misconceptions? What did they say?</w:t>
      </w:r>
    </w:p>
    <w:p>
      <w:pPr>
        <w:pStyle w:val="ListParagraph"/>
        <w:numPr>
          <w:ilvl w:val="0"/>
          <w:numId w:val="2"/>
        </w:numPr>
        <w:spacing w:after="60"/>
      </w:pPr>
      <w:r>
        <w:t xml:space="preserve">Which of these misconceptions do you think is most common among students at your grade level?</w:t>
      </w:r>
    </w:p>
    <w:p>
      <w:pPr>
        <w:pStyle w:val="ListParagraph"/>
        <w:numPr>
          <w:ilvl w:val="0"/>
          <w:numId w:val="2"/>
        </w:numPr>
        <w:spacing w:after="60"/>
      </w:pPr>
      <w:r>
        <w:t xml:space="preserve">What is one simple, age-appropriate phrase you could use to gently correct this misconception in your classroom?</w:t>
      </w:r>
    </w:p>
    <w:p>
      <w:pPr>
        <w:pStyle w:val="Heading1"/>
        <w:spacing w:after="160" w:before="360"/>
      </w:pPr>
      <w:r>
        <w:t xml:space="preserve">Activity 4 — Find Your Entry Point (Do, 15 min)</w:t>
      </w:r>
    </w:p>
    <w:p>
      <w:pPr>
        <w:spacing w:after="120"/>
      </w:pPr>
      <w:r>
        <w:t xml:space="preserve">Learners identify which competencies from the framework best fit their own grade level and subject.</w:t>
      </w:r>
    </w:p>
    <w:p>
      <w:pPr>
        <w:spacing w:after="40" w:before="120"/>
      </w:pPr>
      <w:r>
        <w:rPr>
          <w:b/>
          <w:bCs/>
          <w:color w:val="1F4E5F"/>
        </w:rPr>
        <w:t xml:space="preserve">Worksheet</w:t>
      </w:r>
    </w:p>
    <w:p>
      <w:pPr>
        <w:pStyle w:val="ListParagraph"/>
        <w:numPr>
          <w:ilvl w:val="0"/>
          <w:numId w:val="2"/>
        </w:numPr>
        <w:spacing w:after="60"/>
      </w:pPr>
      <w:r>
        <w:t xml:space="preserve">My grade level / subject: ______</w:t>
      </w:r>
    </w:p>
    <w:p>
      <w:pPr>
        <w:pStyle w:val="ListParagraph"/>
        <w:numPr>
          <w:ilvl w:val="0"/>
          <w:numId w:val="2"/>
        </w:numPr>
        <w:spacing w:after="60"/>
      </w:pPr>
      <w:r>
        <w:t xml:space="preserve">The competency (or competencies) from the Activity 2 table most relevant to my students right now: ______</w:t>
      </w:r>
    </w:p>
    <w:p>
      <w:pPr>
        <w:pStyle w:val="ListParagraph"/>
        <w:numPr>
          <w:ilvl w:val="0"/>
          <w:numId w:val="2"/>
        </w:numPr>
        <w:spacing w:after="60"/>
      </w:pPr>
      <w:r>
        <w:t xml:space="preserve">Why this competency is a good entry point for my students: ______</w:t>
      </w:r>
    </w:p>
    <w:p>
      <w:r>
        <w:br w:type="page"/>
      </w:r>
    </w:p>
    <w:p>
      <w:pPr>
        <w:pStyle w:val="Heading1"/>
        <w:spacing w:after="160" w:before="360"/>
      </w:pPr>
      <w:r>
        <w:t xml:space="preserve">Activity 5 — Design Your Classroom Activity (Capstone, 35–40 min)</w:t>
      </w:r>
    </w:p>
    <w:p>
      <w:pPr>
        <w:spacing w:after="120"/>
      </w:pPr>
      <w:r>
        <w:t xml:space="preserve">This is the course capstone artifact. Learners design one original, realistic classroom activity that helps their own students build AI literacy, tied to a specific competency from the AI Competency Framework for Students.</w:t>
      </w:r>
    </w:p>
    <w:p>
      <w:pPr>
        <w:spacing w:after="40" w:before="120"/>
      </w:pPr>
      <w:r>
        <w:rPr>
          <w:b/>
          <w:bCs/>
          <w:color w:val="1F4E5F"/>
        </w:rPr>
        <w:t xml:space="preserve">Instructions</w:t>
      </w:r>
    </w:p>
    <w:p>
      <w:pPr>
        <w:spacing w:after="120"/>
      </w:pPr>
      <w:r>
        <w:t xml:space="preserve">"Using your entry point from Activity 4, design one classroom activity you could realistically run with your own students. Fill out the template below completely, then submit it to your portfolio as your final capstone artifact."</w:t>
      </w:r>
    </w:p>
    <w:p>
      <w:pPr>
        <w:spacing w:after="40" w:before="120"/>
      </w:pPr>
      <w:r>
        <w:rPr>
          <w:b/>
          <w:bCs/>
          <w:color w:val="1F4E5F"/>
        </w:rPr>
        <w:t xml:space="preserve">Activity title</w:t>
      </w:r>
    </w:p>
    <w:p>
      <w:pPr>
        <w:spacing w:after="120"/>
      </w:pPr>
      <w:r>
        <w:t xml:space="preserve">______</w:t>
      </w:r>
    </w:p>
    <w:p>
      <w:pPr>
        <w:spacing w:after="40" w:before="120"/>
      </w:pPr>
      <w:r>
        <w:rPr>
          <w:b/>
          <w:bCs/>
          <w:color w:val="1F4E5F"/>
        </w:rPr>
        <w:t xml:space="preserve">Grade level / subject</w:t>
      </w:r>
    </w:p>
    <w:p>
      <w:pPr>
        <w:spacing w:after="120"/>
      </w:pPr>
      <w:r>
        <w:t xml:space="preserve">______</w:t>
      </w:r>
    </w:p>
    <w:p>
      <w:pPr>
        <w:spacing w:after="40" w:before="120"/>
      </w:pPr>
      <w:r>
        <w:rPr>
          <w:b/>
          <w:bCs/>
          <w:color w:val="1F4E5F"/>
        </w:rPr>
        <w:t xml:space="preserve">Target competency (from the framework table above)</w:t>
      </w:r>
    </w:p>
    <w:p>
      <w:pPr>
        <w:spacing w:after="120"/>
      </w:pPr>
      <w:r>
        <w:t xml:space="preserve">Dimension: ______   Competency: ______</w:t>
      </w:r>
    </w:p>
    <w:p>
      <w:pPr>
        <w:spacing w:after="40" w:before="120"/>
      </w:pPr>
      <w:r>
        <w:rPr>
          <w:b/>
          <w:bCs/>
          <w:color w:val="1F4E5F"/>
        </w:rPr>
        <w:t xml:space="preserve">Student learning objective</w:t>
      </w:r>
    </w:p>
    <w:p>
      <w:pPr>
        <w:spacing w:after="120"/>
      </w:pPr>
      <w:r>
        <w:t xml:space="preserve">By the end of this activity, my students will be able to: ______</w:t>
      </w:r>
    </w:p>
    <w:p>
      <w:pPr>
        <w:spacing w:after="40" w:before="120"/>
      </w:pPr>
      <w:r>
        <w:rPr>
          <w:b/>
          <w:bCs/>
          <w:color w:val="1F4E5F"/>
        </w:rPr>
        <w:t xml:space="preserve">Materials needed</w:t>
      </w:r>
    </w:p>
    <w:p>
      <w:pPr>
        <w:spacing w:after="120"/>
      </w:pPr>
      <w:r>
        <w:t xml:space="preserve">______</w:t>
      </w:r>
    </w:p>
    <w:p>
      <w:pPr>
        <w:spacing w:after="40" w:before="120"/>
      </w:pPr>
      <w:r>
        <w:rPr>
          <w:b/>
          <w:bCs/>
          <w:color w:val="1F4E5F"/>
        </w:rPr>
        <w:t xml:space="preserve">Step-by-step activity outline</w:t>
      </w:r>
    </w:p>
    <w:p>
      <w:pPr>
        <w:pStyle w:val="ListParagraph"/>
        <w:numPr>
          <w:ilvl w:val="0"/>
          <w:numId w:val="3"/>
        </w:numPr>
        <w:spacing w:after="60"/>
      </w:pPr>
      <w:r>
        <w:t xml:space="preserve">______</w:t>
      </w:r>
    </w:p>
    <w:p>
      <w:pPr>
        <w:pStyle w:val="ListParagraph"/>
        <w:numPr>
          <w:ilvl w:val="0"/>
          <w:numId w:val="3"/>
        </w:numPr>
        <w:spacing w:after="60"/>
      </w:pPr>
      <w:r>
        <w:t xml:space="preserve">______</w:t>
      </w:r>
    </w:p>
    <w:p>
      <w:pPr>
        <w:pStyle w:val="ListParagraph"/>
        <w:numPr>
          <w:ilvl w:val="0"/>
          <w:numId w:val="3"/>
        </w:numPr>
        <w:spacing w:after="60"/>
      </w:pPr>
      <w:r>
        <w:t xml:space="preserve">______</w:t>
      </w:r>
    </w:p>
    <w:p>
      <w:pPr>
        <w:spacing w:after="40" w:before="120"/>
      </w:pPr>
      <w:r>
        <w:rPr>
          <w:b/>
          <w:bCs/>
          <w:color w:val="1F4E5F"/>
        </w:rPr>
        <w:t xml:space="preserve">Check for understanding</w:t>
      </w:r>
    </w:p>
    <w:p>
      <w:pPr>
        <w:spacing w:after="120"/>
      </w:pPr>
      <w:r>
        <w:t xml:space="preserve">How will you know the activity worked? (e.g., a question you'll ask, a short response students write): ______</w:t>
      </w:r>
    </w:p>
    <w:p>
      <w:pPr>
        <w:spacing w:after="40" w:before="120"/>
      </w:pPr>
      <w:r>
        <w:rPr>
          <w:b/>
          <w:bCs/>
          <w:color w:val="1F4E5F"/>
        </w:rPr>
        <w:t xml:space="preserve">Scoring guidance (self- or facilitator-assessed)</w:t>
      </w:r>
    </w:p>
    <w:p>
      <w:pPr>
        <w:pStyle w:val="ListParagraph"/>
        <w:numPr>
          <w:ilvl w:val="0"/>
          <w:numId w:val="2"/>
        </w:numPr>
        <w:spacing w:after="60"/>
      </w:pPr>
      <w:r>
        <w:t xml:space="preserve">Meets expectations: activity is tied to a specific framework competency, is realistic for the stated grade level, and includes a clear way to check student understanding</w:t>
      </w:r>
    </w:p>
    <w:p>
      <w:pPr>
        <w:pStyle w:val="ListParagraph"/>
        <w:numPr>
          <w:ilvl w:val="0"/>
          <w:numId w:val="2"/>
        </w:numPr>
        <w:spacing w:after="60"/>
      </w:pPr>
      <w:r>
        <w:t xml:space="preserve">Needs revision: activity is too vague to run as-is, not clearly tied to a framework competency, or has no way to check understanding</w:t>
      </w:r>
    </w:p>
    <w:p>
      <w:pPr>
        <w:pStyle w:val="Heading1"/>
        <w:spacing w:after="160" w:before="360"/>
      </w:pPr>
      <w:r>
        <w:t xml:space="preserve">Activity 6 — Course Wrap-Up: Revisit Your Goals (Reflect, 10 min)</w:t>
      </w:r>
    </w:p>
    <w:p>
      <w:pPr>
        <w:spacing w:after="120"/>
      </w:pPr>
      <w:r>
        <w:t xml:space="preserve">A closing reflection that brings the course full circle.</w:t>
      </w:r>
    </w:p>
    <w:p>
      <w:pPr>
        <w:spacing w:after="40" w:before="120"/>
      </w:pPr>
      <w:r>
        <w:rPr>
          <w:b/>
          <w:bCs/>
          <w:color w:val="1F4E5F"/>
        </w:rPr>
        <w:t xml:space="preserve">Instructions</w:t>
      </w:r>
    </w:p>
    <w:p>
      <w:pPr>
        <w:pStyle w:val="ListParagraph"/>
        <w:numPr>
          <w:ilvl w:val="0"/>
          <w:numId w:val="2"/>
        </w:numPr>
        <w:spacing w:after="60"/>
      </w:pPr>
      <w:r>
        <w:t xml:space="preserve">Reread the personal learning goal you wrote in Module 0. Did you meet it? What surprised you along the way?</w:t>
      </w:r>
    </w:p>
    <w:p>
      <w:pPr>
        <w:pStyle w:val="ListParagraph"/>
        <w:numPr>
          <w:ilvl w:val="0"/>
          <w:numId w:val="2"/>
        </w:numPr>
        <w:spacing w:after="60"/>
      </w:pPr>
      <w:r>
        <w:t xml:space="preserve">Reread the growth plan you wrote in Module 2. Where do you now sit on that component, compared to where you started?</w:t>
      </w:r>
    </w:p>
    <w:p>
      <w:pPr>
        <w:pStyle w:val="ListParagraph"/>
        <w:numPr>
          <w:ilvl w:val="0"/>
          <w:numId w:val="2"/>
        </w:numPr>
        <w:spacing w:after="60"/>
      </w:pPr>
      <w:r>
        <w:t xml:space="preserve">Write one sentence about what you want to keep doing with AI in your teaching after this course ends.</w:t>
      </w:r>
    </w:p>
    <w:p>
      <w:pPr>
        <w:spacing w:after="120"/>
      </w:pPr>
      <w:r>
        <w:t xml:space="preserve">This reflection is not scored, but is encouraged as part of a complete portfolio and closes out the course alongside the Module 8 capstone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2026-07-21T06:53:40.869Z</dcterms:created>
  <dcterms:modified xsi:type="dcterms:W3CDTF">2026-07-21T06:53:40.882Z</dcterms:modified>
</cp:coreProperties>
</file>

<file path=docProps/custom.xml><?xml version="1.0" encoding="utf-8"?>
<Properties xmlns="http://schemas.openxmlformats.org/officeDocument/2006/custom-properties" xmlns:vt="http://schemas.openxmlformats.org/officeDocument/2006/docPropsVTypes"/>
</file>