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365D"/>
            <w:tcMar>
              <w:top w:w="200" w:type="dxa"/>
              <w:bottom w:w="200" w:type="dxa"/>
              <w:left w:w="200" w:type="dxa"/>
              <w:right w:w="200" w:type="dxa"/>
            </w:tcMar>
          </w:tcPr>
          <w:p>
            <w:pPr>
              <w:jc w:val="left"/>
            </w:pPr>
            <w:r>
              <w:rPr>
                <w:b/>
                <w:color w:val="C57827"/>
                <w:sz w:val="19"/>
              </w:rPr>
              <w:t>TEACHER PROFESSIONAL DEVELOPMENT PROGRAM</w:t>
            </w:r>
          </w:p>
          <w:p>
            <w:r>
              <w:rPr>
                <w:b/>
                <w:color w:val="FFFFFF"/>
                <w:sz w:val="40"/>
              </w:rPr>
              <w:t>Video Script: The 5 Components of AI-Ready Teaching</w:t>
            </w:r>
          </w:p>
          <w:p>
            <w:r>
              <w:rPr>
                <w:i/>
                <w:color w:val="DCE6F0"/>
                <w:sz w:val="22"/>
              </w:rPr>
              <w:t>Bilingual Production Script (English &amp; Khmer) | Target Duration: 7 Minutes</w:t>
            </w:r>
          </w:p>
        </w:tc>
      </w:tr>
    </w:tbl>
    <w:p>
      <w:pPr>
        <w:spacing w:after="120"/>
      </w:pPr>
    </w:p>
    <w:tbl>
      <w:tblPr>
        <w:tblW w:type="auto" w:w="0"/>
        <w:jc w:val="center"/>
        <w:tblLook w:firstColumn="1" w:firstRow="1" w:lastColumn="0" w:lastRow="0" w:noHBand="0" w:noVBand="1" w:val="04A0"/>
      </w:tblPr>
      <w:tblGrid>
        <w:gridCol w:w="9936"/>
      </w:tblGrid>
      <w:tr>
        <w:tc>
          <w:tcPr>
            <w:tcW w:type="dxa" w:w="9936"/>
            <w:shd w:fill="EBF1F5"/>
            <w:tcMar>
              <w:top w:w="140" w:type="dxa"/>
              <w:bottom w:w="140" w:type="dxa"/>
              <w:left w:w="180" w:type="dxa"/>
              <w:right w:w="180" w:type="dxa"/>
            </w:tcMar>
            <w:tcBorders>
              <w:left w:val="single" w:sz="36" w:space="0" w:color="1B365D"/>
              <w:top w:val="none"/>
              <w:right w:val="none"/>
              <w:bottom w:val="none"/>
            </w:tcBorders>
          </w:tcPr>
          <w:p>
            <w:r>
              <w:rPr>
                <w:b/>
                <w:color w:val="1B365D"/>
                <w:sz w:val="22"/>
              </w:rPr>
              <w:t>📌 DOCUMENT OVERVIEW &amp; PRODUCTION GUIDELINES</w:t>
              <w:br/>
            </w:r>
          </w:p>
          <w:p>
            <w:pPr>
              <w:spacing w:after="60"/>
            </w:pPr>
            <w:r>
              <w:rPr>
                <w:b/>
                <w:color w:val="C57827"/>
              </w:rPr>
              <w:t xml:space="preserve">• </w:t>
            </w:r>
            <w:r>
              <w:rPr>
                <w:sz w:val="20"/>
              </w:rPr>
              <w:t>Purpose: Comprehensive training video script introducing the UNESCO AI Competency Framework for Teachers, its proficiency levels, and alignment with DigCompEdu and TPACK.</w:t>
            </w:r>
          </w:p>
          <w:p>
            <w:pPr>
              <w:spacing w:after="60"/>
            </w:pPr>
            <w:r>
              <w:rPr>
                <w:b/>
                <w:color w:val="C57827"/>
              </w:rPr>
              <w:t xml:space="preserve">• </w:t>
            </w:r>
            <w:r>
              <w:rPr>
                <w:sz w:val="20"/>
              </w:rPr>
              <w:t>Target Audience: Educators, Academic Supervisors, and Teacher Trainers.</w:t>
            </w:r>
          </w:p>
          <w:p>
            <w:pPr>
              <w:spacing w:after="60"/>
            </w:pPr>
            <w:r>
              <w:rPr>
                <w:b/>
                <w:color w:val="C57827"/>
              </w:rPr>
              <w:t xml:space="preserve">• </w:t>
            </w:r>
            <w:r>
              <w:rPr>
                <w:sz w:val="20"/>
              </w:rPr>
              <w:t>Production Format: On-camera host presenter combined with 2D animated graphics, motion diagrams, and text callouts.</w:t>
            </w:r>
          </w:p>
          <w:p>
            <w:pPr>
              <w:spacing w:after="60"/>
            </w:pPr>
            <w:r>
              <w:rPr>
                <w:b/>
                <w:color w:val="C57827"/>
              </w:rPr>
              <w:t xml:space="preserve">• </w:t>
            </w:r>
            <w:r>
              <w:rPr>
                <w:sz w:val="20"/>
              </w:rPr>
              <w:t>Learner Instructions: 'Watch the video below once, all the way through. Keep a notepad handy — you will place yourself on the framework grid right after.'</w:t>
            </w:r>
          </w:p>
          <w:p>
            <w:pPr>
              <w:spacing w:after="60"/>
            </w:pPr>
            <w:r>
              <w:rPr>
                <w:b/>
                <w:color w:val="C57827"/>
              </w:rPr>
              <w:t xml:space="preserve">• </w:t>
            </w:r>
            <w:r>
              <w:rPr>
                <w:sz w:val="20"/>
              </w:rPr>
              <w:t>Language &amp; Layout: Side-by-side dual-column format featuring English Narration alongside official/high-register Khmer (ខេមរភាសា) Translation with visual cues.</w:t>
            </w:r>
          </w:p>
        </w:tc>
      </w:tr>
    </w:tbl>
    <w:p>
      <w:pPr>
        <w:spacing w:after="120"/>
      </w:pPr>
    </w:p>
    <w:p>
      <w:pPr>
        <w:keepNext/>
        <w:spacing w:before="280" w:after="120"/>
      </w:pPr>
      <w:r>
        <w:rPr>
          <w:b/>
          <w:color w:val="1B365D"/>
          <w:sz w:val="30"/>
        </w:rPr>
        <w:t>1. Pedagogical Context &amp; Framework Alignment</w:t>
      </w:r>
    </w:p>
    <w:p>
      <w:pPr>
        <w:spacing w:after="160" w:line="276" w:lineRule="auto"/>
      </w:pPr>
      <w:r>
        <w:t>This video script is designed to scaffold teachers' understanding of artificial intelligence integration in education. Rather than focusing strictly on technical software tools, the script grounds teacher development in human-centric competencies. It connects the UNESCO AI Competency Framework for Teachers (2024) with established educational frameworks including DigCompEdu (European Digital Competency Framework for Educators) and TPACK (Technological Pedagogical Content Knowledge).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B365D"/>
            <w:tcMar>
              <w:top w:w="100" w:type="dxa"/>
              <w:bottom w:w="100" w:type="dxa"/>
              <w:left w:w="120" w:type="dxa"/>
              <w:right w:w="120" w:type="dxa"/>
            </w:tcMar>
          </w:tcPr>
          <w:p>
            <w:pPr>
              <w:jc w:val="left"/>
            </w:pPr>
            <w:r>
              <w:rPr>
                <w:b/>
                <w:color w:val="FFFFFF"/>
              </w:rPr>
              <w:t>Framework Element</w:t>
            </w:r>
          </w:p>
        </w:tc>
        <w:tc>
          <w:tcPr>
            <w:tcW w:type="dxa" w:w="3168"/>
            <w:shd w:fill="1B365D"/>
            <w:tcMar>
              <w:top w:w="100" w:type="dxa"/>
              <w:bottom w:w="100" w:type="dxa"/>
              <w:left w:w="120" w:type="dxa"/>
              <w:right w:w="120" w:type="dxa"/>
            </w:tcMar>
          </w:tcPr>
          <w:p>
            <w:pPr>
              <w:jc w:val="left"/>
            </w:pPr>
            <w:r>
              <w:rPr>
                <w:b/>
                <w:color w:val="FFFFFF"/>
              </w:rPr>
              <w:t>Core Components / Levels</w:t>
            </w:r>
          </w:p>
        </w:tc>
        <w:tc>
          <w:tcPr>
            <w:tcW w:type="dxa" w:w="4176"/>
            <w:shd w:fill="1B365D"/>
            <w:tcMar>
              <w:top w:w="100" w:type="dxa"/>
              <w:bottom w:w="100" w:type="dxa"/>
              <w:left w:w="120" w:type="dxa"/>
              <w:right w:w="120" w:type="dxa"/>
            </w:tcMar>
          </w:tcPr>
          <w:p>
            <w:pPr>
              <w:jc w:val="left"/>
            </w:pPr>
            <w:r>
              <w:rPr>
                <w:b/>
                <w:color w:val="FFFFFF"/>
              </w:rPr>
              <w:t>Pedagogy &amp; Teacher Impact</w:t>
            </w:r>
          </w:p>
        </w:tc>
      </w:tr>
      <w:tr>
        <w:tc>
          <w:tcPr>
            <w:tcW w:type="dxa" w:w="2592"/>
            <w:tcMar>
              <w:top w:w="80" w:type="dxa"/>
              <w:bottom w:w="80" w:type="dxa"/>
              <w:left w:w="100" w:type="dxa"/>
              <w:right w:w="100" w:type="dxa"/>
            </w:tcMar>
            <w:shd w:fill="F4F6F8"/>
          </w:tcPr>
          <w:p>
            <w:pPr>
              <w:spacing w:line="264" w:lineRule="auto"/>
            </w:pPr>
            <w:r>
              <w:t>UNESCO AI Framework</w:t>
              <w:br/>
              <w:t>(5 Components)</w:t>
            </w:r>
          </w:p>
        </w:tc>
        <w:tc>
          <w:tcPr>
            <w:tcW w:type="dxa" w:w="3168"/>
            <w:tcMar>
              <w:top w:w="80" w:type="dxa"/>
              <w:bottom w:w="80" w:type="dxa"/>
              <w:left w:w="100" w:type="dxa"/>
              <w:right w:w="100" w:type="dxa"/>
            </w:tcMar>
            <w:shd w:fill="F4F6F8"/>
          </w:tcPr>
          <w:p>
            <w:pPr>
              <w:spacing w:line="264" w:lineRule="auto"/>
            </w:pPr>
            <w:r>
              <w:t>1. Human-Centred Mindset</w:t>
              <w:br/>
              <w:t>2. Ethics of AI</w:t>
              <w:br/>
              <w:t>3. AI Foundations &amp; Applications</w:t>
              <w:br/>
              <w:t>4. AI Pedagogy</w:t>
              <w:br/>
              <w:t>5. Professional Development</w:t>
            </w:r>
          </w:p>
        </w:tc>
        <w:tc>
          <w:tcPr>
            <w:tcW w:type="dxa" w:w="4176"/>
            <w:tcMar>
              <w:top w:w="80" w:type="dxa"/>
              <w:bottom w:w="80" w:type="dxa"/>
              <w:left w:w="100" w:type="dxa"/>
              <w:right w:w="100" w:type="dxa"/>
            </w:tcMar>
            <w:shd w:fill="F4F6F8"/>
          </w:tcPr>
          <w:p>
            <w:pPr>
              <w:spacing w:line="264" w:lineRule="auto"/>
            </w:pPr>
            <w:r>
              <w:t>Establishes holistic digital maturity across ethical, technical, and practical dimensions.</w:t>
            </w:r>
          </w:p>
        </w:tc>
      </w:tr>
      <w:tr>
        <w:tc>
          <w:tcPr>
            <w:tcW w:type="dxa" w:w="2592"/>
            <w:tcMar>
              <w:top w:w="80" w:type="dxa"/>
              <w:bottom w:w="80" w:type="dxa"/>
              <w:left w:w="100" w:type="dxa"/>
              <w:right w:w="100" w:type="dxa"/>
            </w:tcMar>
          </w:tcPr>
          <w:p>
            <w:pPr>
              <w:spacing w:line="264" w:lineRule="auto"/>
            </w:pPr>
            <w:r>
              <w:t>Proficiency Levels</w:t>
              <w:br/>
              <w:t>(3 Progression Steps)</w:t>
            </w:r>
          </w:p>
        </w:tc>
        <w:tc>
          <w:tcPr>
            <w:tcW w:type="dxa" w:w="3168"/>
            <w:tcMar>
              <w:top w:w="80" w:type="dxa"/>
              <w:bottom w:w="80" w:type="dxa"/>
              <w:left w:w="100" w:type="dxa"/>
              <w:right w:w="100" w:type="dxa"/>
            </w:tcMar>
          </w:tcPr>
          <w:p>
            <w:pPr>
              <w:spacing w:line="264" w:lineRule="auto"/>
            </w:pPr>
            <w:r>
              <w:t>1. Acquire (Awareness)</w:t>
              <w:br/>
              <w:t>2. Deepen (Application)</w:t>
              <w:br/>
              <w:t>3. Create (Innovation)</w:t>
            </w:r>
          </w:p>
        </w:tc>
        <w:tc>
          <w:tcPr>
            <w:tcW w:type="dxa" w:w="4176"/>
            <w:tcMar>
              <w:top w:w="80" w:type="dxa"/>
              <w:bottom w:w="80" w:type="dxa"/>
              <w:left w:w="100" w:type="dxa"/>
              <w:right w:w="100" w:type="dxa"/>
            </w:tcMar>
          </w:tcPr>
          <w:p>
            <w:pPr>
              <w:spacing w:line="264" w:lineRule="auto"/>
            </w:pPr>
            <w:r>
              <w:t>Allows teachers to locate their baseline and map personalized professional growth trajectories.</w:t>
            </w:r>
          </w:p>
        </w:tc>
      </w:tr>
      <w:tr>
        <w:tc>
          <w:tcPr>
            <w:tcW w:type="dxa" w:w="2592"/>
            <w:tcMar>
              <w:top w:w="80" w:type="dxa"/>
              <w:bottom w:w="80" w:type="dxa"/>
              <w:left w:w="100" w:type="dxa"/>
              <w:right w:w="100" w:type="dxa"/>
            </w:tcMar>
            <w:shd w:fill="F4F6F8"/>
          </w:tcPr>
          <w:p>
            <w:pPr>
              <w:spacing w:line="264" w:lineRule="auto"/>
            </w:pPr>
            <w:r>
              <w:t>Framework Synergies</w:t>
              <w:br/>
              <w:t>(DigCompEdu &amp; TPACK)</w:t>
            </w:r>
          </w:p>
        </w:tc>
        <w:tc>
          <w:tcPr>
            <w:tcW w:type="dxa" w:w="3168"/>
            <w:tcMar>
              <w:top w:w="80" w:type="dxa"/>
              <w:bottom w:w="80" w:type="dxa"/>
              <w:left w:w="100" w:type="dxa"/>
              <w:right w:w="100" w:type="dxa"/>
            </w:tcMar>
            <w:shd w:fill="F4F6F8"/>
          </w:tcPr>
          <w:p>
            <w:pPr>
              <w:spacing w:line="264" w:lineRule="auto"/>
            </w:pPr>
            <w:r>
              <w:t>• DigCompEdu: Broader digital literacy</w:t>
              <w:br/>
              <w:t>• TPACK: Tech + Pedagogy + Content</w:t>
            </w:r>
          </w:p>
        </w:tc>
        <w:tc>
          <w:tcPr>
            <w:tcW w:type="dxa" w:w="4176"/>
            <w:tcMar>
              <w:top w:w="80" w:type="dxa"/>
              <w:bottom w:w="80" w:type="dxa"/>
              <w:left w:w="100" w:type="dxa"/>
              <w:right w:w="100" w:type="dxa"/>
            </w:tcMar>
            <w:shd w:fill="F4F6F8"/>
          </w:tcPr>
          <w:p>
            <w:pPr>
              <w:spacing w:line="264" w:lineRule="auto"/>
            </w:pPr>
            <w:r>
              <w:t>Demonstrates that AI competence enhances existing teaching models rather than replacing them.</w:t>
            </w:r>
          </w:p>
        </w:tc>
      </w:tr>
    </w:tbl>
    <w:p>
      <w:pPr>
        <w:spacing w:after="240"/>
      </w:pPr>
    </w:p>
    <w:p>
      <w:pPr>
        <w:keepNext/>
        <w:spacing w:before="280" w:after="120"/>
      </w:pPr>
      <w:r>
        <w:rPr>
          <w:b/>
          <w:color w:val="1B365D"/>
          <w:sz w:val="30"/>
        </w:rPr>
        <w:t>2. Full Bilingual Production Script (English &amp; Khmer)</w:t>
      </w:r>
    </w:p>
    <w:p>
      <w:pPr>
        <w:spacing w:after="200"/>
      </w:pPr>
      <w:r>
        <w:rPr>
          <w:b/>
        </w:rPr>
        <w:t xml:space="preserve">Note for Production Team: </w:t>
      </w:r>
      <w:r>
        <w:t>Audio timing and visual keyframes are aligned to support precise voiceover syncing during video editing. On-screen text graphics should be translated in post-production graphics templates.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B365D"/>
            <w:tcMar>
              <w:top w:w="100" w:type="dxa"/>
              <w:bottom w:w="100" w:type="dxa"/>
              <w:left w:w="100" w:type="dxa"/>
              <w:right w:w="100" w:type="dxa"/>
            </w:tcMar>
          </w:tcPr>
          <w:p>
            <w:r>
              <w:rPr>
                <w:b/>
                <w:color w:val="FFFFFF"/>
                <w:sz w:val="20"/>
              </w:rPr>
              <w:t>Segment &amp; Timing</w:t>
            </w:r>
          </w:p>
        </w:tc>
        <w:tc>
          <w:tcPr>
            <w:tcW w:type="dxa" w:w="2592"/>
            <w:shd w:fill="1B365D"/>
            <w:tcMar>
              <w:top w:w="100" w:type="dxa"/>
              <w:bottom w:w="100" w:type="dxa"/>
              <w:left w:w="100" w:type="dxa"/>
              <w:right w:w="100" w:type="dxa"/>
            </w:tcMar>
          </w:tcPr>
          <w:p>
            <w:r>
              <w:rPr>
                <w:b/>
                <w:color w:val="FFFFFF"/>
                <w:sz w:val="20"/>
              </w:rPr>
              <w:t>Visual &amp; Motion Direction</w:t>
            </w:r>
          </w:p>
        </w:tc>
        <w:tc>
          <w:tcPr>
            <w:tcW w:type="dxa" w:w="3168"/>
            <w:shd w:fill="1B365D"/>
            <w:tcMar>
              <w:top w:w="100" w:type="dxa"/>
              <w:bottom w:w="100" w:type="dxa"/>
              <w:left w:w="100" w:type="dxa"/>
              <w:right w:w="100" w:type="dxa"/>
            </w:tcMar>
          </w:tcPr>
          <w:p>
            <w:r>
              <w:rPr>
                <w:b/>
                <w:color w:val="FFFFFF"/>
                <w:sz w:val="20"/>
              </w:rPr>
              <w:t>English Narration (VO / Host)</w:t>
            </w:r>
          </w:p>
        </w:tc>
        <w:tc>
          <w:tcPr>
            <w:tcW w:type="dxa" w:w="3168"/>
            <w:shd w:fill="1B365D"/>
            <w:tcMar>
              <w:top w:w="100" w:type="dxa"/>
              <w:bottom w:w="100" w:type="dxa"/>
              <w:left w:w="100" w:type="dxa"/>
              <w:right w:w="100" w:type="dxa"/>
            </w:tcMar>
          </w:tcPr>
          <w:p>
            <w:r>
              <w:rPr>
                <w:b/>
                <w:color w:val="FFFFFF"/>
                <w:sz w:val="20"/>
              </w:rPr>
              <w:t>Khmer Narration (ស្គ្រីបនិយាយ)</w:t>
            </w:r>
          </w:p>
        </w:tc>
      </w:tr>
      <w:tr>
        <w:tc>
          <w:tcPr>
            <w:tcW w:type="dxa" w:w="1728"/>
            <w:tcMar>
              <w:top w:w="80" w:type="dxa"/>
              <w:bottom w:w="80" w:type="dxa"/>
              <w:left w:w="90" w:type="dxa"/>
              <w:right w:w="90" w:type="dxa"/>
            </w:tcMar>
            <w:vAlign w:val="top"/>
          </w:tcPr>
          <w:p>
            <w:r>
              <w:rPr>
                <w:b/>
                <w:color w:val="1B365D"/>
                <w:sz w:val="19"/>
              </w:rPr>
              <w:t>Segment 1: Cold Open</w:t>
              <w:br/>
              <w:br/>
              <w:t>⏱️ 0:00–0:35 (35 sec)</w:t>
            </w:r>
          </w:p>
        </w:tc>
        <w:tc>
          <w:tcPr>
            <w:tcW w:type="dxa" w:w="2592"/>
            <w:tcMar>
              <w:top w:w="80" w:type="dxa"/>
              <w:bottom w:w="80" w:type="dxa"/>
              <w:left w:w="90" w:type="dxa"/>
              <w:right w:w="90" w:type="dxa"/>
            </w:tcMar>
            <w:vAlign w:val="top"/>
          </w:tcPr>
          <w:p>
            <w:r>
              <w:rPr>
                <w:sz w:val="18"/>
              </w:rPr>
              <w:t>Host on camera in a modern educational studio setting. Soft warm lighting.</w:t>
              <w:br/>
              <w:br/>
              <w:t>On-screen graphic text overlays dynamically: 'Where do you already stand with AI?' / 'តើអ្នកស្ថិតនៅចំណុចណានៃបច្ចេកវិទ្យា AI?'</w:t>
            </w:r>
          </w:p>
        </w:tc>
        <w:tc>
          <w:tcPr>
            <w:tcW w:type="dxa" w:w="3168"/>
            <w:tcMar>
              <w:top w:w="80" w:type="dxa"/>
              <w:bottom w:w="80" w:type="dxa"/>
              <w:left w:w="90" w:type="dxa"/>
              <w:right w:w="90" w:type="dxa"/>
            </w:tcMar>
            <w:vAlign w:val="top"/>
          </w:tcPr>
          <w:p>
            <w:r>
              <w:rPr>
                <w:sz w:val="19"/>
              </w:rPr>
              <w:t>Before you learn anything else about AI, it helps to know exactly where you already stand — and where this course expects you to grow.</w:t>
              <w:br/>
              <w:br/>
              <w:t>AI isn't just a mysterious set of tools; it's a new capability in education. That's what a competency framework gives you: a clear map, not a mystery. It helps you assess your current confidence and charts a meaningful path forward for your teaching journey.</w:t>
            </w:r>
          </w:p>
        </w:tc>
        <w:tc>
          <w:tcPr>
            <w:tcW w:type="dxa" w:w="3168"/>
            <w:tcMar>
              <w:top w:w="80" w:type="dxa"/>
              <w:bottom w:w="80" w:type="dxa"/>
              <w:left w:w="90" w:type="dxa"/>
              <w:right w:w="90" w:type="dxa"/>
            </w:tcMar>
            <w:vAlign w:val="top"/>
          </w:tcPr>
          <w:p>
            <w:r>
              <w:rPr>
                <w:rFonts w:ascii="Khmer OS Battambang" w:hAnsi="Khmer OS Battambang"/>
                <w:sz w:val="19"/>
              </w:rPr>
              <w:t>មុនពេលអ្នករៀនអ្វីបន្ថែមទៀតអំពី AI វាពិតជាមានសារៈសំខាន់ណាស់ក្នុងការដឹងច្បាស់ថា តើអ្នកកំពុងស្ថិតនៅចំណុចណានាពេលបច្ចុប្បន្ន — និងកម្រិតណាដែលវគ្គសិក្សានេះរំពឹងថានឹងជួយអ្នកឱ្យរីកចម្រើន។</w:t>
              <w:br/>
              <w:br/>
              <w:t>AI មិនមែនគ្រាន់តែជាសំណុំឧបករណ៍ដ៏អាថ៌កំបាំងនោះទេ ប៉ុន្តែវាជាសមត្ថភាពថ្មីក្នុងវិស័យអប់រំ។ នោះហើយជាអ្វីដែលក្របខ័ណ្ឌសមត្ថភាពផ្តល់ជូនអ្នក៖ វាជាផែនទីបង្ហាញផ្លូវយ៉ាងច្បាស់លាស់ មិនមែនជារឿងអាថ៌កំបាំងឡើយ។ វាជួយអ្នកវាយតម្លៃទំនុកចិត្តបច្ចុប្បន្នរបស់អ្នក និងកំណត់ផ្លូវដ៏មានន័យសម្រាប់ការរីកចម្រើនក្នុងអាជីពបង្រៀនរបស់អ្នក។</w:t>
            </w:r>
          </w:p>
        </w:tc>
      </w:tr>
      <w:tr>
        <w:tc>
          <w:tcPr>
            <w:tcW w:type="dxa" w:w="1728"/>
            <w:tcMar>
              <w:top w:w="80" w:type="dxa"/>
              <w:bottom w:w="80" w:type="dxa"/>
              <w:left w:w="90" w:type="dxa"/>
              <w:right w:w="90" w:type="dxa"/>
            </w:tcMar>
            <w:vAlign w:val="top"/>
          </w:tcPr>
          <w:p>
            <w:r>
              <w:rPr>
                <w:b/>
                <w:color w:val="1B365D"/>
                <w:sz w:val="19"/>
              </w:rPr>
              <w:t>Segment 2: Why a Framework, Not Just a Tool List</w:t>
              <w:br/>
              <w:br/>
              <w:t>⏱️ 0:35–1:30 (55 sec)</w:t>
            </w:r>
          </w:p>
        </w:tc>
        <w:tc>
          <w:tcPr>
            <w:tcW w:type="dxa" w:w="2592"/>
            <w:tcMar>
              <w:top w:w="80" w:type="dxa"/>
              <w:bottom w:w="80" w:type="dxa"/>
              <w:left w:w="90" w:type="dxa"/>
              <w:right w:w="90" w:type="dxa"/>
            </w:tcMar>
            <w:vAlign w:val="top"/>
          </w:tcPr>
          <w:p>
            <w:r>
              <w:rPr>
                <w:sz w:val="18"/>
              </w:rPr>
              <w:t>Split-screen visual graphic:</w:t>
              <w:br/>
              <w:t>Left side: A chaotic, cluttered pile of popular AI software logos continuously shifting and disappearing.</w:t>
              <w:br/>
              <w:t>Right side: A sleek, organized 5-box framework diagram with steady anchor points.</w:t>
              <w:br/>
              <w:br/>
              <w:t>Text animation: 'Tools Change. Principles Endure.'</w:t>
            </w:r>
          </w:p>
        </w:tc>
        <w:tc>
          <w:tcPr>
            <w:tcW w:type="dxa" w:w="3168"/>
            <w:tcMar>
              <w:top w:w="80" w:type="dxa"/>
              <w:bottom w:w="80" w:type="dxa"/>
              <w:left w:w="90" w:type="dxa"/>
              <w:right w:w="90" w:type="dxa"/>
            </w:tcMar>
            <w:vAlign w:val="top"/>
          </w:tcPr>
          <w:p>
            <w:r>
              <w:rPr>
                <w:sz w:val="19"/>
              </w:rPr>
              <w:t>It would be easy to just hand you a long list of AI tools. But tools change constantly — platforms emerge, rebrand, or disappear every few months. The framework behind them doesn't.</w:t>
              <w:br/>
              <w:br/>
              <w:t>The UNESCO AI Competency Framework for Teachers organizes everything this course covers into five fundamental components. By understanding this structure, what you learn stays useful, flexible, and applicable long after today's specific software tools become outdated.</w:t>
            </w:r>
          </w:p>
        </w:tc>
        <w:tc>
          <w:tcPr>
            <w:tcW w:type="dxa" w:w="3168"/>
            <w:tcMar>
              <w:top w:w="80" w:type="dxa"/>
              <w:bottom w:w="80" w:type="dxa"/>
              <w:left w:w="90" w:type="dxa"/>
              <w:right w:w="90" w:type="dxa"/>
            </w:tcMar>
            <w:vAlign w:val="top"/>
          </w:tcPr>
          <w:p>
            <w:r>
              <w:rPr>
                <w:rFonts w:ascii="Khmer OS Battambang" w:hAnsi="Khmer OS Battambang"/>
                <w:sz w:val="19"/>
              </w:rPr>
              <w:t>វាជាការងាយស្រួលណាស់ក្នុងការផ្តល់ឱ្យអ្នកនូវបញ្ជីឧបករណ៍ AI ដ៏វែងមួយ។ ប៉ុន្តែឧបករណ៍ទាំងនោះផ្លាស់ប្តូរជានិច្ច — កម្មវិធីថ្មីៗតែងតែលេចឡើង កែប្រែ ឬបាត់បង់ទៅវិញក្នុងរយៈពេលប៉ុន្មានខែប៉ុណ្ណោះ។ ប៉ុន្តែក្របខ័ណ្ឌគោលការណ៍ដែលនៅពីក្រោយពួកវា មិនផ្លាស់ប្តូរឡើយ។</w:t>
              <w:br/>
              <w:br/>
              <w:t>ក្របខ័ណ្ឌសមត្ថភាព AI របស់អង្គការ UNESCO សម្រាប់គ្រូបង្រៀន បានរៀបចំរាល់ខ្លឹមសារក្នុងវគ្គសិក្សានេះជាប្រាំសមាសភាគគ្រឹះ។ តាមរយៈការយល់ដឹងពីរចនាសម្ព័ន្ធនេះ អ្វីដែលអ្នករៀននឹងនៅតែមានប្រយោជន៍ អាចបត់បែនបាន និងយកទៅអនុវត្តបានយូរអង្វែង ទោះបីជាឧបករណ៍បច្ចេកវិទ្យាបច្ចុប្បន្នត្រូវផ្លាស់ប្តូរក៏ដោយ។</w:t>
            </w:r>
          </w:p>
        </w:tc>
      </w:tr>
      <w:tr>
        <w:tc>
          <w:tcPr>
            <w:tcW w:type="dxa" w:w="1728"/>
            <w:tcMar>
              <w:top w:w="80" w:type="dxa"/>
              <w:bottom w:w="80" w:type="dxa"/>
              <w:left w:w="90" w:type="dxa"/>
              <w:right w:w="90" w:type="dxa"/>
            </w:tcMar>
            <w:vAlign w:val="top"/>
          </w:tcPr>
          <w:p>
            <w:r>
              <w:rPr>
                <w:b/>
                <w:color w:val="1B365D"/>
                <w:sz w:val="19"/>
              </w:rPr>
              <w:t>Segment 3: The Five Components</w:t>
              <w:br/>
              <w:br/>
              <w:t>⏱️ 1:30–3:15 (1 min 45 sec)</w:t>
            </w:r>
          </w:p>
        </w:tc>
        <w:tc>
          <w:tcPr>
            <w:tcW w:type="dxa" w:w="2592"/>
            <w:tcMar>
              <w:top w:w="80" w:type="dxa"/>
              <w:bottom w:w="80" w:type="dxa"/>
              <w:left w:w="90" w:type="dxa"/>
              <w:right w:w="90" w:type="dxa"/>
            </w:tcMar>
            <w:vAlign w:val="top"/>
          </w:tcPr>
          <w:p>
            <w:r>
              <w:rPr>
                <w:sz w:val="18"/>
              </w:rPr>
              <w:t>Animated visual building of the 5-component central architecture. One box illuminates brightly as each component is described:</w:t>
              <w:br/>
              <w:t>1. Human-Centred Mindset</w:t>
              <w:br/>
              <w:t>2. Ethics of AI</w:t>
              <w:br/>
              <w:t>3. AI Foundations &amp; Applications</w:t>
              <w:br/>
              <w:t>4. AI Pedagogy</w:t>
              <w:br/>
              <w:t>5. AI for Professional Development</w:t>
            </w:r>
          </w:p>
        </w:tc>
        <w:tc>
          <w:tcPr>
            <w:tcW w:type="dxa" w:w="3168"/>
            <w:tcMar>
              <w:top w:w="80" w:type="dxa"/>
              <w:bottom w:w="80" w:type="dxa"/>
              <w:left w:w="90" w:type="dxa"/>
              <w:right w:w="90" w:type="dxa"/>
            </w:tcMar>
            <w:vAlign w:val="top"/>
          </w:tcPr>
          <w:p>
            <w:r>
              <w:rPr>
                <w:sz w:val="19"/>
              </w:rPr>
              <w:t>Let's examine the five core components of the framework:</w:t>
              <w:br/>
              <w:br/>
              <w:t>1. Human-Centred Mindset: Keeping human agency, dignity, and student wellbeing at the absolute center of any educational AI integration.</w:t>
              <w:br/>
              <w:t>2. Ethics of AI: Understanding critical topics like data privacy, algorithmic bias, fairness, and responsible academic use.</w:t>
              <w:br/>
              <w:t>3. AI Foundations and Applications: Grasping what AI actually is, how machine learning works, and how to use core tools — which you covered in Module 1.</w:t>
              <w:br/>
              <w:t>4. AI Pedagogy: Integrating AI thoughtfully to enhance teaching methodologies and student engagement, without replacing sound pedagogical judgment.</w:t>
              <w:br/>
              <w:t>5. AI for Professional Development: Leveraging AI to streamline administrative tasks, collaborate with peers, and refine your own practice over time.</w:t>
            </w:r>
          </w:p>
        </w:tc>
        <w:tc>
          <w:tcPr>
            <w:tcW w:type="dxa" w:w="3168"/>
            <w:tcMar>
              <w:top w:w="80" w:type="dxa"/>
              <w:bottom w:w="80" w:type="dxa"/>
              <w:left w:w="90" w:type="dxa"/>
              <w:right w:w="90" w:type="dxa"/>
            </w:tcMar>
            <w:vAlign w:val="top"/>
          </w:tcPr>
          <w:p>
            <w:r>
              <w:rPr>
                <w:rFonts w:ascii="Khmer OS Battambang" w:hAnsi="Khmer OS Battambang"/>
                <w:sz w:val="19"/>
              </w:rPr>
              <w:t>សូមពិនិត្យមើលសមាសភាគគ្រឹះទាំងប្រាំនៃក្របខ័ណ្ឌនេះ៖</w:t>
              <w:br/>
              <w:br/>
              <w:t>១. គំនិតផ្តោតលើមនុស្សជាមជ្ឈមណ្ឌល (Human-Centred Mindset)៖ ការរក្សាសិទ្ធិស្វ័យសម្រេច សេចក្តីថ្លៃថ្នូរ និងសុខុមាលភាពរបស់សិស្សឱ្យស្ថិតនៅចំកណ្តាលនៃការប្រើប្រាស់ AI ក្នុងការអប់រំ។</w:t>
              <w:br/>
              <w:t>២. ចរិយាធម៌នៃ AI (Ethics of AI)៖ ការយល់ដឹងអំពីប្រធានបទសំខាន់ៗ ដូចជាឯកជនភាពទិន្នន័យ ការលម្អៀងនៃក្បួនដោះស្រាយ (Algorithm) ភាពយុត្តិធម៌ និងការប្រើប្រាស់ប្រកបដោយការទទួលខុសត្រូវ។</w:t>
              <w:br/>
              <w:t>៣. មូលដ្ឋានគ្រឹះ និងការអនុវត្ត AI (AI Foundations and Applications)៖ ការយល់ដឹងពីធម្មជាតិពិតរបស់ AI របៀបធ្វើការនៃ Machine Learning និងការប្រើប្រាស់ឧបករណ៍គ្រឹះ — ដែលអ្នកបានសិក្សាក្នុងម៉ូឌុលទី ១។</w:t>
              <w:br/>
              <w:t>៤. វិធីសាស្ត្របង្រៀនតាមបែប AI (AI Pedagogy)៖ ការបញ្ជ្រាប AI ដោយផ្អែកលើការពិចារណាស៊ីជម្រៅ ដើម្បីគាំទ្រដល់ការបង្រៀន និងរៀន ដោយមិនទុកឱ្យវាជំនួសការវិនិច្ឆ័យផ្នែកគរុកោសល្យរបស់អ្នកឡើយ។</w:t>
              <w:br/>
              <w:t>៥. AI សម្រាប់ការអភិវឌ្ឍអាជីព (AI for Professional Development)៖ ការប្រើប្រាស់ AI ដើម្បីសម្រួលការងាររដ្ឋបាល បង្កើនកិច្ចសហការ និងអភិវឌ្ឍការបង្រៀនរបស់អ្នកឱ្យកាន់តែល្អប្រសើរជាលំដាប់។</w:t>
            </w:r>
          </w:p>
        </w:tc>
      </w:tr>
      <w:tr>
        <w:tc>
          <w:tcPr>
            <w:tcW w:type="dxa" w:w="1728"/>
            <w:tcMar>
              <w:top w:w="80" w:type="dxa"/>
              <w:bottom w:w="80" w:type="dxa"/>
              <w:left w:w="90" w:type="dxa"/>
              <w:right w:w="90" w:type="dxa"/>
            </w:tcMar>
            <w:vAlign w:val="top"/>
          </w:tcPr>
          <w:p>
            <w:r>
              <w:rPr>
                <w:b/>
                <w:color w:val="1B365D"/>
                <w:sz w:val="19"/>
              </w:rPr>
              <w:t>Segment 4: Three Proficiency Levels</w:t>
              <w:br/>
              <w:br/>
              <w:t>⏱️ 3:15–4:30 (1 min 15 sec)</w:t>
            </w:r>
          </w:p>
        </w:tc>
        <w:tc>
          <w:tcPr>
            <w:tcW w:type="dxa" w:w="2592"/>
            <w:tcMar>
              <w:top w:w="80" w:type="dxa"/>
              <w:bottom w:w="80" w:type="dxa"/>
              <w:left w:w="90" w:type="dxa"/>
              <w:right w:w="90" w:type="dxa"/>
            </w:tcMar>
            <w:vAlign w:val="top"/>
          </w:tcPr>
          <w:p>
            <w:r>
              <w:rPr>
                <w:sz w:val="18"/>
              </w:rPr>
              <w:t>Three-step ascending staircase graphic builds on screen:</w:t>
              <w:br/>
              <w:t>Step 1: Acquire (Icon: Lightbulb / Eye)</w:t>
              <w:br/>
              <w:t>Step 2: Deepen (Icon: Gears / Applied Practice)</w:t>
              <w:br/>
              <w:t>Step 3: Create (Icon: Rocket / Innovation &amp; Leadership)</w:t>
              <w:br/>
              <w:br/>
              <w:t>An animated highlight moves along the steps as the host explains.</w:t>
            </w:r>
          </w:p>
        </w:tc>
        <w:tc>
          <w:tcPr>
            <w:tcW w:type="dxa" w:w="3168"/>
            <w:tcMar>
              <w:top w:w="80" w:type="dxa"/>
              <w:bottom w:w="80" w:type="dxa"/>
              <w:left w:w="90" w:type="dxa"/>
              <w:right w:w="90" w:type="dxa"/>
            </w:tcMar>
            <w:vAlign w:val="top"/>
          </w:tcPr>
          <w:p>
            <w:r>
              <w:rPr>
                <w:sz w:val="19"/>
              </w:rPr>
              <w:t>Within each of these five components, the framework outlines three distinct proficiency levels:</w:t>
              <w:br/>
              <w:br/>
              <w:t>• Acquire: Building foundational awareness, functional knowledge, and basic literacy in AI.</w:t>
              <w:br/>
              <w:t>• Deepen: Applying that knowledge contextually and thoughtfully within your subject domain and classroom management.</w:t>
              <w:br/>
              <w:t>• Create: Innovating new pedagogical practices, designing original learning scenarios, or leading and mentoring colleagues.</w:t>
              <w:br/>
              <w:br/>
              <w:t>Important note: You are not expected to reach the 'Create' level across all five components by the end of this course. The primary goal right now is self-awareness — knowing where you stand today so you can target your growth effectively.</w:t>
            </w:r>
          </w:p>
        </w:tc>
        <w:tc>
          <w:tcPr>
            <w:tcW w:type="dxa" w:w="3168"/>
            <w:tcMar>
              <w:top w:w="80" w:type="dxa"/>
              <w:bottom w:w="80" w:type="dxa"/>
              <w:left w:w="90" w:type="dxa"/>
              <w:right w:w="90" w:type="dxa"/>
            </w:tcMar>
            <w:vAlign w:val="top"/>
          </w:tcPr>
          <w:p>
            <w:r>
              <w:rPr>
                <w:rFonts w:ascii="Khmer OS Battambang" w:hAnsi="Khmer OS Battambang"/>
                <w:sz w:val="19"/>
              </w:rPr>
              <w:t>នៅក្នុងសមាសភាគទាំងប្រាំនីមួយៗ ក្របខ័ណ្ឌបានបែងចែកកម្រិតសមត្ថភាពជាបីយ៉ាងច្បាស់លាស់៖</w:t>
              <w:br/>
              <w:br/>
              <w:t>• កម្រិតទទួលបាន (Acquire)៖ ការកសាងការយល់ដឹងជាមូលដ្ឋាន ចំណេះដឹងបច្ចេកទេស និងអក្ខរកម្មគ្រឹះនៃ AI។</w:t>
              <w:br/>
              <w:t>• កម្រិតពង្រឹង (Deepen)៖ ការយកចំណេះដឹងនោះទៅអនុវត្តយ៉ាងសមស្រប និងដោយការពិចារណាស៊ីជម្រៅ ក្នុងមុខវិជ្ជា និងការគ្រប់គ្រងថ្នាក់រៀនរបស់អ្នក។</w:t>
              <w:br/>
              <w:t>• កម្រិតបង្កើតថ្មី (Create)៖ ការបង្កើតថ្មីនូវវិធីសាស្ត្របង្រៀន ការរចនាសេនារីយ៉ូសិក្សាដើម ឬការដឹកនាំ និងជួយជ្រោមជ្រែងសហការី។</w:t>
              <w:br/>
              <w:br/>
              <w:t>ចំណុចសំខាន់៖ អ្នកមិនតម្រូវឱ្យឈានដល់កម្រិត 'បង្កើតថ្មី (Create)' គ្រប់សមាសភាគទាំងអស់ត្រឹមបញ្ចប់វគ្គសិក្សានេះឡើយ។ គោលបំណងចម្បងនាពេលនេះ គឺការស្គាល់សមត្ថភាពខ្លួនឯង — ដើម្បីឱ្យដឹងថាអ្នកស្ថិតនៅចំណុចណា ស្វែងរកទិសដៅអភិវឌ្ឍន៍បានត្រឹមត្រូវ។</w:t>
            </w:r>
          </w:p>
        </w:tc>
      </w:tr>
      <w:tr>
        <w:tc>
          <w:tcPr>
            <w:tcW w:type="dxa" w:w="1728"/>
            <w:tcMar>
              <w:top w:w="80" w:type="dxa"/>
              <w:bottom w:w="80" w:type="dxa"/>
              <w:left w:w="90" w:type="dxa"/>
              <w:right w:w="90" w:type="dxa"/>
            </w:tcMar>
            <w:vAlign w:val="top"/>
          </w:tcPr>
          <w:p>
            <w:r>
              <w:rPr>
                <w:b/>
                <w:color w:val="1B365D"/>
                <w:sz w:val="19"/>
              </w:rPr>
              <w:t>Segment 5: Putting It Together: The 5-by-3 Grid</w:t>
              <w:br/>
              <w:br/>
              <w:t>⏱️ 4:30–5:15 (45 sec)</w:t>
            </w:r>
          </w:p>
        </w:tc>
        <w:tc>
          <w:tcPr>
            <w:tcW w:type="dxa" w:w="2592"/>
            <w:tcMar>
              <w:top w:w="80" w:type="dxa"/>
              <w:bottom w:w="80" w:type="dxa"/>
              <w:left w:w="90" w:type="dxa"/>
              <w:right w:w="90" w:type="dxa"/>
            </w:tcMar>
            <w:vAlign w:val="top"/>
          </w:tcPr>
          <w:p>
            <w:r>
              <w:rPr>
                <w:sz w:val="18"/>
              </w:rPr>
              <w:t>A 5x3 Matrix / Grid graphic animates onto the screen.</w:t>
              <w:br/>
              <w:t>Rows = 5 Components | Columns = 3 Proficiency Levels (15 cells total).</w:t>
              <w:br/>
              <w:br/>
              <w:t>Animation shows a spotlight highlighting individual cells (e.g., 'Ethics - Acquire' vs. 'AI Pedagogy - Deepen').</w:t>
            </w:r>
          </w:p>
        </w:tc>
        <w:tc>
          <w:tcPr>
            <w:tcW w:type="dxa" w:w="3168"/>
            <w:tcMar>
              <w:top w:w="80" w:type="dxa"/>
              <w:bottom w:w="80" w:type="dxa"/>
              <w:left w:w="90" w:type="dxa"/>
              <w:right w:w="90" w:type="dxa"/>
            </w:tcMar>
            <w:vAlign w:val="top"/>
          </w:tcPr>
          <w:p>
            <w:r>
              <w:rPr>
                <w:sz w:val="19"/>
              </w:rPr>
              <w:t>When you combine the five components with the three proficiency levels, you create a dynamic 5-by-3 matrix containing fifteen distinct capability profiles.</w:t>
              <w:br/>
              <w:br/>
              <w:t>Notice that your skills won't be uniform across the grid. You might be at the 'Deepen' level in AI Foundations, but at the 'Acquire' level in AI Ethics. That is completely normal! In our upcoming activity, you will evaluate yourself across this grid based on your real, daily classroom practice — not where you wish to be in the future.</w:t>
            </w:r>
          </w:p>
        </w:tc>
        <w:tc>
          <w:tcPr>
            <w:tcW w:type="dxa" w:w="3168"/>
            <w:tcMar>
              <w:top w:w="80" w:type="dxa"/>
              <w:bottom w:w="80" w:type="dxa"/>
              <w:left w:w="90" w:type="dxa"/>
              <w:right w:w="90" w:type="dxa"/>
            </w:tcMar>
            <w:vAlign w:val="top"/>
          </w:tcPr>
          <w:p>
            <w:r>
              <w:rPr>
                <w:rFonts w:ascii="Khmer OS Battambang" w:hAnsi="Khmer OS Battambang"/>
                <w:sz w:val="19"/>
              </w:rPr>
              <w:t>នៅពេលដែលអ្នករួមបញ្ចូលសមាសភាគទាំងប្រាំ ជាមួយនឹងកម្រិតសមត្ថភាពទាំងបី អ្នកនឹងទទួលបានតារាងម៉ាទ្រីស ៥x៣ ដែលមាន ១៥ ចំណុចសមត្ថភាពផ្សេងៗគ្នា។</w:t>
              <w:br/>
              <w:br/>
              <w:t>សូមកត់សម្គាល់ថា សមត្ថភាពរបស់អ្នកនឹងមិនស្មើគ្នានៅគ្រប់ប្រអប់នោះទេ។ អ្នកអាចស្ថិតនៅកម្រិត 'ពង្រឹង (Deepen)' ផ្នែកមូលដ្ឋានគ្រឹះ AI ប៉ុន្តែស្ថិតនៅកម្រិត 'ទទួលបាន (Acquire)' ផ្នែកចរិយាធម៌ AI។ នេះជារឿងធម្មតាប៉ុណ្ណោះ! ក្នុងសកម្មភាពបន្ទាប់ អ្នកនឹងធ្វើការវាយតម្លៃខ្លួនឯងលើតារាងនេះ ដោយផ្អែកលើការអនុវត្តជាក់ស្តែងក្នុងថ្នាក់រៀនរបស់អ្នក — មិនមែនផ្អែកលើអ្វីដែលអ្នកប្រាថ្នាចង់បានឡើយ។</w:t>
            </w:r>
          </w:p>
        </w:tc>
      </w:tr>
      <w:tr>
        <w:tc>
          <w:tcPr>
            <w:tcW w:type="dxa" w:w="1728"/>
            <w:tcMar>
              <w:top w:w="80" w:type="dxa"/>
              <w:bottom w:w="80" w:type="dxa"/>
              <w:left w:w="90" w:type="dxa"/>
              <w:right w:w="90" w:type="dxa"/>
            </w:tcMar>
            <w:vAlign w:val="top"/>
          </w:tcPr>
          <w:p>
            <w:r>
              <w:rPr>
                <w:b/>
                <w:color w:val="1B365D"/>
                <w:sz w:val="19"/>
              </w:rPr>
              <w:t>Segment 6: Connection to DigCompEdu and TPACK</w:t>
              <w:br/>
              <w:br/>
              <w:t>⏱️ 5:15–6:30 (1 min 15 sec)</w:t>
            </w:r>
          </w:p>
        </w:tc>
        <w:tc>
          <w:tcPr>
            <w:tcW w:type="dxa" w:w="2592"/>
            <w:tcMar>
              <w:top w:w="80" w:type="dxa"/>
              <w:bottom w:w="80" w:type="dxa"/>
              <w:left w:w="90" w:type="dxa"/>
              <w:right w:w="90" w:type="dxa"/>
            </w:tcMar>
            <w:vAlign w:val="top"/>
          </w:tcPr>
          <w:p>
            <w:r>
              <w:rPr>
                <w:sz w:val="18"/>
              </w:rPr>
              <w:t>Main UNESCO AI Framework grid zooms out slightly.</w:t>
              <w:br/>
              <w:t>Two established framework diagrams slide into view on either side:</w:t>
              <w:br/>
              <w:t>Left: DigCompEdu (6 pedagogical competence areas wheel).</w:t>
              <w:br/>
              <w:t>Right: TPACK Venn Diagram (Technological, Pedagogical, Content Knowledge overlap).</w:t>
              <w:br/>
              <w:br/>
              <w:t>Visual connector lines link AI Pedagogy directly into TPACK's center overlap and DigCompEdu's professional engagement areas.</w:t>
            </w:r>
          </w:p>
        </w:tc>
        <w:tc>
          <w:tcPr>
            <w:tcW w:type="dxa" w:w="3168"/>
            <w:tcMar>
              <w:top w:w="80" w:type="dxa"/>
              <w:bottom w:w="80" w:type="dxa"/>
              <w:left w:w="90" w:type="dxa"/>
              <w:right w:w="90" w:type="dxa"/>
            </w:tcMar>
            <w:vAlign w:val="top"/>
          </w:tcPr>
          <w:p>
            <w:r>
              <w:rPr>
                <w:sz w:val="19"/>
              </w:rPr>
              <w:t>If you are already familiar with existing educational frameworks, this AI model does not replace them — it enhances them.</w:t>
              <w:br/>
              <w:br/>
              <w:t>DigCompEdu outlines six broad digital competence areas for educators. The UNESCO AI framework fits directly inside that architecture, focusing specifically on artificial intelligence capabilities.</w:t>
              <w:br/>
              <w:br/>
              <w:t>Similarly, TPACK illustrates the intersection of Technology, Pedagogy, and Content Knowledge. AI Pedagogy — Component 4 of our framework — sits precisely at that central intersection. You are not learning an isolated theory; you are enriching the professional standards you already practice.</w:t>
            </w:r>
          </w:p>
        </w:tc>
        <w:tc>
          <w:tcPr>
            <w:tcW w:type="dxa" w:w="3168"/>
            <w:tcMar>
              <w:top w:w="80" w:type="dxa"/>
              <w:bottom w:w="80" w:type="dxa"/>
              <w:left w:w="90" w:type="dxa"/>
              <w:right w:w="90" w:type="dxa"/>
            </w:tcMar>
            <w:vAlign w:val="top"/>
          </w:tcPr>
          <w:p>
            <w:r>
              <w:rPr>
                <w:rFonts w:ascii="Khmer OS Battambang" w:hAnsi="Khmer OS Battambang"/>
                <w:sz w:val="19"/>
              </w:rPr>
              <w:t>ប្រសិនបើអ្នកបានស្គាល់ក្របខ័ណ្ឌអប់រំដែលមានស្រាប់រួចមកហើយ ម៉ូដែល AI នេះមិនមែនមកជំនួសពួកវាទេ — ប៉ុន្តែវាជួយពង្រឹងបន្ថែម។</w:t>
              <w:br/>
              <w:br/>
              <w:t>ក្របខ័ណ្ឌ DigCompEdu បង្ហាញពីតំបន់សមត្ថភាពឌីជីថលទូលំទូលាយចំនួនប្រាំមួយសម្រាប់គ្រូបង្រៀន។ ក្របខ័ណ្ឌ AI របស់ UNESCO គឺត្រូវគ្នាយ៉ាងល្អឥតខ្ចោះនៅក្នុងរចនាសម្ព័ន្ធនោះ ដោយផ្ោតជាក់លាក់លើសមត្ថភាព AI។</w:t>
              <w:br/>
              <w:br/>
              <w:t>ដូចគ្នានេះដែរ ក្របខ័ណ្ឌ TPACK បង្ហាញពីប្រសព្វរវាង បច្ចេកវិទ្យា គរុកោសល្យ និងចំណេះដឹងខ្លឹមសារ។ AI Pedagogy (វិធីសាស្ត្របង្រៀនតាមបែប AI) ដែលជាសមាសភាគទី ៤ របស់យើង គឺស្ថិតនៅចំកណ្តាលនៃប្រសព្វនោះ។ អ្នកមិនមែនកំពុងរៀនទ្រឹស្តីដាច់ដោយឡែកនោះទេ ប៉ុន្តែអ្នកកំពុងពង្រឹងស្តង់ដារវិជ្ជាជីវៈដែលអ្នកមានស្រាប់។</w:t>
            </w:r>
          </w:p>
        </w:tc>
      </w:tr>
      <w:tr>
        <w:tc>
          <w:tcPr>
            <w:tcW w:type="dxa" w:w="1728"/>
            <w:tcMar>
              <w:top w:w="80" w:type="dxa"/>
              <w:bottom w:w="80" w:type="dxa"/>
              <w:left w:w="90" w:type="dxa"/>
              <w:right w:w="90" w:type="dxa"/>
            </w:tcMar>
            <w:vAlign w:val="top"/>
          </w:tcPr>
          <w:p>
            <w:r>
              <w:rPr>
                <w:b/>
                <w:color w:val="1B365D"/>
                <w:sz w:val="19"/>
              </w:rPr>
              <w:t>Segment 7: Call to Action &amp; Conclusion</w:t>
              <w:br/>
              <w:br/>
              <w:t>⏱️ 6:30–7:00 (30 sec)</w:t>
            </w:r>
          </w:p>
        </w:tc>
        <w:tc>
          <w:tcPr>
            <w:tcW w:type="dxa" w:w="2592"/>
            <w:tcMar>
              <w:top w:w="80" w:type="dxa"/>
              <w:bottom w:w="80" w:type="dxa"/>
              <w:left w:w="90" w:type="dxa"/>
              <w:right w:w="90" w:type="dxa"/>
            </w:tcMar>
            <w:vAlign w:val="top"/>
          </w:tcPr>
          <w:p>
            <w:r>
              <w:rPr>
                <w:sz w:val="18"/>
              </w:rPr>
              <w:t>Host returns on camera. Friendly and encouraging tone.</w:t>
              <w:br/>
              <w:br/>
              <w:t>On-screen checklist / Call-to-action text: 'Next Step: Complete Your Self-Assessment Grid'.</w:t>
              <w:br/>
              <w:t>Fade to course logo and module summary slide.</w:t>
            </w:r>
          </w:p>
        </w:tc>
        <w:tc>
          <w:tcPr>
            <w:tcW w:type="dxa" w:w="3168"/>
            <w:tcMar>
              <w:top w:w="80" w:type="dxa"/>
              <w:bottom w:w="80" w:type="dxa"/>
              <w:left w:w="90" w:type="dxa"/>
              <w:right w:w="90" w:type="dxa"/>
            </w:tcMar>
            <w:vAlign w:val="top"/>
          </w:tcPr>
          <w:p>
            <w:r>
              <w:rPr>
                <w:sz w:val="19"/>
              </w:rPr>
              <w:t>Now that you understand the blueprint, it's time to map your own position.</w:t>
              <w:br/>
              <w:br/>
              <w:t>Pause and prepare for the self-assessment exercise. Grab your notepad, reflect honestly on your daily teaching practice, and place yourself on the 5-by-3 grid. Understanding your starting point is the most powerful step toward becoming an AI-ready educator. Let's get started!</w:t>
            </w:r>
          </w:p>
        </w:tc>
        <w:tc>
          <w:tcPr>
            <w:tcW w:type="dxa" w:w="3168"/>
            <w:tcMar>
              <w:top w:w="80" w:type="dxa"/>
              <w:bottom w:w="80" w:type="dxa"/>
              <w:left w:w="90" w:type="dxa"/>
              <w:right w:w="90" w:type="dxa"/>
            </w:tcMar>
            <w:vAlign w:val="top"/>
          </w:tcPr>
          <w:p>
            <w:r>
              <w:rPr>
                <w:rFonts w:ascii="Khmer OS Battambang" w:hAnsi="Khmer OS Battambang"/>
                <w:sz w:val="19"/>
              </w:rPr>
              <w:t>ឥឡូវនេះ នៅពេលដែលអ្នកបានយល់ដឹងពីផែនទីបង្ហាញផ្លូវនេះហើយ វាដល់ពេលត្រូវកំណត់ទីតាំងផ្ទាល់ខ្លួនរបស់អ្នក។</w:t>
              <w:br/>
              <w:br/>
              <w:t>សូមត្រៀមខ្លួនសម្រាប់សកម្មភាពវាយតម្លៃខ្លួនឯង។ សូមយកសៀវភៅកំណត់ត្រារបស់អ្នក ឆ្លុះបញ្ចាំងដោយស្មោះត្រង់លើការអនុវត្តការបង្រៀនប្រចាំថ្ងៃ ហើយដាក់ទីតាំងខ្លួនអ្នកនៅលើតារាង ៥x៣ នេះ។ ការយល់ដឹងពីចំណុចចាប់ផ្តើមរបស់អ្នក គឺជាជំហានដ៏មានថាមពលបំផុតក្នុងការក្លាយជាគ្រូបង្រៀនដែលត្រៀមរួចរាល់សម្រាប់យុគសម័យ AI។ សូមចាប់ផ្តើមទាំងអស់គ្នា!</w:t>
            </w:r>
          </w:p>
        </w:tc>
      </w:tr>
    </w:tbl>
    <w:p>
      <w:pPr>
        <w:spacing w:after="280"/>
      </w:pPr>
    </w:p>
    <w:p>
      <w:pPr>
        <w:keepNext/>
        <w:spacing w:before="280" w:after="120"/>
      </w:pPr>
      <w:r>
        <w:rPr>
          <w:b/>
          <w:color w:val="1B365D"/>
          <w:sz w:val="30"/>
        </w:rPr>
        <w:t>3. Reference Chart: UNESCO AI Competency Matrix (5x3)</w:t>
      </w:r>
    </w:p>
    <w:p>
      <w:pPr>
        <w:spacing w:after="160"/>
      </w:pPr>
      <w:r>
        <w:t>Below is the complete 15-cell grid referenced in Segment 5. Learners will use this structure during the post-video activity to benchmark their professional capabilities.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5C768D"/>
            <w:tcMar>
              <w:top w:w="80" w:type="dxa"/>
              <w:bottom w:w="80" w:type="dxa"/>
              <w:left w:w="80" w:type="dxa"/>
              <w:right w:w="80" w:type="dxa"/>
            </w:tcMar>
          </w:tcPr>
          <w:p>
            <w:r>
              <w:rPr>
                <w:b/>
                <w:color w:val="FFFFFF"/>
              </w:rPr>
              <w:t>Component</w:t>
            </w:r>
          </w:p>
        </w:tc>
        <w:tc>
          <w:tcPr>
            <w:tcW w:type="dxa" w:w="2592"/>
            <w:shd w:fill="5C768D"/>
            <w:tcMar>
              <w:top w:w="80" w:type="dxa"/>
              <w:bottom w:w="80" w:type="dxa"/>
              <w:left w:w="80" w:type="dxa"/>
              <w:right w:w="80" w:type="dxa"/>
            </w:tcMar>
          </w:tcPr>
          <w:p>
            <w:r>
              <w:rPr>
                <w:b/>
                <w:color w:val="FFFFFF"/>
              </w:rPr>
              <w:t>Acquire (Level 1)</w:t>
            </w:r>
          </w:p>
        </w:tc>
        <w:tc>
          <w:tcPr>
            <w:tcW w:type="dxa" w:w="2592"/>
            <w:shd w:fill="5C768D"/>
            <w:tcMar>
              <w:top w:w="80" w:type="dxa"/>
              <w:bottom w:w="80" w:type="dxa"/>
              <w:left w:w="80" w:type="dxa"/>
              <w:right w:w="80" w:type="dxa"/>
            </w:tcMar>
          </w:tcPr>
          <w:p>
            <w:r>
              <w:rPr>
                <w:b/>
                <w:color w:val="FFFFFF"/>
              </w:rPr>
              <w:t>Deepen (Level 2)</w:t>
            </w:r>
          </w:p>
        </w:tc>
        <w:tc>
          <w:tcPr>
            <w:tcW w:type="dxa" w:w="2592"/>
            <w:shd w:fill="5C768D"/>
            <w:tcMar>
              <w:top w:w="80" w:type="dxa"/>
              <w:bottom w:w="80" w:type="dxa"/>
              <w:left w:w="80" w:type="dxa"/>
              <w:right w:w="80" w:type="dxa"/>
            </w:tcMar>
          </w:tcPr>
          <w:p>
            <w:r>
              <w:rPr>
                <w:b/>
                <w:color w:val="FFFFFF"/>
              </w:rPr>
              <w:t>Create (Level 3)</w:t>
            </w:r>
          </w:p>
        </w:tc>
      </w:tr>
      <w:tr>
        <w:tc>
          <w:tcPr>
            <w:tcW w:type="dxa" w:w="2592"/>
            <w:tcMar>
              <w:top w:w="70" w:type="dxa"/>
              <w:bottom w:w="70" w:type="dxa"/>
              <w:left w:w="80" w:type="dxa"/>
              <w:right w:w="80" w:type="dxa"/>
            </w:tcMar>
            <w:shd w:fill="F4F6F8"/>
          </w:tcPr>
          <w:p>
            <w:r>
              <w:rPr>
                <w:b/>
                <w:color w:val="1B365D"/>
              </w:rPr>
              <w:t>1. Human-Centred Mindset</w:t>
            </w:r>
          </w:p>
        </w:tc>
        <w:tc>
          <w:tcPr>
            <w:tcW w:type="dxa" w:w="2592"/>
            <w:tcMar>
              <w:top w:w="70" w:type="dxa"/>
              <w:bottom w:w="70" w:type="dxa"/>
              <w:left w:w="80" w:type="dxa"/>
              <w:right w:w="80" w:type="dxa"/>
            </w:tcMar>
          </w:tcPr>
          <w:p>
            <w:r>
              <w:rPr>
                <w:sz w:val="17"/>
              </w:rPr>
              <w:t>Understands human agency and ethical impacts of AI in education.</w:t>
            </w:r>
          </w:p>
        </w:tc>
        <w:tc>
          <w:tcPr>
            <w:tcW w:type="dxa" w:w="2592"/>
            <w:tcMar>
              <w:top w:w="70" w:type="dxa"/>
              <w:bottom w:w="70" w:type="dxa"/>
              <w:left w:w="80" w:type="dxa"/>
              <w:right w:w="80" w:type="dxa"/>
            </w:tcMar>
          </w:tcPr>
          <w:p>
            <w:r>
              <w:rPr>
                <w:sz w:val="17"/>
              </w:rPr>
              <w:t>Promotes student agency and well-being when using AI tools.</w:t>
            </w:r>
          </w:p>
        </w:tc>
        <w:tc>
          <w:tcPr>
            <w:tcW w:type="dxa" w:w="2592"/>
            <w:tcMar>
              <w:top w:w="70" w:type="dxa"/>
              <w:bottom w:w="70" w:type="dxa"/>
              <w:left w:w="80" w:type="dxa"/>
              <w:right w:w="80" w:type="dxa"/>
            </w:tcMar>
          </w:tcPr>
          <w:p>
            <w:r>
              <w:rPr>
                <w:sz w:val="17"/>
              </w:rPr>
              <w:t>Leads school-wide policies upholding human values in AI adoption.</w:t>
            </w:r>
          </w:p>
        </w:tc>
      </w:tr>
      <w:tr>
        <w:tc>
          <w:tcPr>
            <w:tcW w:type="dxa" w:w="2592"/>
            <w:tcMar>
              <w:top w:w="70" w:type="dxa"/>
              <w:bottom w:w="70" w:type="dxa"/>
              <w:left w:w="80" w:type="dxa"/>
              <w:right w:w="80" w:type="dxa"/>
            </w:tcMar>
            <w:shd w:fill="F4F6F8"/>
          </w:tcPr>
          <w:p>
            <w:r>
              <w:rPr>
                <w:b/>
                <w:color w:val="1B365D"/>
              </w:rPr>
              <w:t>2. Ethics of AI</w:t>
            </w:r>
          </w:p>
        </w:tc>
        <w:tc>
          <w:tcPr>
            <w:tcW w:type="dxa" w:w="2592"/>
            <w:tcMar>
              <w:top w:w="70" w:type="dxa"/>
              <w:bottom w:w="70" w:type="dxa"/>
              <w:left w:w="80" w:type="dxa"/>
              <w:right w:w="80" w:type="dxa"/>
            </w:tcMar>
          </w:tcPr>
          <w:p>
            <w:r>
              <w:rPr>
                <w:sz w:val="17"/>
              </w:rPr>
              <w:t>Aware of data privacy, bias, copyright, and plagiarism rules.</w:t>
            </w:r>
          </w:p>
        </w:tc>
        <w:tc>
          <w:tcPr>
            <w:tcW w:type="dxa" w:w="2592"/>
            <w:tcMar>
              <w:top w:w="70" w:type="dxa"/>
              <w:bottom w:w="70" w:type="dxa"/>
              <w:left w:w="80" w:type="dxa"/>
              <w:right w:w="80" w:type="dxa"/>
            </w:tcMar>
          </w:tcPr>
          <w:p>
            <w:r>
              <w:rPr>
                <w:sz w:val="17"/>
              </w:rPr>
              <w:t>Applies ethical guidelines directly to lesson design and assessments.</w:t>
            </w:r>
          </w:p>
        </w:tc>
        <w:tc>
          <w:tcPr>
            <w:tcW w:type="dxa" w:w="2592"/>
            <w:tcMar>
              <w:top w:w="70" w:type="dxa"/>
              <w:bottom w:w="70" w:type="dxa"/>
              <w:left w:w="80" w:type="dxa"/>
              <w:right w:w="80" w:type="dxa"/>
            </w:tcMar>
          </w:tcPr>
          <w:p>
            <w:r>
              <w:rPr>
                <w:sz w:val="17"/>
              </w:rPr>
              <w:t>Designs ethical frameworks and audits AI tools for bias and safety.</w:t>
            </w:r>
          </w:p>
        </w:tc>
      </w:tr>
      <w:tr>
        <w:tc>
          <w:tcPr>
            <w:tcW w:type="dxa" w:w="2592"/>
            <w:tcMar>
              <w:top w:w="70" w:type="dxa"/>
              <w:bottom w:w="70" w:type="dxa"/>
              <w:left w:w="80" w:type="dxa"/>
              <w:right w:w="80" w:type="dxa"/>
            </w:tcMar>
            <w:shd w:fill="F4F6F8"/>
          </w:tcPr>
          <w:p>
            <w:r>
              <w:rPr>
                <w:b/>
                <w:color w:val="1B365D"/>
              </w:rPr>
              <w:t>3. AI Foundations &amp; Applications</w:t>
            </w:r>
          </w:p>
        </w:tc>
        <w:tc>
          <w:tcPr>
            <w:tcW w:type="dxa" w:w="2592"/>
            <w:tcMar>
              <w:top w:w="70" w:type="dxa"/>
              <w:bottom w:w="70" w:type="dxa"/>
              <w:left w:w="80" w:type="dxa"/>
              <w:right w:w="80" w:type="dxa"/>
            </w:tcMar>
          </w:tcPr>
          <w:p>
            <w:r>
              <w:rPr>
                <w:sz w:val="17"/>
              </w:rPr>
              <w:t>Knows core AI concepts, terminology, and basic prompt entry.</w:t>
            </w:r>
          </w:p>
        </w:tc>
        <w:tc>
          <w:tcPr>
            <w:tcW w:type="dxa" w:w="2592"/>
            <w:tcMar>
              <w:top w:w="70" w:type="dxa"/>
              <w:bottom w:w="70" w:type="dxa"/>
              <w:left w:w="80" w:type="dxa"/>
              <w:right w:w="80" w:type="dxa"/>
            </w:tcMar>
          </w:tcPr>
          <w:p>
            <w:r>
              <w:rPr>
                <w:sz w:val="17"/>
              </w:rPr>
              <w:t>Utilizes generative AI effectively for educational content tasks.</w:t>
            </w:r>
          </w:p>
        </w:tc>
        <w:tc>
          <w:tcPr>
            <w:tcW w:type="dxa" w:w="2592"/>
            <w:tcMar>
              <w:top w:w="70" w:type="dxa"/>
              <w:bottom w:w="70" w:type="dxa"/>
              <w:left w:w="80" w:type="dxa"/>
              <w:right w:w="80" w:type="dxa"/>
            </w:tcMar>
          </w:tcPr>
          <w:p>
            <w:r>
              <w:rPr>
                <w:sz w:val="17"/>
              </w:rPr>
              <w:t>Evaluates emerging AI tech and integrates custom models/prompts.</w:t>
            </w:r>
          </w:p>
        </w:tc>
      </w:tr>
      <w:tr>
        <w:tc>
          <w:tcPr>
            <w:tcW w:type="dxa" w:w="2592"/>
            <w:tcMar>
              <w:top w:w="70" w:type="dxa"/>
              <w:bottom w:w="70" w:type="dxa"/>
              <w:left w:w="80" w:type="dxa"/>
              <w:right w:w="80" w:type="dxa"/>
            </w:tcMar>
            <w:shd w:fill="F4F6F8"/>
          </w:tcPr>
          <w:p>
            <w:r>
              <w:rPr>
                <w:b/>
                <w:color w:val="1B365D"/>
              </w:rPr>
              <w:t>4. AI Pedagogy</w:t>
            </w:r>
          </w:p>
        </w:tc>
        <w:tc>
          <w:tcPr>
            <w:tcW w:type="dxa" w:w="2592"/>
            <w:tcMar>
              <w:top w:w="70" w:type="dxa"/>
              <w:bottom w:w="70" w:type="dxa"/>
              <w:left w:w="80" w:type="dxa"/>
              <w:right w:w="80" w:type="dxa"/>
            </w:tcMar>
          </w:tcPr>
          <w:p>
            <w:r>
              <w:rPr>
                <w:sz w:val="17"/>
              </w:rPr>
              <w:t>Identifies how AI supports existing teaching methods.</w:t>
            </w:r>
          </w:p>
        </w:tc>
        <w:tc>
          <w:tcPr>
            <w:tcW w:type="dxa" w:w="2592"/>
            <w:tcMar>
              <w:top w:w="70" w:type="dxa"/>
              <w:bottom w:w="70" w:type="dxa"/>
              <w:left w:w="80" w:type="dxa"/>
              <w:right w:w="80" w:type="dxa"/>
            </w:tcMar>
          </w:tcPr>
          <w:p>
            <w:r>
              <w:rPr>
                <w:sz w:val="17"/>
              </w:rPr>
              <w:t>Integrates AI into lesson design, differentiation, and feedback.</w:t>
            </w:r>
          </w:p>
        </w:tc>
        <w:tc>
          <w:tcPr>
            <w:tcW w:type="dxa" w:w="2592"/>
            <w:tcMar>
              <w:top w:w="70" w:type="dxa"/>
              <w:bottom w:w="70" w:type="dxa"/>
              <w:left w:w="80" w:type="dxa"/>
              <w:right w:w="80" w:type="dxa"/>
            </w:tcMar>
          </w:tcPr>
          <w:p>
            <w:r>
              <w:rPr>
                <w:sz w:val="17"/>
              </w:rPr>
              <w:t>Transforms learning models and creates innovative AI pedagogy.</w:t>
            </w:r>
          </w:p>
        </w:tc>
      </w:tr>
      <w:tr>
        <w:tc>
          <w:tcPr>
            <w:tcW w:type="dxa" w:w="2592"/>
            <w:tcMar>
              <w:top w:w="70" w:type="dxa"/>
              <w:bottom w:w="70" w:type="dxa"/>
              <w:left w:w="80" w:type="dxa"/>
              <w:right w:w="80" w:type="dxa"/>
            </w:tcMar>
            <w:shd w:fill="F4F6F8"/>
          </w:tcPr>
          <w:p>
            <w:r>
              <w:rPr>
                <w:b/>
                <w:color w:val="1B365D"/>
              </w:rPr>
              <w:t>5. Professional Development</w:t>
            </w:r>
          </w:p>
        </w:tc>
        <w:tc>
          <w:tcPr>
            <w:tcW w:type="dxa" w:w="2592"/>
            <w:tcMar>
              <w:top w:w="70" w:type="dxa"/>
              <w:bottom w:w="70" w:type="dxa"/>
              <w:left w:w="80" w:type="dxa"/>
              <w:right w:w="80" w:type="dxa"/>
            </w:tcMar>
          </w:tcPr>
          <w:p>
            <w:r>
              <w:rPr>
                <w:sz w:val="17"/>
              </w:rPr>
              <w:t>Uses AI for basic admin tasks and personal inquiry.</w:t>
            </w:r>
          </w:p>
        </w:tc>
        <w:tc>
          <w:tcPr>
            <w:tcW w:type="dxa" w:w="2592"/>
            <w:tcMar>
              <w:top w:w="70" w:type="dxa"/>
              <w:bottom w:w="70" w:type="dxa"/>
              <w:left w:w="80" w:type="dxa"/>
              <w:right w:w="80" w:type="dxa"/>
            </w:tcMar>
          </w:tcPr>
          <w:p>
            <w:r>
              <w:rPr>
                <w:sz w:val="17"/>
              </w:rPr>
              <w:t>Reflects on AI-driven practice and collaborates with peers.</w:t>
            </w:r>
          </w:p>
        </w:tc>
        <w:tc>
          <w:tcPr>
            <w:tcW w:type="dxa" w:w="2592"/>
            <w:tcMar>
              <w:top w:w="70" w:type="dxa"/>
              <w:bottom w:w="70" w:type="dxa"/>
              <w:left w:w="80" w:type="dxa"/>
              <w:right w:w="80" w:type="dxa"/>
            </w:tcMar>
          </w:tcPr>
          <w:p>
            <w:r>
              <w:rPr>
                <w:sz w:val="17"/>
              </w:rPr>
              <w:t>Mentors educators and drives institutional AI practice research.</w:t>
            </w:r>
          </w:p>
        </w:tc>
      </w:tr>
    </w:tbl>
    <w:p>
      <w:pPr>
        <w:spacing w:after="2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