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365D"/>
            <w:tcMar>
              <w:top w:w="200" w:type="dxa"/>
              <w:bottom w:w="200" w:type="dxa"/>
              <w:left w:w="200" w:type="dxa"/>
              <w:right w:w="200" w:type="dxa"/>
            </w:tcMar>
          </w:tcPr>
          <w:p>
            <w:pPr>
              <w:jc w:val="left"/>
            </w:pPr>
            <w:r>
              <w:rPr>
                <w:b/>
                <w:color w:val="C57827"/>
                <w:sz w:val="19"/>
              </w:rPr>
              <w:t>TEACHER PROFESSIONAL DEVELOPMENT PROGRAM</w:t>
            </w:r>
          </w:p>
          <w:p>
            <w:r>
              <w:rPr>
                <w:b/>
                <w:color w:val="FFFFFF"/>
                <w:sz w:val="40"/>
              </w:rPr>
              <w:t>Video Script: How Students Actually Learn</w:t>
            </w:r>
          </w:p>
          <w:p>
            <w:r>
              <w:rPr>
                <w:i/>
                <w:color w:val="DCE6F0"/>
                <w:sz w:val="22"/>
              </w:rPr>
              <w:t>Bilingual Production Script (English &amp; Khmer) | Target Duration: 7–8 Minutes</w:t>
            </w:r>
          </w:p>
        </w:tc>
      </w:tr>
    </w:tbl>
    <w:p>
      <w:pPr>
        <w:spacing w:after="12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180" w:type="dxa"/>
              <w:right w:w="180" w:type="dxa"/>
            </w:tcMar>
            <w:tcBorders>
              <w:left w:val="single" w:sz="36" w:space="0" w:color="1B365D"/>
              <w:top w:val="none"/>
              <w:right w:val="none"/>
              <w:bottom w:val="none"/>
            </w:tcBorders>
          </w:tcPr>
          <w:p>
            <w:r>
              <w:rPr>
                <w:b/>
                <w:color w:val="1B365D"/>
                <w:sz w:val="22"/>
              </w:rPr>
              <w:t>📌 DOCUMENT OVERVIEW &amp; PRODUCTION GUIDELINES</w:t>
              <w:br/>
            </w:r>
          </w:p>
          <w:p>
            <w:pPr>
              <w:spacing w:after="60"/>
            </w:pPr>
            <w:r>
              <w:rPr>
                <w:b/>
                <w:color w:val="C57827"/>
              </w:rPr>
              <w:t xml:space="preserve">• </w:t>
            </w:r>
            <w:r>
              <w:rPr>
                <w:sz w:val="20"/>
              </w:rPr>
              <w:t>Purpose: Training video script establishing the learning-science foundation (Cognitive Load Theory, Study Methods, Desirable Difficulty) required to evaluate AI tools and design effective instructional materials.</w:t>
            </w:r>
          </w:p>
          <w:p>
            <w:pPr>
              <w:spacing w:after="60"/>
            </w:pPr>
            <w:r>
              <w:rPr>
                <w:b/>
                <w:color w:val="C57827"/>
              </w:rPr>
              <w:t xml:space="preserve">• </w:t>
            </w:r>
            <w:r>
              <w:rPr>
                <w:sz w:val="20"/>
              </w:rPr>
              <w:t>Target Audience: Educators, Academic Supervisors, Curriculum Developers, and Instructional Designers.</w:t>
            </w:r>
          </w:p>
          <w:p>
            <w:pPr>
              <w:spacing w:after="60"/>
            </w:pPr>
            <w:r>
              <w:rPr>
                <w:b/>
                <w:color w:val="C57827"/>
              </w:rPr>
              <w:t xml:space="preserve">• </w:t>
            </w:r>
            <w:r>
              <w:rPr>
                <w:sz w:val="20"/>
              </w:rPr>
              <w:t>Production Format: On-camera host presenter combined with 2D animated diagrams, clear cognitive load visual models, and worksheet before/after mockups.</w:t>
            </w:r>
          </w:p>
          <w:p>
            <w:pPr>
              <w:spacing w:after="60"/>
            </w:pPr>
            <w:r>
              <w:rPr>
                <w:b/>
                <w:color w:val="C57827"/>
              </w:rPr>
              <w:t xml:space="preserve">• </w:t>
            </w:r>
            <w:r>
              <w:rPr>
                <w:sz w:val="20"/>
              </w:rPr>
              <w:t>Learner Instructions: 'Watch the video below once, all the way through. You will apply these ideas directly in the worksheet redesign and lesson plan activities that follow.'</w:t>
            </w:r>
          </w:p>
          <w:p>
            <w:pPr>
              <w:spacing w:after="60"/>
            </w:pPr>
            <w:r>
              <w:rPr>
                <w:b/>
                <w:color w:val="C57827"/>
              </w:rPr>
              <w:t xml:space="preserve">• </w:t>
            </w:r>
            <w:r>
              <w:rPr>
                <w:sz w:val="20"/>
              </w:rPr>
              <w:t>Language &amp; Layout: Side-by-side dual-column layout featuring English Narration alongside official educational Khmer (ខេមរភាសា) Translation with visual directions.</w:t>
            </w:r>
          </w:p>
        </w:tc>
      </w:tr>
    </w:tbl>
    <w:p>
      <w:pPr>
        <w:spacing w:after="120"/>
      </w:pPr>
    </w:p>
    <w:p>
      <w:pPr>
        <w:keepNext/>
        <w:spacing w:before="280" w:after="120"/>
      </w:pPr>
      <w:r>
        <w:rPr>
          <w:b/>
          <w:color w:val="1B365D"/>
          <w:sz w:val="30"/>
        </w:rPr>
        <w:t>1. Learning Science &amp; AI Evaluation Framework</w:t>
      </w:r>
    </w:p>
    <w:p>
      <w:pPr>
        <w:spacing w:after="160" w:line="276" w:lineRule="auto"/>
      </w:pPr>
      <w:r>
        <w:t>Before evaluating any AI technology, teachers must ground their judgment in the principles of how human cognitive architecture processes information. This module bridges Cognitive Load Theory (Sweller), cognitive study strategy research (Dunlosky et al.), and the concept of Desirable Difficulty (Bjork). It provides educators with an evidence-based lens to evaluate whether AI tools genuinely scaffold learning or simply introduce cognitive distraction and illusion of competence.</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1B365D"/>
            <w:tcMar>
              <w:top w:w="100" w:type="dxa"/>
              <w:bottom w:w="100" w:type="dxa"/>
              <w:left w:w="120" w:type="dxa"/>
              <w:right w:w="120" w:type="dxa"/>
            </w:tcMar>
          </w:tcPr>
          <w:p>
            <w:pPr>
              <w:jc w:val="left"/>
            </w:pPr>
            <w:r>
              <w:rPr>
                <w:b/>
                <w:color w:val="FFFFFF"/>
              </w:rPr>
              <w:t>Cognitive Principle</w:t>
            </w:r>
          </w:p>
        </w:tc>
        <w:tc>
          <w:tcPr>
            <w:tcW w:type="dxa" w:w="3168"/>
            <w:shd w:fill="1B365D"/>
            <w:tcMar>
              <w:top w:w="100" w:type="dxa"/>
              <w:bottom w:w="100" w:type="dxa"/>
              <w:left w:w="120" w:type="dxa"/>
              <w:right w:w="120" w:type="dxa"/>
            </w:tcMar>
          </w:tcPr>
          <w:p>
            <w:pPr>
              <w:jc w:val="left"/>
            </w:pPr>
            <w:r>
              <w:rPr>
                <w:b/>
                <w:color w:val="FFFFFF"/>
              </w:rPr>
              <w:t>Core Mechanism</w:t>
            </w:r>
          </w:p>
        </w:tc>
        <w:tc>
          <w:tcPr>
            <w:tcW w:type="dxa" w:w="4176"/>
            <w:shd w:fill="1B365D"/>
            <w:tcMar>
              <w:top w:w="100" w:type="dxa"/>
              <w:bottom w:w="100" w:type="dxa"/>
              <w:left w:w="120" w:type="dxa"/>
              <w:right w:w="120" w:type="dxa"/>
            </w:tcMar>
          </w:tcPr>
          <w:p>
            <w:pPr>
              <w:jc w:val="left"/>
            </w:pPr>
            <w:r>
              <w:rPr>
                <w:b/>
                <w:color w:val="FFFFFF"/>
              </w:rPr>
              <w:t>Instructional &amp; AI Evaluation Impact</w:t>
            </w:r>
          </w:p>
        </w:tc>
      </w:tr>
      <w:tr>
        <w:tc>
          <w:tcPr>
            <w:tcW w:type="dxa" w:w="2592"/>
            <w:tcMar>
              <w:top w:w="80" w:type="dxa"/>
              <w:bottom w:w="80" w:type="dxa"/>
              <w:left w:w="100" w:type="dxa"/>
              <w:right w:w="100" w:type="dxa"/>
            </w:tcMar>
            <w:shd w:fill="F4F6F8"/>
          </w:tcPr>
          <w:p>
            <w:pPr>
              <w:spacing w:line="264" w:lineRule="auto"/>
            </w:pPr>
            <w:r>
              <w:t>Cognitive Load Theory</w:t>
              <w:br/>
              <w:t>(Sweller)</w:t>
            </w:r>
          </w:p>
        </w:tc>
        <w:tc>
          <w:tcPr>
            <w:tcW w:type="dxa" w:w="3168"/>
            <w:tcMar>
              <w:top w:w="80" w:type="dxa"/>
              <w:bottom w:w="80" w:type="dxa"/>
              <w:left w:w="100" w:type="dxa"/>
              <w:right w:w="100" w:type="dxa"/>
            </w:tcMar>
            <w:shd w:fill="F4F6F8"/>
          </w:tcPr>
          <w:p>
            <w:pPr>
              <w:spacing w:line="264" w:lineRule="auto"/>
            </w:pPr>
            <w:r>
              <w:t>Working memory limits:</w:t>
              <w:br/>
              <w:t>• Intrinsic (Content complexity)</w:t>
              <w:br/>
              <w:t>• Extraneous (Design clutter)</w:t>
              <w:br/>
              <w:t>• Germane (Schema building)</w:t>
            </w:r>
          </w:p>
        </w:tc>
        <w:tc>
          <w:tcPr>
            <w:tcW w:type="dxa" w:w="4176"/>
            <w:tcMar>
              <w:top w:w="80" w:type="dxa"/>
              <w:bottom w:w="80" w:type="dxa"/>
              <w:left w:w="100" w:type="dxa"/>
              <w:right w:w="100" w:type="dxa"/>
            </w:tcMar>
            <w:shd w:fill="F4F6F8"/>
          </w:tcPr>
          <w:p>
            <w:pPr>
              <w:spacing w:line="264" w:lineRule="auto"/>
            </w:pPr>
            <w:r>
              <w:t>Use AI to minimize extraneous load (clean layout, clear instructions) so mental energy goes toward schema construction.</w:t>
            </w:r>
          </w:p>
        </w:tc>
      </w:tr>
      <w:tr>
        <w:tc>
          <w:tcPr>
            <w:tcW w:type="dxa" w:w="2592"/>
            <w:tcMar>
              <w:top w:w="80" w:type="dxa"/>
              <w:bottom w:w="80" w:type="dxa"/>
              <w:left w:w="100" w:type="dxa"/>
              <w:right w:w="100" w:type="dxa"/>
            </w:tcMar>
          </w:tcPr>
          <w:p>
            <w:pPr>
              <w:spacing w:line="264" w:lineRule="auto"/>
            </w:pPr>
            <w:r>
              <w:t>Study Strategy Efficacy</w:t>
              <w:br/>
              <w:t>(Dunlosky)</w:t>
            </w:r>
          </w:p>
        </w:tc>
        <w:tc>
          <w:tcPr>
            <w:tcW w:type="dxa" w:w="3168"/>
            <w:tcMar>
              <w:top w:w="80" w:type="dxa"/>
              <w:bottom w:w="80" w:type="dxa"/>
              <w:left w:w="100" w:type="dxa"/>
              <w:right w:w="100" w:type="dxa"/>
            </w:tcMar>
          </w:tcPr>
          <w:p>
            <w:pPr>
              <w:spacing w:line="264" w:lineRule="auto"/>
            </w:pPr>
            <w:r>
              <w:t>Active Recall &amp; Spaced Repetition &gt; Re-reading &amp; Highlighting.</w:t>
            </w:r>
          </w:p>
        </w:tc>
        <w:tc>
          <w:tcPr>
            <w:tcW w:type="dxa" w:w="4176"/>
            <w:tcMar>
              <w:top w:w="80" w:type="dxa"/>
              <w:bottom w:w="80" w:type="dxa"/>
              <w:left w:w="100" w:type="dxa"/>
              <w:right w:w="100" w:type="dxa"/>
            </w:tcMar>
          </w:tcPr>
          <w:p>
            <w:pPr>
              <w:spacing w:line="264" w:lineRule="auto"/>
            </w:pPr>
            <w:r>
              <w:t>Prompt AI to generate retrieval practice, self-quizzes, and flashcards rather than passive summaries or full answers.</w:t>
            </w:r>
          </w:p>
        </w:tc>
      </w:tr>
      <w:tr>
        <w:tc>
          <w:tcPr>
            <w:tcW w:type="dxa" w:w="2592"/>
            <w:tcMar>
              <w:top w:w="80" w:type="dxa"/>
              <w:bottom w:w="80" w:type="dxa"/>
              <w:left w:w="100" w:type="dxa"/>
              <w:right w:w="100" w:type="dxa"/>
            </w:tcMar>
            <w:shd w:fill="F4F6F8"/>
          </w:tcPr>
          <w:p>
            <w:pPr>
              <w:spacing w:line="264" w:lineRule="auto"/>
            </w:pPr>
            <w:r>
              <w:t>Desirable Difficulty</w:t>
              <w:br/>
              <w:t>(Bjork)</w:t>
            </w:r>
          </w:p>
        </w:tc>
        <w:tc>
          <w:tcPr>
            <w:tcW w:type="dxa" w:w="3168"/>
            <w:tcMar>
              <w:top w:w="80" w:type="dxa"/>
              <w:bottom w:w="80" w:type="dxa"/>
              <w:left w:w="100" w:type="dxa"/>
              <w:right w:w="100" w:type="dxa"/>
            </w:tcMar>
            <w:shd w:fill="F4F6F8"/>
          </w:tcPr>
          <w:p>
            <w:pPr>
              <w:spacing w:line="264" w:lineRule="auto"/>
            </w:pPr>
            <w:r>
              <w:t>Targeted cognitive friction strengthens long-term memory retrieval.</w:t>
            </w:r>
          </w:p>
        </w:tc>
        <w:tc>
          <w:tcPr>
            <w:tcW w:type="dxa" w:w="4176"/>
            <w:tcMar>
              <w:top w:w="80" w:type="dxa"/>
              <w:bottom w:w="80" w:type="dxa"/>
              <w:left w:w="100" w:type="dxa"/>
              <w:right w:w="100" w:type="dxa"/>
            </w:tcMar>
            <w:shd w:fill="F4F6F8"/>
          </w:tcPr>
          <w:p>
            <w:pPr>
              <w:spacing w:line="264" w:lineRule="auto"/>
            </w:pPr>
            <w:r>
              <w:t>Avoid using AI to over-simplify content or spoon-feed answers; preserve productive cognitive struggle.</w:t>
            </w:r>
          </w:p>
        </w:tc>
      </w:tr>
    </w:tbl>
    <w:p>
      <w:pPr>
        <w:spacing w:after="240"/>
      </w:pPr>
    </w:p>
    <w:p>
      <w:pPr>
        <w:keepNext/>
        <w:spacing w:before="280" w:after="120"/>
      </w:pPr>
      <w:r>
        <w:rPr>
          <w:b/>
          <w:color w:val="1B365D"/>
          <w:sz w:val="30"/>
        </w:rPr>
        <w:t>2. Full Bilingual Production Script (English &amp; Khmer)</w:t>
      </w:r>
    </w:p>
    <w:p>
      <w:pPr>
        <w:spacing w:after="200"/>
      </w:pPr>
      <w:r>
        <w:rPr>
          <w:b/>
        </w:rPr>
        <w:t xml:space="preserve">Note for Production Team: </w:t>
      </w:r>
      <w:r>
        <w:t>Audio timing and visual keyframes are synchronized for 7–8 minutes. Motion graphic animations for Segments 3, 4, 5, and 6 require clear typography and animated visual transitions.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728"/>
            <w:shd w:fill="1B365D"/>
            <w:tcMar>
              <w:top w:w="100" w:type="dxa"/>
              <w:bottom w:w="100" w:type="dxa"/>
              <w:left w:w="100" w:type="dxa"/>
              <w:right w:w="100" w:type="dxa"/>
            </w:tcMar>
          </w:tcPr>
          <w:p>
            <w:r>
              <w:rPr>
                <w:b/>
                <w:color w:val="FFFFFF"/>
                <w:sz w:val="20"/>
              </w:rPr>
              <w:t>Segment &amp; Timing</w:t>
            </w:r>
          </w:p>
        </w:tc>
        <w:tc>
          <w:tcPr>
            <w:tcW w:type="dxa" w:w="2592"/>
            <w:shd w:fill="1B365D"/>
            <w:tcMar>
              <w:top w:w="100" w:type="dxa"/>
              <w:bottom w:w="100" w:type="dxa"/>
              <w:left w:w="100" w:type="dxa"/>
              <w:right w:w="100" w:type="dxa"/>
            </w:tcMar>
          </w:tcPr>
          <w:p>
            <w:r>
              <w:rPr>
                <w:b/>
                <w:color w:val="FFFFFF"/>
                <w:sz w:val="20"/>
              </w:rPr>
              <w:t>Visual &amp; Motion Direction</w:t>
            </w:r>
          </w:p>
        </w:tc>
        <w:tc>
          <w:tcPr>
            <w:tcW w:type="dxa" w:w="3168"/>
            <w:shd w:fill="1B365D"/>
            <w:tcMar>
              <w:top w:w="100" w:type="dxa"/>
              <w:bottom w:w="100" w:type="dxa"/>
              <w:left w:w="100" w:type="dxa"/>
              <w:right w:w="100" w:type="dxa"/>
            </w:tcMar>
          </w:tcPr>
          <w:p>
            <w:r>
              <w:rPr>
                <w:b/>
                <w:color w:val="FFFFFF"/>
                <w:sz w:val="20"/>
              </w:rPr>
              <w:t>English Narration (VO / Host)</w:t>
            </w:r>
          </w:p>
        </w:tc>
        <w:tc>
          <w:tcPr>
            <w:tcW w:type="dxa" w:w="3168"/>
            <w:shd w:fill="1B365D"/>
            <w:tcMar>
              <w:top w:w="100" w:type="dxa"/>
              <w:bottom w:w="100" w:type="dxa"/>
              <w:left w:w="100" w:type="dxa"/>
              <w:right w:w="100" w:type="dxa"/>
            </w:tcMar>
          </w:tcPr>
          <w:p>
            <w:r>
              <w:rPr>
                <w:b/>
                <w:color w:val="FFFFFF"/>
                <w:sz w:val="20"/>
              </w:rPr>
              <w:t>Khmer Narration (ស្គ្រីបនិយាយ)</w:t>
            </w:r>
          </w:p>
        </w:tc>
      </w:tr>
      <w:tr>
        <w:tc>
          <w:tcPr>
            <w:tcW w:type="dxa" w:w="1728"/>
            <w:tcMar>
              <w:top w:w="80" w:type="dxa"/>
              <w:bottom w:w="80" w:type="dxa"/>
              <w:left w:w="90" w:type="dxa"/>
              <w:right w:w="90" w:type="dxa"/>
            </w:tcMar>
            <w:vAlign w:val="top"/>
          </w:tcPr>
          <w:p>
            <w:r>
              <w:rPr>
                <w:b/>
                <w:color w:val="1B365D"/>
                <w:sz w:val="19"/>
              </w:rPr>
              <w:t>Segment 1: Cold Open</w:t>
              <w:br/>
              <w:br/>
              <w:t>⏱️ 0:00–0:35 (35 sec)</w:t>
            </w:r>
          </w:p>
        </w:tc>
        <w:tc>
          <w:tcPr>
            <w:tcW w:type="dxa" w:w="2592"/>
            <w:tcMar>
              <w:top w:w="80" w:type="dxa"/>
              <w:bottom w:w="80" w:type="dxa"/>
              <w:left w:w="90" w:type="dxa"/>
              <w:right w:w="90" w:type="dxa"/>
            </w:tcMar>
            <w:vAlign w:val="top"/>
          </w:tcPr>
          <w:p>
            <w:r>
              <w:rPr>
                <w:sz w:val="18"/>
              </w:rPr>
              <w:t>Host on camera in a modern educational studio environment.</w:t>
              <w:br/>
              <w:br/>
              <w:t>On-screen text overlays dynamically:</w:t>
              <w:br/>
              <w:t>'Can AI help students learn? Wrong question to start with.' / 'តើ AI អាចជួយសិស្សឱ្យរៀនបានទេ? នេះជាសំណួរមិនទាន់ត្រឹមត្រូវឡើយក្នុងការចាប់ផ្តើម។'</w:t>
            </w:r>
          </w:p>
        </w:tc>
        <w:tc>
          <w:tcPr>
            <w:tcW w:type="dxa" w:w="3168"/>
            <w:tcMar>
              <w:top w:w="80" w:type="dxa"/>
              <w:bottom w:w="80" w:type="dxa"/>
              <w:left w:w="90" w:type="dxa"/>
              <w:right w:w="90" w:type="dxa"/>
            </w:tcMar>
            <w:vAlign w:val="top"/>
          </w:tcPr>
          <w:p>
            <w:r>
              <w:rPr>
                <w:sz w:val="19"/>
              </w:rPr>
              <w:t>Can AI help students learn? That's actually the wrong question to start with.</w:t>
              <w:br/>
              <w:br/>
              <w:t>The right first question is: how do students actually learn in the first place? Once you understand human cognitive architecture and memory formation, you gain a clear, evidence-based lens to evaluate any tool — AI included — by whether it truly supports that process or merely creates an illusion of learning.</w:t>
            </w:r>
          </w:p>
        </w:tc>
        <w:tc>
          <w:tcPr>
            <w:tcW w:type="dxa" w:w="3168"/>
            <w:tcMar>
              <w:top w:w="80" w:type="dxa"/>
              <w:bottom w:w="80" w:type="dxa"/>
              <w:left w:w="90" w:type="dxa"/>
              <w:right w:w="90" w:type="dxa"/>
            </w:tcMar>
            <w:vAlign w:val="top"/>
          </w:tcPr>
          <w:p>
            <w:r>
              <w:rPr>
                <w:sz w:val="19"/>
              </w:rPr>
              <w:t>តើ AI អាចជួយសិស្សឱ្យរៀនបានដែរឬទេ? តាមពិត នេះគឺជាសំណួរមិនទាន់ត្រឹមត្រូវឡើយក្នុងការចាប់ផ្តើម។</w:t>
              <w:br/>
              <w:br/>
              <w:t>សំណួរដំបូងដែលត្រឹមត្រូវគឺ៖ តើសិស្សរៀនសូត្រតាមរបៀបណាឱ្យពិតប្រាកដ? នៅពេលដែលអ្នកយល់ដឹងពីដំណើរការនៃការចងចាំ និងការគិតរបស់មនុស្ស អ្នកនឹងទទួលបានរ៉ាដាវាយតម្លៃប្រកបដោយវិទ្យាសាស្ត្រ ដើម្បីពិនិត្យមើលឧបករណ៍ណាមួយ — រួមទាំង AI ផងដែរ — ថា តើវាពិតជាជួយដល់ដំណើរការរៀនសូត្រ ឬគ្រាន់តែបង្កើតរូបភាពបោកបញ្ឆោតនៃការរៀនសូត្រប៉ុណ្ណោះ។</w:t>
            </w:r>
          </w:p>
        </w:tc>
      </w:tr>
      <w:tr>
        <w:tc>
          <w:tcPr>
            <w:tcW w:type="dxa" w:w="1728"/>
            <w:tcMar>
              <w:top w:w="80" w:type="dxa"/>
              <w:bottom w:w="80" w:type="dxa"/>
              <w:left w:w="90" w:type="dxa"/>
              <w:right w:w="90" w:type="dxa"/>
            </w:tcMar>
            <w:vAlign w:val="top"/>
          </w:tcPr>
          <w:p>
            <w:r>
              <w:rPr>
                <w:b/>
                <w:color w:val="1B365D"/>
                <w:sz w:val="19"/>
              </w:rPr>
              <w:t>Segment 2: Why Learning Science Comes First</w:t>
              <w:br/>
              <w:br/>
              <w:t>⏱️ 0:35–1:20 (45 sec)</w:t>
            </w:r>
          </w:p>
        </w:tc>
        <w:tc>
          <w:tcPr>
            <w:tcW w:type="dxa" w:w="2592"/>
            <w:tcMar>
              <w:top w:w="80" w:type="dxa"/>
              <w:bottom w:w="80" w:type="dxa"/>
              <w:left w:w="90" w:type="dxa"/>
              <w:right w:w="90" w:type="dxa"/>
            </w:tcMar>
            <w:vAlign w:val="top"/>
          </w:tcPr>
          <w:p>
            <w:r>
              <w:rPr>
                <w:sz w:val="18"/>
              </w:rPr>
              <w:t>Graphic animation:</w:t>
              <w:br/>
              <w:t>An arrow labeled 'AI Tool' points into a black box labeled '?'.</w:t>
              <w:br/>
              <w:t>As the host speaks, the box lights up and transforms into a clear window labeled 'Learning Science Architecture' with working memory and long-term memory visual nodes.</w:t>
            </w:r>
          </w:p>
        </w:tc>
        <w:tc>
          <w:tcPr>
            <w:tcW w:type="dxa" w:w="3168"/>
            <w:tcMar>
              <w:top w:w="80" w:type="dxa"/>
              <w:bottom w:w="80" w:type="dxa"/>
              <w:left w:w="90" w:type="dxa"/>
              <w:right w:w="90" w:type="dxa"/>
            </w:tcMar>
            <w:vAlign w:val="top"/>
          </w:tcPr>
          <w:p>
            <w:r>
              <w:rPr>
                <w:sz w:val="19"/>
              </w:rPr>
              <w:t>Any AI tool can look impressive in a vendor demo. It can generate complete lesson plans in seconds or write polished essays instantly. But the only real test is whether it works with how human memory and attention actually function — or against them.</w:t>
              <w:br/>
              <w:br/>
              <w:t>That's what this module gives you: a grounded, working model of learning science. With this framework, you will evaluate AI applications with confidence and pedagogical rigor, rather than falling for technological hype.</w:t>
            </w:r>
          </w:p>
        </w:tc>
        <w:tc>
          <w:tcPr>
            <w:tcW w:type="dxa" w:w="3168"/>
            <w:tcMar>
              <w:top w:w="80" w:type="dxa"/>
              <w:bottom w:w="80" w:type="dxa"/>
              <w:left w:w="90" w:type="dxa"/>
              <w:right w:w="90" w:type="dxa"/>
            </w:tcMar>
            <w:vAlign w:val="top"/>
          </w:tcPr>
          <w:p>
            <w:r>
              <w:rPr>
                <w:sz w:val="19"/>
              </w:rPr>
              <w:t>ឧបករណ៍ AI ណាក៏ដោយ អាចមើលទៅគួរឱ្យចាប់អារម្មណ៍ខ្លាំងណាស់នៅក្នុងការបង្ហាញសាកល្បង។ វាអាចបង្កើតកិច្ចតែងការបង្រៀនបានយ៉ាងឆាប់រហ័ស ឬសរសេរអត្ថបទយ៉ាងរលូន។ ប៉ុន្តែការសាកល្បងពិតប្រាកដតែមួយគត់ គឺថាតើវាធ្វើការស្របទៅនឹងរបៀបដែលការចងចាំ និងការយកចិត្តទុកដាក់របស់មនុស្សដំណើរការ — ឬមួយក៏ប្រឆាំងនឹងវា។</w:t>
              <w:br/>
              <w:br/>
              <w:t>នោះហើយជាអ្វីដែលម៉ូឌុលនេះផ្តល់ជូនអ្នក៖ ម៉ូដែលអនុវត្តជាក់ស្តែងនៃវិទ្យាសាស្ត្រនៃការរៀនសូត្រ។ ជាមួយនឹងក្របខ័ណ្ឌនេះ អ្នកនឹងវាយតម្លៃការប្រើយន្តការ AI ដោយទំនុកចិត្ត និងភាពត្រឹមត្រូវផ្នែកគរុកោសល្យ ដោយមិនចាញ់បោកការផ្សព្វផ្សាយពាណិជ្ជកម្មឡើយ។</w:t>
            </w:r>
          </w:p>
        </w:tc>
      </w:tr>
      <w:tr>
        <w:tc>
          <w:tcPr>
            <w:tcW w:type="dxa" w:w="1728"/>
            <w:tcMar>
              <w:top w:w="80" w:type="dxa"/>
              <w:bottom w:w="80" w:type="dxa"/>
              <w:left w:w="90" w:type="dxa"/>
              <w:right w:w="90" w:type="dxa"/>
            </w:tcMar>
            <w:vAlign w:val="top"/>
          </w:tcPr>
          <w:p>
            <w:r>
              <w:rPr>
                <w:b/>
                <w:color w:val="1B365D"/>
                <w:sz w:val="19"/>
              </w:rPr>
              <w:t>Segment 3: Cognitive Load Theory</w:t>
              <w:br/>
              <w:br/>
              <w:t>⏱️ 1:20–3:00 (1 min 40 sec)</w:t>
            </w:r>
          </w:p>
        </w:tc>
        <w:tc>
          <w:tcPr>
            <w:tcW w:type="dxa" w:w="2592"/>
            <w:tcMar>
              <w:top w:w="80" w:type="dxa"/>
              <w:bottom w:w="80" w:type="dxa"/>
              <w:left w:w="90" w:type="dxa"/>
              <w:right w:w="90" w:type="dxa"/>
            </w:tcMar>
            <w:vAlign w:val="top"/>
          </w:tcPr>
          <w:p>
            <w:r>
              <w:rPr>
                <w:sz w:val="18"/>
              </w:rPr>
              <w:t>Interactive 3-part visual diagram animates step-by-step:</w:t>
              <w:br/>
              <w:t>1. Intrinsic Load (Fixed puzzle icon - task complexity)</w:t>
              <w:br/>
              <w:t>2. Extraneous Load (Red cluttered icon - poor layout/split attention) → Animate shrinking</w:t>
              <w:br/>
              <w:t>3. Germane Load (Green brain/schema icon - deep mental effort) → Animate expanding</w:t>
            </w:r>
          </w:p>
        </w:tc>
        <w:tc>
          <w:tcPr>
            <w:tcW w:type="dxa" w:w="3168"/>
            <w:tcMar>
              <w:top w:w="80" w:type="dxa"/>
              <w:bottom w:w="80" w:type="dxa"/>
              <w:left w:w="90" w:type="dxa"/>
              <w:right w:w="90" w:type="dxa"/>
            </w:tcMar>
            <w:vAlign w:val="top"/>
          </w:tcPr>
          <w:p>
            <w:r>
              <w:rPr>
                <w:sz w:val="19"/>
              </w:rPr>
              <w:t>At the core of learning science is Cognitive Load Theory, developed by John Sweller. It explains that our working memory has a strictly limited capacity. Every learning task creates three kinds of mental load:</w:t>
              <w:br/>
              <w:br/>
              <w:t>• Intrinsic Load: The inherent complexity of the material itself — learning quantum physics vs. basic addition.</w:t>
              <w:br/>
              <w:t>• Extraneous Load: Unnecessary mental effort caused by poor design — cluttered slides, ambiguous instructions, or splitting information across multiple pages.</w:t>
              <w:br/>
              <w:t>• Germane Load: The productive mental effort dedicated to processing information and constructing long-term knowledge schemas.</w:t>
              <w:br/>
              <w:br/>
              <w:t>Effective teaching — and effective AI design — does one thing consistently: it strips out extraneous load, freeing up limited working memory for germane load.</w:t>
            </w:r>
          </w:p>
        </w:tc>
        <w:tc>
          <w:tcPr>
            <w:tcW w:type="dxa" w:w="3168"/>
            <w:tcMar>
              <w:top w:w="80" w:type="dxa"/>
              <w:bottom w:w="80" w:type="dxa"/>
              <w:left w:w="90" w:type="dxa"/>
              <w:right w:w="90" w:type="dxa"/>
            </w:tcMar>
            <w:vAlign w:val="top"/>
          </w:tcPr>
          <w:p>
            <w:r>
              <w:rPr>
                <w:sz w:val="19"/>
              </w:rPr>
              <w:t>ស្នូលនៃវិទ្យាសាស្ត្រនៃការរៀនសូត្រ គឺទ្រឹស្តីបន្ទុកចំណេះដឹង (Cognitive Load Theory) ដែលអភិវឌ្ឍដោយលោក John Sweller។ ទ្រឹស្តីនេះពន្យល់ថា អង្គចងចាំបណ្តោះអាសន្ន (Working Memory) របស់មនុស្សយើងមានកម្រិតកំណត់យ៉ាងច្បាស់។ រាល់ភារកិច្ចសិក្សាទាំងអស់ បង្កើតនូវបន្ទុកផ្លូវចិត្តបីយ៉ាង៖</w:t>
              <w:br/>
              <w:br/>
              <w:t>• បន្ទុកពីធម្មជាតិ (Intrinsic Load)៖ ភាពស្មុគស្មាញពីកំណើតនៃខ្លឹមសារមេរៀន — ដូចជាការរៀនរូបវិទ្យាកង់ទិច ធៀបនឹងការបូកលេខគ្រឹះ។</w:t>
              <w:br/>
              <w:t>• បន្ទុកក្រៅផ្លូវ (Extraneous Load)៖ ការខិតខំប្រឹងប្រែងផ្លូវចិត្តដែលមិនចាំបាច់ បណ្តាលមកពីការរចនាមិនបានល្អ — ស្លាយដែលមានអក្សរញ៉េរ៉េ ការណែនាំមិនច្បាស់លាស់ ឬការបំបែកព័ត៌មានជាច្រើនកន្លែង។</w:t>
              <w:br/>
              <w:t>• បន្ទុកមានប្រយោជន៍ (Germane Load)៖ ការខិតខំប្រឹងប្រែងផ្លូវចិត្តដែលមានផលិតភាពក្នុងការស្វែងយល់ និងបង្កើតរចនាសម្ព័ន្ធចំណេះដឹងវែងឆ្ងាយ។</w:t>
              <w:br/>
              <w:br/>
              <w:t>ការបង្រៀនដែលមានប្រសិទ្ធភាព — និងការប្រើប្រាស់ AI ដែលមានប្រសិទ្ធភាព — ធ្វើរឿងមួយយ៉ាងទៀងទាត់៖ វាលុបបំបាត់ 'បន្ទុកក្រៅផ្លូវ' ដើម្បីរំដោះអង្គចងចាំបណ្តោះអាសន្ន ឱ្យទៅផ្តោតលើ 'បន្ទុកមានប្រយោជន៍' វិញ។</w:t>
            </w:r>
          </w:p>
        </w:tc>
      </w:tr>
      <w:tr>
        <w:tc>
          <w:tcPr>
            <w:tcW w:type="dxa" w:w="1728"/>
            <w:tcMar>
              <w:top w:w="80" w:type="dxa"/>
              <w:bottom w:w="80" w:type="dxa"/>
              <w:left w:w="90" w:type="dxa"/>
              <w:right w:w="90" w:type="dxa"/>
            </w:tcMar>
            <w:vAlign w:val="top"/>
          </w:tcPr>
          <w:p>
            <w:r>
              <w:rPr>
                <w:b/>
                <w:color w:val="1B365D"/>
                <w:sz w:val="19"/>
              </w:rPr>
              <w:t>Segment 4: Applying It to Worksheet Design</w:t>
              <w:br/>
              <w:br/>
              <w:t>⏱️ 3:00–4:00 (1 min)</w:t>
            </w:r>
          </w:p>
        </w:tc>
        <w:tc>
          <w:tcPr>
            <w:tcW w:type="dxa" w:w="2592"/>
            <w:tcMar>
              <w:top w:w="80" w:type="dxa"/>
              <w:bottom w:w="80" w:type="dxa"/>
              <w:left w:w="90" w:type="dxa"/>
              <w:right w:w="90" w:type="dxa"/>
            </w:tcMar>
            <w:vAlign w:val="top"/>
          </w:tcPr>
          <w:p>
            <w:r>
              <w:rPr>
                <w:sz w:val="18"/>
              </w:rPr>
              <w:t>Side-by-side worksheet redesign mockup:</w:t>
              <w:br/>
              <w:t>Left (Bad Design): A diagram on Page 1 with numbers, and text key on Page 2 (Animated red spotlight: 'Split-Attention Effect').</w:t>
              <w:br/>
              <w:t>Right (Optimized Design): Diagram with integrated, direct callout labels (Animated green checkmark: 'Extraneous Load Eliminated').</w:t>
            </w:r>
          </w:p>
        </w:tc>
        <w:tc>
          <w:tcPr>
            <w:tcW w:type="dxa" w:w="3168"/>
            <w:tcMar>
              <w:top w:w="80" w:type="dxa"/>
              <w:bottom w:w="80" w:type="dxa"/>
              <w:left w:w="90" w:type="dxa"/>
              <w:right w:w="90" w:type="dxa"/>
            </w:tcMar>
            <w:vAlign w:val="top"/>
          </w:tcPr>
          <w:p>
            <w:r>
              <w:rPr>
                <w:sz w:val="19"/>
              </w:rPr>
              <w:t>Let's translate this theory into a practical classroom example: worksheet design.</w:t>
              <w:br/>
              <w:br/>
              <w:t>Imagine a biology worksheet where a cell diagram is on one page, and the list of term definitions is on the next page. Students have to constantly flip back and forth, matching numbers to names. That back-and-forth movement burns cognitive energy purely on navigation — this is called the 'split-attention effect,' a classic form of extraneous load.</w:t>
              <w:br/>
              <w:br/>
              <w:t>Now, look at the redesigned version. When you place labels and brief explanations directly adjacent to the diagram elements, that wasted search effort disappears. The student's entire working memory is now available to understand how the cell functions.</w:t>
            </w:r>
          </w:p>
        </w:tc>
        <w:tc>
          <w:tcPr>
            <w:tcW w:type="dxa" w:w="3168"/>
            <w:tcMar>
              <w:top w:w="80" w:type="dxa"/>
              <w:bottom w:w="80" w:type="dxa"/>
              <w:left w:w="90" w:type="dxa"/>
              <w:right w:w="90" w:type="dxa"/>
            </w:tcMar>
            <w:vAlign w:val="top"/>
          </w:tcPr>
          <w:p>
            <w:r>
              <w:rPr>
                <w:sz w:val="19"/>
              </w:rPr>
              <w:t>សូមបកប្រែទ្រឹស្តីនេះទៅជាឧទាហរណ៍អនុវត្តជាក់ស្តែងក្នុងថ្នាក់រៀន៖ ការរចនាសន្លឹកកិច្ចការ។</w:t>
              <w:br/>
              <w:br/>
              <w:t>ស្រមៃមើលសន្លឹកកិច្ចការជីវវិទ្យាមួយ ដែលរូបភាពកោសិកាស្ថិតនៅលើទំព័រទី ១ ហើយបញ្ជីនិយមន័យស្ថិតនៅលើទំព័រទី ២។ សិស្សត្រូវតែត្រឡប់ចុះត្រឡប់ឡើងជាប្រចាំ ដើម្បីផ្គូផ្គងលេខទៅនឹងឈ្មោះ។ ការផ្លាស់ប្តូរចុះឡើងនេះ ដុតបំផ្លាញថាមពលខួរក្បាលលើការស្វែងរក — នេះហៅថា 'ផលប៉ះពាល់នៃការបំបែកការយកចិត្តទុកដាក់' (Split-Attention Effect) ដែលជាទម្រង់នៃ 'បន្ទុកក្រៅផ្លូវ'។</w:t>
              <w:br/>
              <w:br/>
              <w:t>ឥឡូវនេះ សូមមើលកំណែដែលបានរចនាឡើងវិញ។ នៅពេលដែលអ្នកដាក់ស្លាកសញ្ញា និងការពន្យល់ខ្លីៗនៅជាប់នឹងរូបភាពដោយផ្ទាល់ ការខិតខំប្រឹងប្រែងដែលខាតបង់នោះនឹងបាត់បង់។ អង្គចងចាំបណ្តោះអាសន្នទាំងមូលរបស់សិស្ស នឹងត្រូវយកទៅប្រើប្រាស់ដើម្បីយល់ពីមុខងាររបស់កោសិកាវិញ។</w:t>
            </w:r>
          </w:p>
        </w:tc>
      </w:tr>
      <w:tr>
        <w:tc>
          <w:tcPr>
            <w:tcW w:type="dxa" w:w="1728"/>
            <w:tcMar>
              <w:top w:w="80" w:type="dxa"/>
              <w:bottom w:w="80" w:type="dxa"/>
              <w:left w:w="90" w:type="dxa"/>
              <w:right w:w="90" w:type="dxa"/>
            </w:tcMar>
            <w:vAlign w:val="top"/>
          </w:tcPr>
          <w:p>
            <w:r>
              <w:rPr>
                <w:b/>
                <w:color w:val="1B365D"/>
                <w:sz w:val="19"/>
              </w:rPr>
              <w:t>Segment 5: Effective vs. Ineffective Study Methods</w:t>
              <w:br/>
              <w:br/>
              <w:t>⏱️ 4:00–5:15 (1 min 15 sec)</w:t>
            </w:r>
          </w:p>
        </w:tc>
        <w:tc>
          <w:tcPr>
            <w:tcW w:type="dxa" w:w="2592"/>
            <w:tcMar>
              <w:top w:w="80" w:type="dxa"/>
              <w:bottom w:w="80" w:type="dxa"/>
              <w:left w:w="90" w:type="dxa"/>
              <w:right w:w="90" w:type="dxa"/>
            </w:tcMar>
            <w:vAlign w:val="top"/>
          </w:tcPr>
          <w:p>
            <w:r>
              <w:rPr>
                <w:sz w:val="18"/>
              </w:rPr>
              <w:t>Two-column comparison chart with scientific research bar graph:</w:t>
              <w:br/>
              <w:t>Left (Ineffective / Low Utility): Passive Re-reading, Text Highlighting (Bar height: Low long-term retention).</w:t>
              <w:br/>
              <w:t>Right (Effective / High Utility): Active Recall, Spaced Repetition (Bar height: High long-term retention).</w:t>
            </w:r>
          </w:p>
        </w:tc>
        <w:tc>
          <w:tcPr>
            <w:tcW w:type="dxa" w:w="3168"/>
            <w:tcMar>
              <w:top w:w="80" w:type="dxa"/>
              <w:bottom w:w="80" w:type="dxa"/>
              <w:left w:w="90" w:type="dxa"/>
              <w:right w:w="90" w:type="dxa"/>
            </w:tcMar>
            <w:vAlign w:val="top"/>
          </w:tcPr>
          <w:p>
            <w:r>
              <w:rPr>
                <w:sz w:val="19"/>
              </w:rPr>
              <w:t>Cognitive load theory doesn't just govern how we present material — it also dictates how students should study.</w:t>
              <w:br/>
              <w:br/>
              <w:t>Research in cognitive psychology consistently shows a major gap between popular study methods and effective ones. Re-reading textbook chapters and highlighting pages with fluorescent markers feel productive, but they create a dangerous 'illusion of competence.' They require minimal mental processing.</w:t>
              <w:br/>
              <w:br/>
              <w:t>In contrast, high-utility strategies like Active Recall — forcing the brain to retrieve information from memory without looking — and Spaced Repetition — spreading retrieval practice over time — dramatically boost long-term retention. As teachers, our role is to guide students away from passive habits and toward active retrieval, utilizing AI to quickly generate practice quizzes and flashcards.</w:t>
            </w:r>
          </w:p>
        </w:tc>
        <w:tc>
          <w:tcPr>
            <w:tcW w:type="dxa" w:w="3168"/>
            <w:tcMar>
              <w:top w:w="80" w:type="dxa"/>
              <w:bottom w:w="80" w:type="dxa"/>
              <w:left w:w="90" w:type="dxa"/>
              <w:right w:w="90" w:type="dxa"/>
            </w:tcMar>
            <w:vAlign w:val="top"/>
          </w:tcPr>
          <w:p>
            <w:r>
              <w:rPr>
                <w:sz w:val="19"/>
              </w:rPr>
              <w:t>ទ្រឹស្តីបន្ទុកចំណេះដឹងមិនត្រឹមតែគ្រប់គ្រងរបៀបដែលយើងបង្ហាញមេរៀនប៉ុណ្ណោះទេ — វាក៏កំណត់របៀបដែលសិស្សគួរសិក្សាផងដែរ។</w:t>
              <w:br/>
              <w:br/>
              <w:t>ការស្រាវជ្រាវផ្នែកចិត្តវិទ្យាខួរក្បាលបង្ហាញយ៉ាងច្បាស់ពីគម្លាតដ៏ធំរវាង វិធីសាស្ត្រសិក្សាដែលពេញនិយម និងវិធីសាស្ត្រដែលមានប្រសិទ្ធភាព។ ការអានសៀវភៅឡើងវិញ និងការគូសហាយឡាយលើទំព័រសៀវភៅ ធ្វើឱ្យមានអារម្មណ៍ថាទទួលបានផលច្រើន ប៉ុន្តែវាបង្កើតនូវ 'រូបភាពបោកបញ្ឆោតនៃសមត្ថភាព' (Illusion of Competence) ប៉ុណ្ណោះ។ ពួកវាត្រូវការការកែច្នៃផ្លូវចិត្តតិចតួចបំផុត។</w:t>
              <w:br/>
              <w:br/>
              <w:t>ផ្ទុយទៅវិញ យុទ្ធសាស្ត្រដែលមានប្រសិទ្ធភាពខ្ពស់ ដូចជា Active Recall (ការរំលឹកចំណេះដឹងដោយខ្លួនឯង ដោយមិនមើលសៀវភៅ) និង Spaced Repetition (ការរំលឹកឡើងវិញតាមចន្លោះពេល) ជួយពង្រឹងការចងចាំរយៈពេលវែងយ៉ាងខ្លាំង។ ក្នុងនាមជាគ្រូបង្រៀន តួនាទីរបស់យើងគឺតម្រង់ទិសសិស្សឱ្យចាកចេញពីទម្លាប់អកម្ម ហើយឆ្ពោះទៅរកការរំលឹកសកម្ម ដោយប្រើប្រាស់ AI ដើម្បីបង្កើតកម្រងសំណួរ និង Flashcards យ៉ាងឆាប់រហ័ស។</w:t>
            </w:r>
          </w:p>
        </w:tc>
      </w:tr>
      <w:tr>
        <w:tc>
          <w:tcPr>
            <w:tcW w:type="dxa" w:w="1728"/>
            <w:tcMar>
              <w:top w:w="80" w:type="dxa"/>
              <w:bottom w:w="80" w:type="dxa"/>
              <w:left w:w="90" w:type="dxa"/>
              <w:right w:w="90" w:type="dxa"/>
            </w:tcMar>
            <w:vAlign w:val="top"/>
          </w:tcPr>
          <w:p>
            <w:r>
              <w:rPr>
                <w:b/>
                <w:color w:val="1B365D"/>
                <w:sz w:val="19"/>
              </w:rPr>
              <w:t>Segment 7: Conclusion &amp; Immediate Application</w:t>
              <w:br/>
              <w:br/>
              <w:t>⏱️ 6:15–7:00 (45 sec)</w:t>
            </w:r>
          </w:p>
        </w:tc>
        <w:tc>
          <w:tcPr>
            <w:tcW w:type="dxa" w:w="2592"/>
            <w:tcMar>
              <w:top w:w="80" w:type="dxa"/>
              <w:bottom w:w="80" w:type="dxa"/>
              <w:left w:w="90" w:type="dxa"/>
              <w:right w:w="90" w:type="dxa"/>
            </w:tcMar>
            <w:vAlign w:val="top"/>
          </w:tcPr>
          <w:p>
            <w:r>
              <w:rPr>
                <w:sz w:val="18"/>
              </w:rPr>
              <w:t>Host on camera.</w:t>
              <w:br/>
              <w:br/>
              <w:t>On-screen text checklist overlays:</w:t>
              <w:br/>
              <w:t>1. Minimize Extraneous Load</w:t>
              <w:br/>
              <w:t>2. Drive Active Recall</w:t>
              <w:br/>
              <w:t>3. Protect Desirable Difficulty</w:t>
              <w:br/>
              <w:br/>
              <w:t>Transition to course call-to-action screen: 'Next Activity: Worksheet Redesign &amp; Lesson Planning'.</w:t>
            </w:r>
          </w:p>
        </w:tc>
        <w:tc>
          <w:tcPr>
            <w:tcW w:type="dxa" w:w="3168"/>
            <w:tcMar>
              <w:top w:w="80" w:type="dxa"/>
              <w:bottom w:w="80" w:type="dxa"/>
              <w:left w:w="90" w:type="dxa"/>
              <w:right w:w="90" w:type="dxa"/>
            </w:tcMar>
            <w:vAlign w:val="top"/>
          </w:tcPr>
          <w:p>
            <w:r>
              <w:rPr>
                <w:sz w:val="19"/>
              </w:rPr>
              <w:t>To summarize: AI technology should never be integrated for its own sake. It must serve the proven laws of human learning.</w:t>
              <w:br/>
              <w:br/>
              <w:t>As you move into the next practical exercises, keep these three benchmarks in mind:</w:t>
              <w:br/>
              <w:t>1. Does your resource strip out extraneous load?</w:t>
              <w:br/>
              <w:t>2. Does it encourage active recall and spaced retrieval?</w:t>
              <w:br/>
              <w:t>3. Does it protect desirable difficulty so students engage in genuine thinking?</w:t>
              <w:br/>
              <w:br/>
              <w:t>Now, open your workshop materials. You are ready to apply these exact learning-science principles to redesign worksheets and refine your lesson plans. Let's begin!</w:t>
            </w:r>
          </w:p>
        </w:tc>
        <w:tc>
          <w:tcPr>
            <w:tcW w:type="dxa" w:w="3168"/>
            <w:tcMar>
              <w:top w:w="80" w:type="dxa"/>
              <w:bottom w:w="80" w:type="dxa"/>
              <w:left w:w="90" w:type="dxa"/>
              <w:right w:w="90" w:type="dxa"/>
            </w:tcMar>
            <w:vAlign w:val="top"/>
          </w:tcPr>
          <w:p>
            <w:r>
              <w:rPr>
                <w:sz w:val="19"/>
              </w:rPr>
              <w:t>សរុបមក៖ បច្ចេកវិទ្យា AI មិនควរបញ្ជ្រាបចូលដោយគ្រាន់តែចង់ប្រើប្រាស់វានោះឡើយ។ វាត្រូវតែបម្រើដល់ច្បាប់នៃការរៀនសូត្ររបស់មនុស្សដែលត្រូវបានស្រាវជ្រាវជ្រោមជ្រែងយ៉ាងច្បាស់លាស់។</w:t>
              <w:br/>
              <w:br/>
              <w:t>នៅពេលអ្នកឈានចូលទៅកាន់សកម្មភាពអនុវត្តបន្ទាប់ សូមចងចាំនូវស្តង់ដារទាំងបីនេះ៖</w:t>
              <w:br/>
              <w:t>១. តើធនធានរបស់អ្នកបានលុបបំបាត់ 'បន្ទុកក្រៅផ្លូវ' ឬទេ?</w:t>
              <w:br/>
              <w:t>២. តើវាជំរុញឱ្យមានការរំលឹកសកម្ម (Active Recall) ឬទេ?</w:t>
              <w:br/>
              <w:t>៣. តើវាការពារ 'កម្រិតលំបាកដែលមានប្រយោជន៍' ដើម្បីឱ្យសិស្សចូលរួមក្នុងការគិតពិតប្រាកដឬទេ?</w:t>
              <w:br/>
              <w:br/>
              <w:t>ឥឡូវនេះ សូមបើកសម្ភារៈសិក្ខាសាលារបស់អ្នក។ អ្នកត្រៀមខ្លួនរួចរាល់ហើយក្នុងការយកគោលការណ៍វិទ្យាសាស្ត្រនៃការរៀនសូត្រទាំងនេះ ទៅអនុវត្តក្នុងការរចនាសន្លឹកកិច្ចការឡើងវិញ និងកែលម្អកិច្ចតែងការបង្រៀនរបស់អ្នក។ សូមចាប់ផ្តើម!</w:t>
            </w:r>
          </w:p>
        </w:tc>
      </w:tr>
    </w:tbl>
    <w:p>
      <w:pPr>
        <w:spacing w:after="280"/>
      </w:pPr>
    </w:p>
    <w:p>
      <w:pPr>
        <w:keepNext/>
        <w:spacing w:before="280" w:after="120"/>
      </w:pPr>
      <w:r>
        <w:rPr>
          <w:b/>
          <w:color w:val="1B365D"/>
          <w:sz w:val="30"/>
        </w:rPr>
        <w:t>3. Practical Rubric: Learning Science AI Evaluation Matrix</w:t>
      </w:r>
    </w:p>
    <w:p>
      <w:pPr>
        <w:spacing w:after="160"/>
      </w:pPr>
      <w:r>
        <w:t>Teachers will use this evaluation rubric during the upcoming worksheet redesign and lesson planning activities to evaluate AI tools and instructional materials.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592"/>
            <w:shd w:fill="5C768D"/>
            <w:tcMar>
              <w:top w:w="80" w:type="dxa"/>
              <w:bottom w:w="80" w:type="dxa"/>
              <w:left w:w="80" w:type="dxa"/>
              <w:right w:w="80" w:type="dxa"/>
            </w:tcMar>
          </w:tcPr>
          <w:p>
            <w:r>
              <w:rPr>
                <w:b/>
                <w:color w:val="FFFFFF"/>
              </w:rPr>
              <w:t>Learning Principle</w:t>
            </w:r>
          </w:p>
        </w:tc>
        <w:tc>
          <w:tcPr>
            <w:tcW w:type="dxa" w:w="2592"/>
            <w:shd w:fill="5C768D"/>
            <w:tcMar>
              <w:top w:w="80" w:type="dxa"/>
              <w:bottom w:w="80" w:type="dxa"/>
              <w:left w:w="80" w:type="dxa"/>
              <w:right w:w="80" w:type="dxa"/>
            </w:tcMar>
          </w:tcPr>
          <w:p>
            <w:r>
              <w:rPr>
                <w:b/>
                <w:color w:val="FFFFFF"/>
              </w:rPr>
              <w:t>Red Flag (Ineffective AI/Design)</w:t>
            </w:r>
          </w:p>
        </w:tc>
        <w:tc>
          <w:tcPr>
            <w:tcW w:type="dxa" w:w="2592"/>
            <w:shd w:fill="5C768D"/>
            <w:tcMar>
              <w:top w:w="80" w:type="dxa"/>
              <w:bottom w:w="80" w:type="dxa"/>
              <w:left w:w="80" w:type="dxa"/>
              <w:right w:w="80" w:type="dxa"/>
            </w:tcMar>
          </w:tcPr>
          <w:p>
            <w:r>
              <w:rPr>
                <w:b/>
                <w:color w:val="FFFFFF"/>
              </w:rPr>
              <w:t>Optimal Practice (Effective AI/Design)</w:t>
            </w:r>
          </w:p>
        </w:tc>
        <w:tc>
          <w:tcPr>
            <w:tcW w:type="dxa" w:w="2592"/>
            <w:shd w:fill="5C768D"/>
            <w:tcMar>
              <w:top w:w="80" w:type="dxa"/>
              <w:bottom w:w="80" w:type="dxa"/>
              <w:left w:w="80" w:type="dxa"/>
              <w:right w:w="80" w:type="dxa"/>
            </w:tcMar>
          </w:tcPr>
          <w:p>
            <w:r>
              <w:rPr>
                <w:b/>
                <w:color w:val="FFFFFF"/>
              </w:rPr>
              <w:t>Classroom &amp; Worksheet Application</w:t>
            </w:r>
          </w:p>
        </w:tc>
      </w:tr>
      <w:tr>
        <w:tc>
          <w:tcPr>
            <w:tcW w:type="dxa" w:w="2592"/>
            <w:tcMar>
              <w:top w:w="70" w:type="dxa"/>
              <w:bottom w:w="70" w:type="dxa"/>
              <w:left w:w="80" w:type="dxa"/>
              <w:right w:w="80" w:type="dxa"/>
            </w:tcMar>
            <w:shd w:fill="F4F6F8"/>
          </w:tcPr>
          <w:p>
            <w:r>
              <w:rPr>
                <w:b/>
                <w:color w:val="1B365D"/>
              </w:rPr>
              <w:t>1. Cognitive Load Management</w:t>
            </w:r>
          </w:p>
        </w:tc>
        <w:tc>
          <w:tcPr>
            <w:tcW w:type="dxa" w:w="2592"/>
            <w:tcMar>
              <w:top w:w="70" w:type="dxa"/>
              <w:bottom w:w="70" w:type="dxa"/>
              <w:left w:w="80" w:type="dxa"/>
              <w:right w:w="80" w:type="dxa"/>
            </w:tcMar>
          </w:tcPr>
          <w:p>
            <w:r>
              <w:rPr>
                <w:sz w:val="17"/>
              </w:rPr>
              <w:t>AI generates cluttered worksheets, split layouts, or verbose walls of text that increase extraneous load.</w:t>
            </w:r>
          </w:p>
        </w:tc>
        <w:tc>
          <w:tcPr>
            <w:tcW w:type="dxa" w:w="2592"/>
            <w:tcMar>
              <w:top w:w="70" w:type="dxa"/>
              <w:bottom w:w="70" w:type="dxa"/>
              <w:left w:w="80" w:type="dxa"/>
              <w:right w:w="80" w:type="dxa"/>
            </w:tcMar>
          </w:tcPr>
          <w:p>
            <w:r>
              <w:rPr>
                <w:sz w:val="17"/>
              </w:rPr>
              <w:t>AI formats content cleanly with integrated visual labels, concise instructions, and chunked steps.</w:t>
            </w:r>
          </w:p>
        </w:tc>
        <w:tc>
          <w:tcPr>
            <w:tcW w:type="dxa" w:w="2592"/>
            <w:tcMar>
              <w:top w:w="70" w:type="dxa"/>
              <w:bottom w:w="70" w:type="dxa"/>
              <w:left w:w="80" w:type="dxa"/>
              <w:right w:w="80" w:type="dxa"/>
            </w:tcMar>
          </w:tcPr>
          <w:p>
            <w:r>
              <w:rPr>
                <w:sz w:val="17"/>
              </w:rPr>
              <w:t>Integrate labels directly into diagrams; remove decorative graphics that distract working memory.</w:t>
            </w:r>
          </w:p>
        </w:tc>
      </w:tr>
      <w:tr>
        <w:tc>
          <w:tcPr>
            <w:tcW w:type="dxa" w:w="2592"/>
            <w:tcMar>
              <w:top w:w="70" w:type="dxa"/>
              <w:bottom w:w="70" w:type="dxa"/>
              <w:left w:w="80" w:type="dxa"/>
              <w:right w:w="80" w:type="dxa"/>
            </w:tcMar>
            <w:shd w:fill="F4F6F8"/>
          </w:tcPr>
          <w:p>
            <w:r>
              <w:rPr>
                <w:b/>
                <w:color w:val="1B365D"/>
              </w:rPr>
              <w:t>2. Active Retrieval &amp; Spacing</w:t>
            </w:r>
          </w:p>
        </w:tc>
        <w:tc>
          <w:tcPr>
            <w:tcW w:type="dxa" w:w="2592"/>
            <w:tcMar>
              <w:top w:w="70" w:type="dxa"/>
              <w:bottom w:w="70" w:type="dxa"/>
              <w:left w:w="80" w:type="dxa"/>
              <w:right w:w="80" w:type="dxa"/>
            </w:tcMar>
          </w:tcPr>
          <w:p>
            <w:r>
              <w:rPr>
                <w:sz w:val="17"/>
              </w:rPr>
              <w:t>AI provides full answers or summaries that encourage passive re-reading and highlighting.</w:t>
            </w:r>
          </w:p>
        </w:tc>
        <w:tc>
          <w:tcPr>
            <w:tcW w:type="dxa" w:w="2592"/>
            <w:tcMar>
              <w:top w:w="70" w:type="dxa"/>
              <w:bottom w:w="70" w:type="dxa"/>
              <w:left w:w="80" w:type="dxa"/>
              <w:right w:w="80" w:type="dxa"/>
            </w:tcMar>
          </w:tcPr>
          <w:p>
            <w:r>
              <w:rPr>
                <w:sz w:val="17"/>
              </w:rPr>
              <w:t>AI acts as a tutor, generating self-testing questions, flashcards, and spaced review prompts.</w:t>
            </w:r>
          </w:p>
        </w:tc>
        <w:tc>
          <w:tcPr>
            <w:tcW w:type="dxa" w:w="2592"/>
            <w:tcMar>
              <w:top w:w="70" w:type="dxa"/>
              <w:bottom w:w="70" w:type="dxa"/>
              <w:left w:w="80" w:type="dxa"/>
              <w:right w:w="80" w:type="dxa"/>
            </w:tcMar>
          </w:tcPr>
          <w:p>
            <w:r>
              <w:rPr>
                <w:sz w:val="17"/>
              </w:rPr>
              <w:t>Prompt AI to convert textbook paragraphs into practice questions and fill-in-the-blank self-checks.</w:t>
            </w:r>
          </w:p>
        </w:tc>
      </w:tr>
      <w:tr>
        <w:tc>
          <w:tcPr>
            <w:tcW w:type="dxa" w:w="2592"/>
            <w:tcMar>
              <w:top w:w="70" w:type="dxa"/>
              <w:bottom w:w="70" w:type="dxa"/>
              <w:left w:w="80" w:type="dxa"/>
              <w:right w:w="80" w:type="dxa"/>
            </w:tcMar>
            <w:shd w:fill="F4F6F8"/>
          </w:tcPr>
          <w:p>
            <w:r>
              <w:rPr>
                <w:b/>
                <w:color w:val="1B365D"/>
              </w:rPr>
              <w:t>3. Desirable Difficulty</w:t>
            </w:r>
          </w:p>
        </w:tc>
        <w:tc>
          <w:tcPr>
            <w:tcW w:type="dxa" w:w="2592"/>
            <w:tcMar>
              <w:top w:w="70" w:type="dxa"/>
              <w:bottom w:w="70" w:type="dxa"/>
              <w:left w:w="80" w:type="dxa"/>
              <w:right w:w="80" w:type="dxa"/>
            </w:tcMar>
          </w:tcPr>
          <w:p>
            <w:r>
              <w:rPr>
                <w:sz w:val="17"/>
              </w:rPr>
              <w:t>AI completes tasks entirely for students, eliminating productive thinking and cognitive struggle.</w:t>
            </w:r>
          </w:p>
        </w:tc>
        <w:tc>
          <w:tcPr>
            <w:tcW w:type="dxa" w:w="2592"/>
            <w:tcMar>
              <w:top w:w="70" w:type="dxa"/>
              <w:bottom w:w="70" w:type="dxa"/>
              <w:left w:w="80" w:type="dxa"/>
              <w:right w:w="80" w:type="dxa"/>
            </w:tcMar>
          </w:tcPr>
          <w:p>
            <w:r>
              <w:rPr>
                <w:sz w:val="17"/>
              </w:rPr>
              <w:t>AI offers guided hints, scaffolds complex tasks, and prompts critical thinking before giving feedback.</w:t>
            </w:r>
          </w:p>
        </w:tc>
        <w:tc>
          <w:tcPr>
            <w:tcW w:type="dxa" w:w="2592"/>
            <w:tcMar>
              <w:top w:w="70" w:type="dxa"/>
              <w:bottom w:w="70" w:type="dxa"/>
              <w:left w:w="80" w:type="dxa"/>
              <w:right w:w="80" w:type="dxa"/>
            </w:tcMar>
          </w:tcPr>
          <w:p>
            <w:r>
              <w:rPr>
                <w:sz w:val="17"/>
              </w:rPr>
              <w:t>Use AI to adjust prompt difficulty to match student readiness without removing core problem-solving steps.</w:t>
            </w:r>
          </w:p>
        </w:tc>
      </w:tr>
    </w:tbl>
    <w:p>
      <w:pPr>
        <w:spacing w:after="2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