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ind w:firstLine="420"/>
      </w:pPr>
      <w:bookmarkStart w:name="9094-1637625205649" w:id="1"/>
      <w:bookmarkEnd w:id="1"/>
      <w:r>
        <w:rPr/>
        <w:t>将基层治理</w:t>
      </w:r>
      <w:r>
        <w:rPr>
          <w:color w:val="df402a"/>
        </w:rPr>
        <w:t>纳入法治化轨道</w:t>
      </w:r>
      <w:r>
        <w:rPr/>
        <w:t>，把</w:t>
      </w:r>
      <w:r>
        <w:rPr>
          <w:color w:val="df402a"/>
        </w:rPr>
        <w:t>法治思维和法治方式</w:t>
      </w:r>
      <w:r>
        <w:rPr>
          <w:b w:val="true"/>
          <w:color w:val="df402a"/>
        </w:rPr>
        <w:t>融入基层治理全过程、各方面</w:t>
      </w:r>
      <w:r>
        <w:rPr/>
        <w:t>，是实现</w:t>
      </w:r>
      <w:r>
        <w:rPr>
          <w:b w:val="true"/>
          <w:color w:val="df402a"/>
        </w:rPr>
        <w:t>基层善治</w:t>
      </w:r>
      <w:r>
        <w:rPr/>
        <w:t>的必经之路</w:t>
      </w:r>
    </w:p>
    <w:p>
      <w:pPr>
        <w:ind w:firstLine="420"/>
      </w:pPr>
      <w:bookmarkStart w:name="2216-1637674955424" w:id="2"/>
      <w:bookmarkEnd w:id="2"/>
      <w:r>
        <w:rPr>
          <w:color w:val="121212"/>
          <w:sz w:val="22"/>
          <w:highlight w:val="white"/>
        </w:rPr>
        <w:t>基层治理</w:t>
      </w:r>
      <w:r>
        <w:rPr>
          <w:color w:val="df402a"/>
          <w:sz w:val="22"/>
          <w:highlight w:val="white"/>
        </w:rPr>
        <w:t>是国家治理的基石</w:t>
      </w:r>
      <w:r>
        <w:rPr>
          <w:color w:val="121212"/>
          <w:sz w:val="22"/>
          <w:highlight w:val="white"/>
        </w:rPr>
        <w:t>，</w:t>
      </w:r>
      <w:r>
        <w:rPr>
          <w:b w:val="true"/>
          <w:color w:val="df402a"/>
          <w:sz w:val="22"/>
          <w:highlight w:val="white"/>
        </w:rPr>
        <w:t>统筹推进</w:t>
      </w:r>
      <w:r>
        <w:rPr>
          <w:color w:val="121212"/>
          <w:sz w:val="22"/>
          <w:highlight w:val="white"/>
        </w:rPr>
        <w:t>乡镇(街道)和城乡社区治理，</w:t>
      </w:r>
      <w:r>
        <w:rPr>
          <w:b w:val="true"/>
          <w:color w:val="df402a"/>
          <w:sz w:val="22"/>
          <w:highlight w:val="white"/>
        </w:rPr>
        <w:t>是实现国家治理体系和治理能力现代化的基础工程。</w:t>
      </w:r>
    </w:p>
    <w:p>
      <w:pPr>
        <w:ind w:firstLine="420"/>
      </w:pPr>
      <w:bookmarkStart w:name="1191-1638061515904" w:id="3"/>
      <w:bookmarkEnd w:id="3"/>
    </w:p>
    <w:p>
      <w:pPr>
        <w:ind w:firstLine="420"/>
      </w:pPr>
      <w:bookmarkStart w:name="3699-1638061516680" w:id="4"/>
      <w:bookmarkEnd w:id="4"/>
      <w:r>
        <w:rPr>
          <w:b w:val="true"/>
        </w:rPr>
        <w:t>发挥领导核心作用，赋权基层，以问题为工作导向，统筹协调各方。</w:t>
      </w:r>
    </w:p>
    <w:p>
      <w:pPr>
        <w:ind w:firstLine="420"/>
      </w:pPr>
      <w:bookmarkStart w:name="1790-1638061533384" w:id="5"/>
      <w:bookmarkEnd w:id="5"/>
      <w:r>
        <w:rPr>
          <w:highlight w:val="yellow"/>
        </w:rPr>
        <w:t>行政执法是</w:t>
      </w:r>
      <w:r>
        <w:rPr>
          <w:color w:val="df402a"/>
          <w:highlight w:val="yellow"/>
        </w:rPr>
        <w:t>法治政府建设的“最后一公里”</w:t>
      </w:r>
      <w:r>
        <w:rPr>
          <w:highlight w:val="yellow"/>
        </w:rPr>
        <w:t>，</w:t>
      </w:r>
      <w:r>
        <w:rPr>
          <w:color w:val="df402a"/>
          <w:highlight w:val="yellow"/>
        </w:rPr>
        <w:t>直接关系人民群众利益</w:t>
      </w:r>
      <w:r>
        <w:rPr>
          <w:highlight w:val="yellow"/>
        </w:rPr>
        <w:t>。</w:t>
      </w:r>
    </w:p>
    <w:p>
      <w:pPr>
        <w:ind w:firstLine="420"/>
      </w:pPr>
      <w:bookmarkStart w:name="8881-1638061536099" w:id="6"/>
      <w:bookmarkEnd w:id="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2022-12-14T12:55:49Z</dcterms:created>
  <dc:creator>Apache POI</dc:creator>
</cp:coreProperties>
</file>