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drawing>
          <wp:inline distT="0" distB="0" distL="0" distR="0">
            <wp:extent cx="2476500" cy="1000125"/>
            <wp:effectExtent t="0" r="0" b="0" l="0"/>
            <wp:docPr id="1" name="logo" descr="Logo de CORPOURABA" title="CORPOUR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000125"/>
                    </a:xfrm>
                    <a:prstGeom prst="rect">
                      <a:avLst/>
                    </a:prstGeom>
                  </pic:spPr>
                </pic:pic>
              </a:graphicData>
            </a:graphic>
          </wp:inline>
        </w:drawing>
      </w:r>
    </w:p>
    <w:p>
      <w:pPr>
        <w:spacing w:after="100" w:before="400"/>
        <w:jc w:val="center"/>
      </w:pPr>
      <w:r>
        <w:rPr>
          <w:b/>
          <w:bCs/>
          <w:color w:val="0B3D25"/>
          <w:sz w:val="52"/>
          <w:szCs w:val="52"/>
        </w:rPr>
        <w:t xml:space="preserve">Observatorio de Deforestación de Urabá</w:t>
      </w:r>
    </w:p>
    <w:p>
      <w:pPr>
        <w:spacing w:after="400"/>
        <w:jc w:val="center"/>
      </w:pPr>
      <w:r>
        <w:rPr>
          <w:color w:val="1F7347"/>
          <w:sz w:val="30"/>
          <w:szCs w:val="30"/>
        </w:rPr>
        <w:t xml:space="preserve">Informe técnico del análisis de deforestación</w:t>
      </w:r>
    </w:p>
    <w:p>
      <w:pPr>
        <w:spacing w:after="100"/>
        <w:jc w:val="center"/>
      </w:pPr>
      <w:r>
        <w:rPr>
          <w:color w:val="6B7280"/>
          <w:sz w:val="24"/>
          <w:szCs w:val="24"/>
        </w:rPr>
        <w:t xml:space="preserve">Jurisdicción CORPOURABA · 19 municipios · Periodo 2000–2024</w:t>
      </w:r>
    </w:p>
    <w:p>
      <w:pPr>
        <w:spacing w:after="60" w:before="1400"/>
        <w:jc w:val="center"/>
      </w:pPr>
      <w:r>
        <w:rPr>
          <w:color w:val="6B7280"/>
          <w:sz w:val="20"/>
          <w:szCs w:val="20"/>
        </w:rPr>
        <w:t xml:space="preserve">Elaborado por</w:t>
      </w:r>
    </w:p>
    <w:p>
      <w:pPr>
        <w:spacing w:after="300"/>
        <w:jc w:val="center"/>
      </w:pPr>
      <w:r>
        <w:rPr>
          <w:b/>
          <w:bCs/>
          <w:sz w:val="26"/>
          <w:szCs w:val="26"/>
        </w:rPr>
        <w:t xml:space="preserve">Alberto Vivas  ·  Carlos Zuluaga</w:t>
      </w:r>
    </w:p>
    <w:p>
      <w:pPr>
        <w:jc w:val="center"/>
      </w:pPr>
      <w:r>
        <w:rPr>
          <w:color w:val="6B7280"/>
          <w:sz w:val="20"/>
          <w:szCs w:val="20"/>
        </w:rPr>
        <w:t xml:space="preserve">Corporación para el Desarrollo Sostenible del Urabá — CORPOURABA</w:t>
      </w:r>
    </w:p>
    <w:p>
      <w:pPr>
        <w:jc w:val="center"/>
      </w:pPr>
      <w:r>
        <w:rPr>
          <w:color w:val="6B7280"/>
          <w:sz w:val="18"/>
          <w:szCs w:val="18"/>
        </w:rPr>
        <w:t xml:space="preserve">Datos: monitoreo de bosque (IDEAM/SMByC) procesado por el Observatorio</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jc w:val="both"/>
      </w:pPr>
      <w:r>
        <w:rPr>
          <w:sz w:val="22"/>
          <w:szCs w:val="22"/>
        </w:rPr>
        <w:t xml:space="preserve">Entre 2000 y 2024, la jurisdicción de CORPOURABA —los 19 municipios de la región de Urabá y el Occidente antioqueño— perdió aproximadamente </w:t>
      </w:r>
      <w:r>
        <w:rPr>
          <w:b/>
          <w:bCs/>
          <w:sz w:val="22"/>
          <w:szCs w:val="22"/>
        </w:rPr>
        <w:t xml:space="preserve">46.846 hectáreas</w:t>
      </w:r>
      <w:r>
        <w:rPr>
          <w:sz w:val="22"/>
          <w:szCs w:val="22"/>
        </w:rPr>
        <w:t xml:space="preserve"> de bosque por deforestación. El bosque estable de la jurisdicción se redujo de </w:t>
      </w:r>
      <w:r>
        <w:rPr>
          <w:b/>
          <w:bCs/>
          <w:sz w:val="22"/>
          <w:szCs w:val="22"/>
        </w:rPr>
        <w:t xml:space="preserve">908.114 ha</w:t>
      </w:r>
      <w:r>
        <w:rPr>
          <w:sz w:val="22"/>
          <w:szCs w:val="22"/>
        </w:rPr>
        <w:t xml:space="preserve"> en 2000 a </w:t>
      </w:r>
      <w:r>
        <w:rPr>
          <w:b/>
          <w:bCs/>
          <w:sz w:val="22"/>
          <w:szCs w:val="22"/>
        </w:rPr>
        <w:t xml:space="preserve">870.305 ha</w:t>
      </w:r>
      <w:r>
        <w:rPr>
          <w:sz w:val="22"/>
          <w:szCs w:val="22"/>
        </w:rPr>
        <w:t xml:space="preserve"> en 2023, una pérdida neta del </w:t>
      </w:r>
      <w:r>
        <w:rPr>
          <w:b/>
          <w:bCs/>
          <w:sz w:val="22"/>
          <w:szCs w:val="22"/>
        </w:rPr>
        <w:t xml:space="preserve">4,2 %</w:t>
      </w:r>
      <w:r>
        <w:rPr>
          <w:sz w:val="22"/>
          <w:szCs w:val="22"/>
        </w:rPr>
        <w:t xml:space="preserve">.</w:t>
      </w:r>
    </w:p>
    <w:p>
      <w:pPr>
        <w:spacing w:after="120" w:line="276"/>
        <w:jc w:val="both"/>
      </w:pPr>
      <w:r>
        <w:rPr>
          <w:sz w:val="22"/>
          <w:szCs w:val="22"/>
        </w:rPr>
        <w:t xml:space="preserve">El periodo más crítico fue </w:t>
      </w:r>
      <w:r>
        <w:rPr>
          <w:b/>
          <w:bCs/>
          <w:sz w:val="22"/>
          <w:szCs w:val="22"/>
        </w:rPr>
        <w:t xml:space="preserve">2015-2016</w:t>
      </w:r>
      <w:r>
        <w:rPr>
          <w:sz w:val="22"/>
          <w:szCs w:val="22"/>
        </w:rPr>
        <w:t xml:space="preserve">, con 5.771 ha deforestadas (5.771 ha/año), mientras que el menor registro correspondió a </w:t>
      </w:r>
      <w:r>
        <w:rPr>
          <w:b/>
          <w:bCs/>
          <w:sz w:val="22"/>
          <w:szCs w:val="22"/>
        </w:rPr>
        <w:t xml:space="preserve">2000-2002</w:t>
      </w:r>
      <w:r>
        <w:rPr>
          <w:sz w:val="22"/>
          <w:szCs w:val="22"/>
        </w:rPr>
        <w:t xml:space="preserve">. El municipio más afectado es </w:t>
      </w:r>
      <w:r>
        <w:rPr>
          <w:b/>
          <w:bCs/>
          <w:sz w:val="22"/>
          <w:szCs w:val="22"/>
        </w:rPr>
        <w:t xml:space="preserve">Turbo</w:t>
      </w:r>
      <w:r>
        <w:rPr>
          <w:sz w:val="22"/>
          <w:szCs w:val="22"/>
        </w:rPr>
        <w:t xml:space="preserve"> (13.309 ha acumuladas), y la subregión más golpeada es </w:t>
      </w:r>
      <w:r>
        <w:rPr>
          <w:b/>
          <w:bCs/>
          <w:sz w:val="22"/>
          <w:szCs w:val="22"/>
        </w:rPr>
        <w:t xml:space="preserve">Centro</w:t>
      </w:r>
      <w:r>
        <w:rPr>
          <w:sz w:val="22"/>
          <w:szCs w:val="22"/>
        </w:rPr>
        <w:t xml:space="preserve"> (24.438 ha).</w:t>
      </w:r>
    </w:p>
    <w:p>
      <w:pPr>
        <w:spacing w:after="120" w:line="276"/>
        <w:jc w:val="both"/>
      </w:pPr>
      <w:r>
        <w:rPr>
          <w:sz w:val="22"/>
          <w:szCs w:val="22"/>
        </w:rPr>
        <w:t xml:space="preserve">Los hallazgos más relevantes del análisis son:</w:t>
      </w:r>
    </w:p>
    <w:p>
      <w:pPr>
        <w:pStyle w:val="ListParagraph"/>
        <w:numPr>
          <w:ilvl w:val="0"/>
          <w:numId w:val="2"/>
        </w:numPr>
        <w:spacing w:after="60"/>
      </w:pPr>
      <w:r>
        <w:rPr>
          <w:b/>
          <w:bCs/>
          <w:sz w:val="22"/>
          <w:szCs w:val="22"/>
        </w:rPr>
        <w:t xml:space="preserve">La deforestación se desplaza hacia territorios étnicos: </w:t>
      </w:r>
      <w:r>
        <w:rPr>
          <w:sz w:val="22"/>
          <w:szCs w:val="22"/>
        </w:rPr>
        <w:t xml:space="preserve">En 2002-2010 los resguardos indígenas y consejos comunitarios concentraban el 16,4% de la deforestación mapeada; en 2019-2023 concentran el 40,9%. La presión se movió hacia los territorios colectivos mientras el resto de la jurisdicción desacelera.</w:t>
      </w:r>
    </w:p>
    <w:p>
      <w:pPr>
        <w:pStyle w:val="ListParagraph"/>
        <w:numPr>
          <w:ilvl w:val="0"/>
          <w:numId w:val="2"/>
        </w:numPr>
        <w:spacing w:after="60"/>
      </w:pPr>
      <w:r>
        <w:rPr>
          <w:b/>
          <w:bCs/>
          <w:sz w:val="22"/>
          <w:szCs w:val="22"/>
        </w:rPr>
        <w:t xml:space="preserve">La jurisdicción perdió 37.809 ha de bosque estable: </w:t>
      </w:r>
      <w:r>
        <w:rPr>
          <w:sz w:val="22"/>
          <w:szCs w:val="22"/>
        </w:rPr>
        <w:t xml:space="preserve">El bosque estable pasó de 908.114 ha a 870.305 ha entre los periodos 2000-2002 y 2022-2023: una pérdida neta del 4,2% del bosque de la jurisdicción, medida con las mismas fuentes municipales en ambos extremos.</w:t>
      </w:r>
    </w:p>
    <w:p>
      <w:pPr>
        <w:pStyle w:val="ListParagraph"/>
        <w:numPr>
          <w:ilvl w:val="0"/>
          <w:numId w:val="2"/>
        </w:numPr>
        <w:spacing w:after="60"/>
      </w:pPr>
      <w:r>
        <w:rPr>
          <w:b/>
          <w:bCs/>
          <w:sz w:val="22"/>
          <w:szCs w:val="22"/>
        </w:rPr>
        <w:t xml:space="preserve">72% de la pérdida ocurre en frentes persistentes: </w:t>
      </w:r>
      <w:r>
        <w:rPr>
          <w:sz w:val="22"/>
          <w:szCs w:val="22"/>
        </w:rPr>
        <w:t xml:space="preserve">1.039 celdas de 2×2 km registran deforestación en 3 o más periodos y concentran el 72,2% de las hectáreas deforestadas mapeadas. No son eventos dispersos: son frentes activos y localizables, priorizables para control.</w:t>
      </w:r>
    </w:p>
    <w:p>
      <w:pPr>
        <w:pStyle w:val="ListParagraph"/>
        <w:numPr>
          <w:ilvl w:val="0"/>
          <w:numId w:val="2"/>
        </w:numPr>
        <w:spacing w:after="60"/>
      </w:pPr>
      <w:r>
        <w:rPr>
          <w:b/>
          <w:bCs/>
          <w:sz w:val="22"/>
          <w:szCs w:val="22"/>
        </w:rPr>
        <w:t xml:space="preserve">Turbo pierde más bosque; Carepa, la mayor fracción: </w:t>
      </w:r>
      <w:r>
        <w:rPr>
          <w:sz w:val="22"/>
          <w:szCs w:val="22"/>
        </w:rPr>
        <w:t xml:space="preserve">Turbo perdió 18.424 ha de bosque estable (-24,6% de su bosque de 2000). En proporción, Carepa es el caso más crítico: conserva solo el 56,8% de su bosque inicial (-43,2%). Necoclí (-23,8%) y Chigorodó (-12,6%) completan el cuadro del eje bananero.</w:t>
      </w:r>
    </w:p>
    <w:p>
      <w:pPr>
        <w:pStyle w:val="ListParagraph"/>
        <w:numPr>
          <w:ilvl w:val="0"/>
          <w:numId w:val="2"/>
        </w:numPr>
        <w:spacing w:after="60"/>
      </w:pPr>
      <w:r>
        <w:rPr>
          <w:b/>
          <w:bCs/>
          <w:sz w:val="22"/>
          <w:szCs w:val="22"/>
        </w:rPr>
        <w:t xml:space="preserve">3.362 ha deforestadas dentro de áreas protegidas: </w:t>
      </w:r>
      <w:r>
        <w:rPr>
          <w:sz w:val="22"/>
          <w:szCs w:val="22"/>
        </w:rPr>
        <w:t xml:space="preserve">En los 10 periodos comparables, el 12,6% de la deforestación mapeada ocurrió dentro de áreas protegidas. El DRMI Serranía de Abibe concentra 1.903 ha (57% del total en AP), con pico de 585 ha en 2015-2016; le siguen la RFPN Carauta (514 ha) y el PNN Las Orquídeas (334 ha).</w:t>
      </w:r>
    </w:p>
    <w:p>
      <w:pPr>
        <w:pStyle w:val="ListParagraph"/>
        <w:numPr>
          <w:ilvl w:val="0"/>
          <w:numId w:val="2"/>
        </w:numPr>
        <w:spacing w:after="60"/>
      </w:pPr>
      <w:r>
        <w:rPr>
          <w:b/>
          <w:bCs/>
          <w:sz w:val="22"/>
          <w:szCs w:val="22"/>
        </w:rPr>
        <w:t xml:space="preserve">La regeneración solo compensa el 2% de la pérdida: </w:t>
      </w:r>
      <w:r>
        <w:rPr>
          <w:sz w:val="22"/>
          <w:szCs w:val="22"/>
        </w:rPr>
        <w:t xml:space="preserve">En los periodos con medición directa se regeneraron 726 ha frente a 34.542 ha deforestadas: una relación de 1 a 48. Arboletes (18,8%) y Urrao (9,6%) son los únicos municipios donde la regeneración supera el 5% de su pérdida.</w:t>
      </w:r>
    </w:p>
    <w:p>
      <w:pPr>
        <w:pStyle w:val="Heading1"/>
      </w:pPr>
      <w:r>
        <w:t xml:space="preserve">2. Introducción y contexto</w:t>
      </w:r>
    </w:p>
    <w:p>
      <w:pPr>
        <w:spacing w:after="120" w:line="276"/>
        <w:jc w:val="both"/>
      </w:pPr>
      <w:r>
        <w:rPr>
          <w:sz w:val="22"/>
          <w:szCs w:val="22"/>
        </w:rPr>
        <w:t xml:space="preserve">El Observatorio de Deforestación de Urabá consolida y analiza el monitoreo de cambio de bosque de la jurisdicción de CORPOURABA durante 24 años (2000–2024). La jurisdicción abarca cerca de </w:t>
      </w:r>
      <w:r>
        <w:rPr>
          <w:b/>
          <w:bCs/>
          <w:sz w:val="22"/>
          <w:szCs w:val="22"/>
        </w:rPr>
        <w:t xml:space="preserve">1,86 millones de hectáreas</w:t>
      </w:r>
      <w:r>
        <w:rPr>
          <w:sz w:val="22"/>
          <w:szCs w:val="22"/>
        </w:rPr>
        <w:t xml:space="preserve"> distribuidas en 19 municipios y cinco subregiones (Caribe, Centro, Atrato, Nutibara y Urrao), un territorio que combina el bosque húmedo del Darién y el Atrato con la frontera agropecuaria del eje bananero.</w:t>
      </w:r>
    </w:p>
    <w:p>
      <w:pPr>
        <w:spacing w:after="120" w:line="276"/>
        <w:jc w:val="both"/>
      </w:pPr>
      <w:r>
        <w:rPr>
          <w:sz w:val="22"/>
          <w:szCs w:val="22"/>
        </w:rPr>
        <w:t xml:space="preserve">Este informe documenta la magnitud, la distribución espacial y las tendencias de la deforestación, así como su relación con áreas protegidas, territorios étnicos, cuencas hidrográficas, figuras de ordenamiento y presiones extractivas. Acompaña a la plataforma web interactiva del Observatorio (mapa, visor de deforestación, tablero analítico, módulo educativo y centro de descargas).</w:t>
      </w:r>
    </w:p>
    <w:p>
      <w:pPr>
        <w:pStyle w:val="Heading1"/>
      </w:pPr>
      <w:r>
        <w:t xml:space="preserve">3. Metodología y fuentes</w:t>
      </w:r>
    </w:p>
    <w:p>
      <w:pPr>
        <w:spacing w:after="120" w:line="276"/>
        <w:jc w:val="both"/>
      </w:pPr>
      <w:r>
        <w:rPr>
          <w:sz w:val="22"/>
          <w:szCs w:val="22"/>
        </w:rPr>
        <w:t xml:space="preserve">El análisis parte del paquete institucional de monitoreo de bosque (shapefiles, tablas de atributos y rásters por periodo), alineado con la metodología del Sistema de Monitoreo de Bosques y Carbono (SMByC) del IDEAM. Cada píxel/​polígono se clasifica en cinco categorías de cobertura:</w:t>
      </w:r>
    </w:p>
    <w:p>
      <w:pPr>
        <w:pStyle w:val="ListParagraph"/>
        <w:numPr>
          <w:ilvl w:val="0"/>
          <w:numId w:val="2"/>
        </w:numPr>
        <w:spacing w:after="60"/>
      </w:pPr>
      <w:r>
        <w:rPr>
          <w:b/>
          <w:bCs/>
          <w:sz w:val="22"/>
          <w:szCs w:val="22"/>
        </w:rPr>
        <w:t xml:space="preserve">Bosque Estable: </w:t>
      </w:r>
      <w:r>
        <w:rPr>
          <w:sz w:val="22"/>
          <w:szCs w:val="22"/>
        </w:rPr>
        <w:t xml:space="preserve">cobertura boscosa que se mantiene entre dos periodos</w:t>
      </w:r>
    </w:p>
    <w:p>
      <w:pPr>
        <w:pStyle w:val="ListParagraph"/>
        <w:numPr>
          <w:ilvl w:val="0"/>
          <w:numId w:val="2"/>
        </w:numPr>
        <w:spacing w:after="60"/>
      </w:pPr>
      <w:r>
        <w:rPr>
          <w:b/>
          <w:bCs/>
          <w:sz w:val="22"/>
          <w:szCs w:val="22"/>
        </w:rPr>
        <w:t xml:space="preserve">Deforestación: </w:t>
      </w:r>
      <w:r>
        <w:rPr>
          <w:sz w:val="22"/>
          <w:szCs w:val="22"/>
        </w:rPr>
        <w:t xml:space="preserve">bosque que se pierde entre dos periodos (variable central de este informe)</w:t>
      </w:r>
    </w:p>
    <w:p>
      <w:pPr>
        <w:pStyle w:val="ListParagraph"/>
        <w:numPr>
          <w:ilvl w:val="0"/>
          <w:numId w:val="2"/>
        </w:numPr>
        <w:spacing w:after="60"/>
      </w:pPr>
      <w:r>
        <w:rPr>
          <w:b/>
          <w:bCs/>
          <w:sz w:val="22"/>
          <w:szCs w:val="22"/>
        </w:rPr>
        <w:t xml:space="preserve">No Bosque Estable: </w:t>
      </w:r>
      <w:r>
        <w:rPr>
          <w:sz w:val="22"/>
          <w:szCs w:val="22"/>
        </w:rPr>
        <w:t xml:space="preserve">áreas sin bosque que permanecen sin bosque</w:t>
      </w:r>
    </w:p>
    <w:p>
      <w:pPr>
        <w:pStyle w:val="ListParagraph"/>
        <w:numPr>
          <w:ilvl w:val="0"/>
          <w:numId w:val="2"/>
        </w:numPr>
        <w:spacing w:after="60"/>
      </w:pPr>
      <w:r>
        <w:rPr>
          <w:b/>
          <w:bCs/>
          <w:sz w:val="22"/>
          <w:szCs w:val="22"/>
        </w:rPr>
        <w:t xml:space="preserve">Regeneración: </w:t>
      </w:r>
      <w:r>
        <w:rPr>
          <w:sz w:val="22"/>
          <w:szCs w:val="22"/>
        </w:rPr>
        <w:t xml:space="preserve">recuperación de cobertura boscosa</w:t>
      </w:r>
    </w:p>
    <w:p>
      <w:pPr>
        <w:pStyle w:val="ListParagraph"/>
        <w:numPr>
          <w:ilvl w:val="0"/>
          <w:numId w:val="2"/>
        </w:numPr>
        <w:spacing w:after="60"/>
      </w:pPr>
      <w:r>
        <w:rPr>
          <w:b/>
          <w:bCs/>
          <w:sz w:val="22"/>
          <w:szCs w:val="22"/>
        </w:rPr>
        <w:t xml:space="preserve">Sin Información: </w:t>
      </w:r>
      <w:r>
        <w:rPr>
          <w:sz w:val="22"/>
          <w:szCs w:val="22"/>
        </w:rPr>
        <w:t xml:space="preserve">zonas sin dato válido (nubes, sombra)</w:t>
      </w:r>
    </w:p>
    <w:p>
      <w:pPr>
        <w:pStyle w:val="Heading2"/>
      </w:pPr>
      <w:r>
        <w:t xml:space="preserve">3.1. Consolidación y control de calidad</w:t>
      </w:r>
    </w:p>
    <w:p>
      <w:pPr>
        <w:spacing w:after="120" w:line="276"/>
        <w:jc w:val="both"/>
      </w:pPr>
      <w:r>
        <w:rPr>
          <w:sz w:val="22"/>
          <w:szCs w:val="22"/>
        </w:rPr>
        <w:t xml:space="preserve">La serie municipal se construyó priorizando, en cada periodo, la mejor fuente disponible: shapefile municipal (área geométrica en CRS métrico), tabla de atributos exportada, cruce con cuencas o estadística zonal del ráster. El área se calcula siempre en un sistema de referencia proyectado (EPSG:3115 / MAGNA-SIRGAS), y las capas web se publican en WGS84 (EPSG:4326).</w:t>
      </w:r>
    </w:p>
    <w:p>
      <w:pPr>
        <w:spacing w:after="120" w:line="276"/>
        <w:jc w:val="both"/>
      </w:pPr>
      <w:r>
        <w:rPr>
          <w:sz w:val="22"/>
          <w:szCs w:val="22"/>
        </w:rPr>
        <w:t xml:space="preserve">Como control de calidad, la serie consolidada se contrastó con las hojas de «Cálculos» de los archivos institucionales originales: la diferencia es </w:t>
      </w:r>
      <w:r>
        <w:rPr>
          <w:b/>
          <w:bCs/>
          <w:sz w:val="22"/>
          <w:szCs w:val="22"/>
        </w:rPr>
        <w:t xml:space="preserve">inferior al 0,3 %</w:t>
      </w:r>
      <w:r>
        <w:rPr>
          <w:sz w:val="22"/>
          <w:szCs w:val="22"/>
        </w:rPr>
        <w:t xml:space="preserve"> en los diez periodos comparables, lo que confirma la fidelidad de la reconstrucción.</w:t>
      </w:r>
    </w:p>
    <w:p>
      <w:pPr>
        <w:spacing w:after="80"/>
        <w:jc w:val="left"/>
      </w:pPr>
      <w:r>
        <w:rPr>
          <w:sz w:val="22"/>
          <w:szCs w:val="22"/>
        </w:rPr>
        <w:t xml:space="preserve">Tabla 1. Verificación contra los cálculos institucionales (deforestación).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Periodo</w:t>
            </w:r>
          </w:p>
        </w:tc>
        <w:tc>
          <w:tcPr>
            <w:tcW w:type="dxa" w:w="312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Referencia (ha)</w:t>
            </w:r>
          </w:p>
        </w:tc>
        <w:tc>
          <w:tcPr>
            <w:tcW w:type="dxa" w:w="312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Diferencia</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2000-2002</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1.590,3</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0,00 %</w:t>
            </w:r>
          </w:p>
        </w:tc>
      </w:tr>
      <w:tr>
        <w:tc>
          <w:tcPr>
            <w:tcW w:type="dxa" w:w="31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2004-2006</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3.028,2</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0,22 %</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2008-2010</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2.927,9</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0,22 %</w:t>
            </w:r>
          </w:p>
        </w:tc>
      </w:tr>
      <w:tr>
        <w:tc>
          <w:tcPr>
            <w:tcW w:type="dxa" w:w="31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2014-2015</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2.887,5</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0,00 %</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2016-2017</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3.942,2</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0,29 %</w:t>
            </w:r>
          </w:p>
        </w:tc>
      </w:tr>
      <w:tr>
        <w:tc>
          <w:tcPr>
            <w:tcW w:type="dxa" w:w="31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2017-2018</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1.768,7</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0,20 %</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2019-2020</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1.740,6</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0,19 %</w:t>
            </w:r>
          </w:p>
        </w:tc>
      </w:tr>
      <w:tr>
        <w:tc>
          <w:tcPr>
            <w:tcW w:type="dxa" w:w="31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2020-2021</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1.092,8</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0,19 %</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2021-2022</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2.330,2</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0,20 %</w:t>
            </w:r>
          </w:p>
        </w:tc>
      </w:tr>
      <w:tr>
        <w:tc>
          <w:tcPr>
            <w:tcW w:type="dxa" w:w="31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2022-2023</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1.158,4</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0,19 %</w:t>
            </w:r>
          </w:p>
        </w:tc>
      </w:tr>
    </w:tbl>
    <w:p>
      <w:pPr>
        <w:pStyle w:val="Heading2"/>
      </w:pPr>
      <w:r>
        <w:t xml:space="preserve">3.2. Periodos con datos estimados</w:t>
      </w:r>
    </w:p>
    <w:p>
      <w:pPr>
        <w:spacing w:after="120" w:line="276"/>
        <w:jc w:val="both"/>
      </w:pPr>
      <w:r>
        <w:rPr>
          <w:sz w:val="22"/>
          <w:szCs w:val="22"/>
        </w:rPr>
        <w:t xml:space="preserve">2010-2012, 2018-2019 y 2023-2024 carecen de datos municipales en el paquete original; se estiman por interpolación/tendencia de la tasa anual y se marcan con estimado=true. 2010-2012 se calibra además con el total departamental real del RAT del ráster (× participación histórica de la jurisdicción ~18%). Usar solo como referencia, no como cifra oficial.</w:t>
      </w:r>
    </w:p>
    <w:p>
      <w:pPr>
        <w:spacing w:after="120" w:line="276"/>
        <w:jc w:val="both"/>
      </w:pPr>
      <w:r>
        <w:rPr>
          <w:sz w:val="22"/>
          <w:szCs w:val="22"/>
        </w:rPr>
        <w:t xml:space="preserve">2015-2016 se calcula con la tabla de atributos municipal oficial (Defor2015_2016_Mpios_Proj_Correg.dbf): área real por municipio y clase de los 19 municipios (San Juan de Urabá con 0 ha de deforestación). Es dato MEDIDO (estimado=false), no una estimación. La geometría (.shp) de este periodo no se conservó, por lo que no aparece en el visor de polígonos, pero las cifras del dashboard y la serie son reales.</w:t>
      </w:r>
    </w:p>
    <w:p>
      <w:pPr>
        <w:pStyle w:val="Heading1"/>
      </w:pPr>
      <w:r>
        <w:t xml:space="preserve">4. Resultados regionales</w:t>
      </w:r>
    </w:p>
    <w:p>
      <w:pPr>
        <w:spacing w:after="120" w:line="276"/>
        <w:jc w:val="both"/>
      </w:pPr>
      <w:r>
        <w:rPr>
          <w:sz w:val="22"/>
          <w:szCs w:val="22"/>
        </w:rPr>
        <w:t xml:space="preserve">La deforestación acumulada en la jurisdicción entre 2000 y 2024 asciende a 46.846 ha. La tabla siguiente resume la serie por periodo; los periodos marcados con asterisco (*) contienen valores estimados o calibrados.</w:t>
      </w:r>
    </w:p>
    <w:p>
      <w:pPr>
        <w:spacing w:after="80"/>
        <w:jc w:val="left"/>
      </w:pPr>
      <w:r>
        <w:rPr>
          <w:sz w:val="22"/>
          <w:szCs w:val="22"/>
        </w:rPr>
        <w:t xml:space="preserve">Tabla 2. Deforestación regional por periodo.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Periodo</w:t>
            </w:r>
          </w:p>
        </w:tc>
        <w:tc>
          <w:tcPr>
            <w:tcW w:type="dxa" w:w="23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Deforestación (ha)</w:t>
            </w:r>
          </w:p>
        </w:tc>
        <w:tc>
          <w:tcPr>
            <w:tcW w:type="dxa" w:w="23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Ha/año</w:t>
            </w:r>
          </w:p>
        </w:tc>
        <w:tc>
          <w:tcPr>
            <w:tcW w:type="dxa" w:w="23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Fuente</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2000-2002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1.590,3</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795,2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2002-2004</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3.717,9</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1.859,0</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2004-2006</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3.021,7</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1.510,9</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2006-2008</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2.539,5</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1.269,8</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2008-2010</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2.921,4</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1.460,7</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2010-2012 *</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3.134,9</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1.567,5</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estimado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2012-2013</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2.273,9</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2.273,9</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2013-2014</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3.577,0</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3.577,0</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2014-2015</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2.887,5</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2.887,5</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2015-2016</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5.771,0</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5.771,0</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2016-2017</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3.938,4</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3.938,4</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2017-2018</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1.765,2</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1.765,2</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2018-2019 *</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1.800,2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1.800,2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estimado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2019-2020</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1.737,3</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1.737,3</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2020-2021</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1.090,8</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1.090,8</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2021-2022</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2.325,6</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2.325,6</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2022-2023</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1.156,2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1.156,2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medido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2023-2024 *</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1.596,8</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1.596,8</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estimado</w:t>
            </w:r>
          </w:p>
        </w:tc>
      </w:tr>
    </w:tbl>
    <w:p>
      <w:pPr>
        <w:spacing w:after="120" w:line="276"/>
        <w:jc w:val="left"/>
      </w:pPr>
      <w:r>
        <w:rPr>
          <w:sz w:val="22"/>
          <w:szCs w:val="22"/>
        </w:rPr>
        <w:t xml:space="preserve">* Periodos estimados/calibrados: 2010-2012, 2018-2019 y 2023-2024. Véase la sección 12. El pico de 2015-2016 es dato medido, recuperado de la tabla de atributos municipal oficial.</w:t>
      </w:r>
    </w:p>
    <w:p>
      <w:pPr>
        <w:spacing w:after="120" w:line="276"/>
        <w:jc w:val="both"/>
      </w:pPr>
      <w:r>
        <w:rPr>
          <w:b/>
          <w:bCs/>
          <w:sz w:val="22"/>
          <w:szCs w:val="22"/>
        </w:rPr>
        <w:t xml:space="preserve">Tendencia general. </w:t>
      </w:r>
      <w:r>
        <w:rPr>
          <w:sz w:val="22"/>
          <w:szCs w:val="22"/>
        </w:rPr>
        <w:t xml:space="preserve">Tras un primer repunte en 2002-2004, el máximo histórico de la serie se registró en 2015-2016 (5.771 ha, coincidiendo con el periodo posterior a los acuerdos de paz). A partir de ahí la deforestación anual muestra una tendencia general a la baja en los años más recientes, con el mínimo en 2020-2021. No obstante, la presión no desaparece: se desplaza hacia nuevas zonas (véanse las secciones 8 a 11).</w:t>
      </w:r>
    </w:p>
    <w:p>
      <w:pPr>
        <w:pStyle w:val="Heading1"/>
      </w:pPr>
      <w:r>
        <w:t xml:space="preserve">5. Análisis por municipio</w:t>
      </w:r>
    </w:p>
    <w:p>
      <w:pPr>
        <w:spacing w:after="120" w:line="276"/>
        <w:jc w:val="both"/>
      </w:pPr>
      <w:r>
        <w:rPr>
          <w:sz w:val="22"/>
          <w:szCs w:val="22"/>
        </w:rPr>
        <w:t xml:space="preserve">La deforestación se concentra fuertemente en pocos municipios. La tabla 3 presenta el ranking por deforestación acumulada 2000–2024.</w:t>
      </w:r>
    </w:p>
    <w:p>
      <w:pPr>
        <w:spacing w:after="80"/>
        <w:jc w:val="left"/>
      </w:pPr>
      <w:r>
        <w:rPr>
          <w:sz w:val="22"/>
          <w:szCs w:val="22"/>
        </w:rPr>
        <w:t xml:space="preserve">Tabla 3. Ranking municipal de deforestación acumulada.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720"/>
        <w:gridCol w:w="3540"/>
        <w:gridCol w:w="2460"/>
        <w:gridCol w:w="2640"/>
      </w:tblGrid>
      <w:tr>
        <w:trPr>
          <w:tblHeader/>
        </w:trPr>
        <w:tc>
          <w:tcPr>
            <w:tcW w:type="dxa" w:w="72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w:t>
            </w:r>
          </w:p>
        </w:tc>
        <w:tc>
          <w:tcPr>
            <w:tcW w:type="dxa" w:w="35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Municipio</w:t>
            </w:r>
          </w:p>
        </w:tc>
        <w:tc>
          <w:tcPr>
            <w:tcW w:type="dxa" w:w="246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Subregión</w:t>
            </w:r>
          </w:p>
        </w:tc>
        <w:tc>
          <w:tcPr>
            <w:tcW w:type="dxa" w:w="26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Deforestación (ha)</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1</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Turbo</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Centro</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13.308,9</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Urrao</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Urrao</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5.759,4</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3</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Dabeiba</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Nutibara</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5.003,3</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4</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Mutatá</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Centro</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4.720,1</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5</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Frontino</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Nutibara</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3.058,7</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6</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Necoclí</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Caribe</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2.350,8</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7</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Apartadó</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Centro</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2.271,6</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8</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Murindó</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Atrato</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2.200,6</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9</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Chigorodó</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Centro</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2.110,8</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10</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Carepa</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Centro</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2.026,1</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11</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Vigía del Fuerte</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Atrato</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1.168,8</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12</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Cañasgordas</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Nutibara</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768,1</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13</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Arboletes</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Caribe</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537,1</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14</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Uramita</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Nutibara</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504,2</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15</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Peque</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Nutibara</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401,2</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16</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Abriaquí</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Nutibara</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311,5</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17</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San Pedro de Urabá</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Caribe</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197,3</w:t>
            </w:r>
          </w:p>
        </w:tc>
      </w:tr>
      <w:tr>
        <w:tc>
          <w:tcPr>
            <w:tcW w:type="dxa" w:w="7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18</w:t>
            </w:r>
          </w:p>
        </w:tc>
        <w:tc>
          <w:tcPr>
            <w:tcW w:type="dxa" w:w="35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Giraldo</w:t>
            </w:r>
          </w:p>
        </w:tc>
        <w:tc>
          <w:tcPr>
            <w:tcW w:type="dxa" w:w="2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Nutibara</w:t>
            </w:r>
          </w:p>
        </w:tc>
        <w:tc>
          <w:tcPr>
            <w:tcW w:type="dxa" w:w="26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85,0</w:t>
            </w:r>
          </w:p>
        </w:tc>
      </w:tr>
      <w:tr>
        <w:tc>
          <w:tcPr>
            <w:tcW w:type="dxa" w:w="720"/>
            <w:tcBorders>
              <w:top w:val="single" w:color="D1D5DB" w:sz="1"/>
              <w:left w:val="single" w:color="D1D5DB" w:sz="1"/>
              <w:bottom w:val="single" w:color="D1D5DB" w:sz="1"/>
              <w:right w:val="single" w:color="D1D5DB" w:sz="1"/>
            </w:tcBorders>
          </w:tcPr>
          <w:p>
            <w:pPr>
              <w:jc w:val="left"/>
            </w:pPr>
            <w:r>
              <w:rPr>
                <w:sz w:val="20"/>
                <w:szCs w:val="20"/>
              </w:rPr>
              <w:t xml:space="preserve">19</w:t>
            </w:r>
          </w:p>
        </w:tc>
        <w:tc>
          <w:tcPr>
            <w:tcW w:type="dxa" w:w="3540"/>
            <w:tcBorders>
              <w:top w:val="single" w:color="D1D5DB" w:sz="1"/>
              <w:left w:val="single" w:color="D1D5DB" w:sz="1"/>
              <w:bottom w:val="single" w:color="D1D5DB" w:sz="1"/>
              <w:right w:val="single" w:color="D1D5DB" w:sz="1"/>
            </w:tcBorders>
          </w:tcPr>
          <w:p>
            <w:pPr>
              <w:jc w:val="center"/>
            </w:pPr>
            <w:r>
              <w:rPr>
                <w:sz w:val="20"/>
                <w:szCs w:val="20"/>
              </w:rPr>
              <w:t xml:space="preserve">San Juan de Urabá</w:t>
            </w:r>
          </w:p>
        </w:tc>
        <w:tc>
          <w:tcPr>
            <w:tcW w:type="dxa" w:w="2460"/>
            <w:tcBorders>
              <w:top w:val="single" w:color="D1D5DB" w:sz="1"/>
              <w:left w:val="single" w:color="D1D5DB" w:sz="1"/>
              <w:bottom w:val="single" w:color="D1D5DB" w:sz="1"/>
              <w:right w:val="single" w:color="D1D5DB" w:sz="1"/>
            </w:tcBorders>
          </w:tcPr>
          <w:p>
            <w:pPr>
              <w:jc w:val="center"/>
            </w:pPr>
            <w:r>
              <w:rPr>
                <w:sz w:val="20"/>
                <w:szCs w:val="20"/>
              </w:rPr>
              <w:t xml:space="preserve">Caribe</w:t>
            </w:r>
          </w:p>
        </w:tc>
        <w:tc>
          <w:tcPr>
            <w:tcW w:type="dxa" w:w="2640"/>
            <w:tcBorders>
              <w:top w:val="single" w:color="D1D5DB" w:sz="1"/>
              <w:left w:val="single" w:color="D1D5DB" w:sz="1"/>
              <w:bottom w:val="single" w:color="D1D5DB" w:sz="1"/>
              <w:right w:val="single" w:color="D1D5DB" w:sz="1"/>
            </w:tcBorders>
          </w:tcPr>
          <w:p>
            <w:pPr>
              <w:jc w:val="center"/>
            </w:pPr>
            <w:r>
              <w:rPr>
                <w:sz w:val="20"/>
                <w:szCs w:val="20"/>
              </w:rPr>
              <w:t xml:space="preserve">62,0</w:t>
            </w:r>
          </w:p>
        </w:tc>
      </w:tr>
    </w:tbl>
    <w:p>
      <w:pPr>
        <w:spacing w:after="120" w:line="276"/>
        <w:jc w:val="both"/>
      </w:pPr>
      <w:r>
        <w:rPr>
          <w:sz w:val="22"/>
          <w:szCs w:val="22"/>
        </w:rPr>
        <w:t xml:space="preserve">Los cinco municipios más afectados (</w:t>
      </w:r>
      <w:r>
        <w:rPr>
          <w:b/>
          <w:bCs/>
          <w:sz w:val="22"/>
          <w:szCs w:val="22"/>
        </w:rPr>
        <w:t xml:space="preserve">Turbo, Urrao, Dabeiba, Mutatá, Frontino</w:t>
      </w:r>
      <w:r>
        <w:rPr>
          <w:sz w:val="22"/>
          <w:szCs w:val="22"/>
        </w:rPr>
        <w:t xml:space="preserve">) concentran 31.850 ha, es decir el </w:t>
      </w:r>
      <w:r>
        <w:rPr>
          <w:b/>
          <w:bCs/>
          <w:sz w:val="22"/>
          <w:szCs w:val="22"/>
        </w:rPr>
        <w:t xml:space="preserve">68,0 %</w:t>
      </w:r>
      <w:r>
        <w:rPr>
          <w:sz w:val="22"/>
          <w:szCs w:val="22"/>
        </w:rPr>
        <w:t xml:space="preserve"> de toda la deforestación de la jurisdicción.</w:t>
      </w:r>
    </w:p>
    <w:p>
      <w:pPr>
        <w:pStyle w:val="Heading1"/>
      </w:pPr>
      <w:r>
        <w:t xml:space="preserve">6. Análisis por subregión</w:t>
      </w:r>
    </w:p>
    <w:p>
      <w:pPr>
        <w:spacing w:after="80"/>
        <w:jc w:val="left"/>
      </w:pPr>
      <w:r>
        <w:rPr>
          <w:sz w:val="22"/>
          <w:szCs w:val="22"/>
        </w:rPr>
        <w:t xml:space="preserve">Tabla 4. Deforestación acumulada por subregión.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Subregión</w:t>
            </w:r>
          </w:p>
        </w:tc>
        <w:tc>
          <w:tcPr>
            <w:tcW w:type="dxa" w:w="312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Deforestación (ha)</w:t>
            </w:r>
          </w:p>
        </w:tc>
        <w:tc>
          <w:tcPr>
            <w:tcW w:type="dxa" w:w="312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 del total</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Centro</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24.437,6</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52,2 %</w:t>
            </w:r>
          </w:p>
        </w:tc>
      </w:tr>
      <w:tr>
        <w:tc>
          <w:tcPr>
            <w:tcW w:type="dxa" w:w="31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Nutibara</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10.132,0</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21,6 %</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Urrao</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5.759,4</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12,3 %</w:t>
            </w:r>
          </w:p>
        </w:tc>
      </w:tr>
      <w:tr>
        <w:tc>
          <w:tcPr>
            <w:tcW w:type="dxa" w:w="312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Atrato</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3.369,4</w:t>
            </w:r>
          </w:p>
        </w:tc>
        <w:tc>
          <w:tcPr>
            <w:tcW w:type="dxa" w:w="312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7,2 %</w:t>
            </w:r>
          </w:p>
        </w:tc>
      </w:tr>
      <w:tr>
        <w:tc>
          <w:tcPr>
            <w:tcW w:type="dxa" w:w="3120"/>
            <w:tcBorders>
              <w:top w:val="single" w:color="D1D5DB" w:sz="1"/>
              <w:left w:val="single" w:color="D1D5DB" w:sz="1"/>
              <w:bottom w:val="single" w:color="D1D5DB" w:sz="1"/>
              <w:right w:val="single" w:color="D1D5DB" w:sz="1"/>
            </w:tcBorders>
          </w:tcPr>
          <w:p>
            <w:pPr>
              <w:jc w:val="left"/>
            </w:pPr>
            <w:r>
              <w:rPr>
                <w:sz w:val="20"/>
                <w:szCs w:val="20"/>
              </w:rPr>
              <w:t xml:space="preserve">Caribe</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3.147,1</w:t>
            </w:r>
          </w:p>
        </w:tc>
        <w:tc>
          <w:tcPr>
            <w:tcW w:type="dxa" w:w="3120"/>
            <w:tcBorders>
              <w:top w:val="single" w:color="D1D5DB" w:sz="1"/>
              <w:left w:val="single" w:color="D1D5DB" w:sz="1"/>
              <w:bottom w:val="single" w:color="D1D5DB" w:sz="1"/>
              <w:right w:val="single" w:color="D1D5DB" w:sz="1"/>
            </w:tcBorders>
          </w:tcPr>
          <w:p>
            <w:pPr>
              <w:jc w:val="center"/>
            </w:pPr>
            <w:r>
              <w:rPr>
                <w:sz w:val="20"/>
                <w:szCs w:val="20"/>
              </w:rPr>
              <w:t xml:space="preserve">6,7 %</w:t>
            </w:r>
          </w:p>
        </w:tc>
      </w:tr>
    </w:tbl>
    <w:p>
      <w:pPr>
        <w:spacing w:after="120" w:line="276"/>
        <w:jc w:val="both"/>
      </w:pPr>
      <w:r>
        <w:rPr>
          <w:sz w:val="22"/>
          <w:szCs w:val="22"/>
        </w:rPr>
        <w:t xml:space="preserve">Analizando la tasa relativa de pérdida (deforestación anual sobre bosque remanente), las subregiones divergen: </w:t>
      </w:r>
      <w:r>
        <w:rPr>
          <w:b/>
          <w:bCs/>
          <w:sz w:val="22"/>
          <w:szCs w:val="22"/>
        </w:rPr>
        <w:t xml:space="preserve">Caribe y Centro</w:t>
      </w:r>
      <w:r>
        <w:rPr>
          <w:sz w:val="22"/>
          <w:szCs w:val="22"/>
        </w:rPr>
        <w:t xml:space="preserve"> desaceleran, mientras que </w:t>
      </w:r>
      <w:r>
        <w:rPr>
          <w:b/>
          <w:bCs/>
          <w:sz w:val="22"/>
          <w:szCs w:val="22"/>
        </w:rPr>
        <w:t xml:space="preserve">Atrato, Nutibara, Urrao</w:t>
      </w:r>
      <w:r>
        <w:rPr>
          <w:sz w:val="22"/>
          <w:szCs w:val="22"/>
        </w:rPr>
        <w:t xml:space="preserve"> aceleran. La frontera de deforestación se corre hacia las subregiones más boscosas, coherente con el desplazamiento de la presión hacia territorios colectivos (sección 9).</w:t>
      </w:r>
    </w:p>
    <w:p>
      <w:pPr>
        <w:pStyle w:val="Heading1"/>
      </w:pPr>
      <w:r>
        <w:t xml:space="preserve">7. Dinámica del bosque</w:t>
      </w:r>
    </w:p>
    <w:p>
      <w:pPr>
        <w:spacing w:after="120" w:line="276"/>
        <w:jc w:val="both"/>
      </w:pPr>
      <w:r>
        <w:rPr>
          <w:sz w:val="22"/>
          <w:szCs w:val="22"/>
        </w:rPr>
        <w:t xml:space="preserve">Más allá de la deforestación, el análisis de cobertura permite estimar cuánto bosque queda hoy respecto al año 2000. A nivel regional, el bosque estable pasó de </w:t>
      </w:r>
      <w:r>
        <w:rPr>
          <w:b/>
          <w:bCs/>
          <w:sz w:val="22"/>
          <w:szCs w:val="22"/>
        </w:rPr>
        <w:t xml:space="preserve">908.114 ha</w:t>
      </w:r>
      <w:r>
        <w:rPr>
          <w:sz w:val="22"/>
          <w:szCs w:val="22"/>
        </w:rPr>
        <w:t xml:space="preserve"> a </w:t>
      </w:r>
      <w:r>
        <w:rPr>
          <w:b/>
          <w:bCs/>
          <w:sz w:val="22"/>
          <w:szCs w:val="22"/>
        </w:rPr>
        <w:t xml:space="preserve">870.305 ha</w:t>
      </w:r>
      <w:r>
        <w:rPr>
          <w:sz w:val="22"/>
          <w:szCs w:val="22"/>
        </w:rPr>
        <w:t xml:space="preserve"> (-4,2 %). La tabla 5 muestra los municipios con mayor pérdida de bosque en hectáreas y en proporción.</w:t>
      </w:r>
    </w:p>
    <w:p>
      <w:pPr>
        <w:spacing w:after="80"/>
        <w:jc w:val="left"/>
      </w:pPr>
      <w:r>
        <w:rPr>
          <w:sz w:val="22"/>
          <w:szCs w:val="22"/>
        </w:rPr>
        <w:t xml:space="preserve">Tabla 5. Pérdida de bosque estable por municipio (2000 → 2023).</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760"/>
        <w:gridCol w:w="2400"/>
        <w:gridCol w:w="2400"/>
        <w:gridCol w:w="1800"/>
      </w:tblGrid>
      <w:tr>
        <w:trPr>
          <w:tblHeader/>
        </w:trPr>
        <w:tc>
          <w:tcPr>
            <w:tcW w:type="dxa" w:w="276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Municipio</w:t>
            </w:r>
          </w:p>
        </w:tc>
        <w:tc>
          <w:tcPr>
            <w:tcW w:type="dxa" w:w="240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Bosque 2000 (ha)</w:t>
            </w:r>
          </w:p>
        </w:tc>
        <w:tc>
          <w:tcPr>
            <w:tcW w:type="dxa" w:w="240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Bosque 2023 (ha)</w:t>
            </w:r>
          </w:p>
        </w:tc>
        <w:tc>
          <w:tcPr>
            <w:tcW w:type="dxa" w:w="180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Cambio</w:t>
            </w:r>
          </w:p>
        </w:tc>
      </w:tr>
      <w:tr>
        <w:tc>
          <w:tcPr>
            <w:tcW w:type="dxa" w:w="2760"/>
            <w:tcBorders>
              <w:top w:val="single" w:color="D1D5DB" w:sz="1"/>
              <w:left w:val="single" w:color="D1D5DB" w:sz="1"/>
              <w:bottom w:val="single" w:color="D1D5DB" w:sz="1"/>
              <w:right w:val="single" w:color="D1D5DB" w:sz="1"/>
            </w:tcBorders>
          </w:tcPr>
          <w:p>
            <w:pPr>
              <w:jc w:val="left"/>
            </w:pPr>
            <w:r>
              <w:rPr>
                <w:sz w:val="20"/>
                <w:szCs w:val="20"/>
              </w:rPr>
              <w:t xml:space="preserve">Turbo</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74.842</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56.417</w:t>
            </w:r>
          </w:p>
        </w:tc>
        <w:tc>
          <w:tcPr>
            <w:tcW w:type="dxa" w:w="1800"/>
            <w:tcBorders>
              <w:top w:val="single" w:color="D1D5DB" w:sz="1"/>
              <w:left w:val="single" w:color="D1D5DB" w:sz="1"/>
              <w:bottom w:val="single" w:color="D1D5DB" w:sz="1"/>
              <w:right w:val="single" w:color="D1D5DB" w:sz="1"/>
            </w:tcBorders>
          </w:tcPr>
          <w:p>
            <w:pPr>
              <w:jc w:val="center"/>
            </w:pPr>
            <w:r>
              <w:rPr>
                <w:sz w:val="20"/>
                <w:szCs w:val="20"/>
              </w:rPr>
              <w:t xml:space="preserve">-24,6 %</w:t>
            </w:r>
          </w:p>
        </w:tc>
      </w:tr>
      <w:tr>
        <w:tc>
          <w:tcPr>
            <w:tcW w:type="dxa" w:w="27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Murindó</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105.373</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98.850</w:t>
            </w:r>
          </w:p>
        </w:tc>
        <w:tc>
          <w:tcPr>
            <w:tcW w:type="dxa" w:w="18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-6,2 %</w:t>
            </w:r>
          </w:p>
        </w:tc>
      </w:tr>
      <w:tr>
        <w:tc>
          <w:tcPr>
            <w:tcW w:type="dxa" w:w="2760"/>
            <w:tcBorders>
              <w:top w:val="single" w:color="D1D5DB" w:sz="1"/>
              <w:left w:val="single" w:color="D1D5DB" w:sz="1"/>
              <w:bottom w:val="single" w:color="D1D5DB" w:sz="1"/>
              <w:right w:val="single" w:color="D1D5DB" w:sz="1"/>
            </w:tcBorders>
          </w:tcPr>
          <w:p>
            <w:pPr>
              <w:jc w:val="left"/>
            </w:pPr>
            <w:r>
              <w:rPr>
                <w:sz w:val="20"/>
                <w:szCs w:val="20"/>
              </w:rPr>
              <w:t xml:space="preserve">Necoclí</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22.056</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16.807</w:t>
            </w:r>
          </w:p>
        </w:tc>
        <w:tc>
          <w:tcPr>
            <w:tcW w:type="dxa" w:w="1800"/>
            <w:tcBorders>
              <w:top w:val="single" w:color="D1D5DB" w:sz="1"/>
              <w:left w:val="single" w:color="D1D5DB" w:sz="1"/>
              <w:bottom w:val="single" w:color="D1D5DB" w:sz="1"/>
              <w:right w:val="single" w:color="D1D5DB" w:sz="1"/>
            </w:tcBorders>
          </w:tcPr>
          <w:p>
            <w:pPr>
              <w:jc w:val="center"/>
            </w:pPr>
            <w:r>
              <w:rPr>
                <w:sz w:val="20"/>
                <w:szCs w:val="20"/>
              </w:rPr>
              <w:t xml:space="preserve">-23,8 %</w:t>
            </w:r>
          </w:p>
        </w:tc>
      </w:tr>
      <w:tr>
        <w:tc>
          <w:tcPr>
            <w:tcW w:type="dxa" w:w="27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Dabeiba</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142.038</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138.373</w:t>
            </w:r>
          </w:p>
        </w:tc>
        <w:tc>
          <w:tcPr>
            <w:tcW w:type="dxa" w:w="18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-2,6 %</w:t>
            </w:r>
          </w:p>
        </w:tc>
      </w:tr>
      <w:tr>
        <w:tc>
          <w:tcPr>
            <w:tcW w:type="dxa" w:w="2760"/>
            <w:tcBorders>
              <w:top w:val="single" w:color="D1D5DB" w:sz="1"/>
              <w:left w:val="single" w:color="D1D5DB" w:sz="1"/>
              <w:bottom w:val="single" w:color="D1D5DB" w:sz="1"/>
              <w:right w:val="single" w:color="D1D5DB" w:sz="1"/>
            </w:tcBorders>
          </w:tcPr>
          <w:p>
            <w:pPr>
              <w:jc w:val="left"/>
            </w:pPr>
            <w:r>
              <w:rPr>
                <w:sz w:val="20"/>
                <w:szCs w:val="20"/>
              </w:rPr>
              <w:t xml:space="preserve">Carepa</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6.957</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3.948</w:t>
            </w:r>
          </w:p>
        </w:tc>
        <w:tc>
          <w:tcPr>
            <w:tcW w:type="dxa" w:w="1800"/>
            <w:tcBorders>
              <w:top w:val="single" w:color="D1D5DB" w:sz="1"/>
              <w:left w:val="single" w:color="D1D5DB" w:sz="1"/>
              <w:bottom w:val="single" w:color="D1D5DB" w:sz="1"/>
              <w:right w:val="single" w:color="D1D5DB" w:sz="1"/>
            </w:tcBorders>
          </w:tcPr>
          <w:p>
            <w:pPr>
              <w:jc w:val="center"/>
            </w:pPr>
            <w:r>
              <w:rPr>
                <w:sz w:val="20"/>
                <w:szCs w:val="20"/>
              </w:rPr>
              <w:t xml:space="preserve">-43,2 %</w:t>
            </w:r>
          </w:p>
        </w:tc>
      </w:tr>
      <w:tr>
        <w:tc>
          <w:tcPr>
            <w:tcW w:type="dxa" w:w="27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Chigorodó</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21.398</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18.697</w:t>
            </w:r>
          </w:p>
        </w:tc>
        <w:tc>
          <w:tcPr>
            <w:tcW w:type="dxa" w:w="18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-12,6 %</w:t>
            </w:r>
          </w:p>
        </w:tc>
      </w:tr>
      <w:tr>
        <w:tc>
          <w:tcPr>
            <w:tcW w:type="dxa" w:w="2760"/>
            <w:tcBorders>
              <w:top w:val="single" w:color="D1D5DB" w:sz="1"/>
              <w:left w:val="single" w:color="D1D5DB" w:sz="1"/>
              <w:bottom w:val="single" w:color="D1D5DB" w:sz="1"/>
              <w:right w:val="single" w:color="D1D5DB" w:sz="1"/>
            </w:tcBorders>
          </w:tcPr>
          <w:p>
            <w:pPr>
              <w:jc w:val="left"/>
            </w:pPr>
            <w:r>
              <w:rPr>
                <w:sz w:val="20"/>
                <w:szCs w:val="20"/>
              </w:rPr>
              <w:t xml:space="preserve">Apartadó</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17.703</w:t>
            </w:r>
          </w:p>
        </w:tc>
        <w:tc>
          <w:tcPr>
            <w:tcW w:type="dxa" w:w="2400"/>
            <w:tcBorders>
              <w:top w:val="single" w:color="D1D5DB" w:sz="1"/>
              <w:left w:val="single" w:color="D1D5DB" w:sz="1"/>
              <w:bottom w:val="single" w:color="D1D5DB" w:sz="1"/>
              <w:right w:val="single" w:color="D1D5DB" w:sz="1"/>
            </w:tcBorders>
          </w:tcPr>
          <w:p>
            <w:pPr>
              <w:jc w:val="center"/>
            </w:pPr>
            <w:r>
              <w:rPr>
                <w:sz w:val="20"/>
                <w:szCs w:val="20"/>
              </w:rPr>
              <w:t xml:space="preserve">15.030</w:t>
            </w:r>
          </w:p>
        </w:tc>
        <w:tc>
          <w:tcPr>
            <w:tcW w:type="dxa" w:w="1800"/>
            <w:tcBorders>
              <w:top w:val="single" w:color="D1D5DB" w:sz="1"/>
              <w:left w:val="single" w:color="D1D5DB" w:sz="1"/>
              <w:bottom w:val="single" w:color="D1D5DB" w:sz="1"/>
              <w:right w:val="single" w:color="D1D5DB" w:sz="1"/>
            </w:tcBorders>
          </w:tcPr>
          <w:p>
            <w:pPr>
              <w:jc w:val="center"/>
            </w:pPr>
            <w:r>
              <w:rPr>
                <w:sz w:val="20"/>
                <w:szCs w:val="20"/>
              </w:rPr>
              <w:t xml:space="preserve">-15,1 %</w:t>
            </w:r>
          </w:p>
        </w:tc>
      </w:tr>
      <w:tr>
        <w:tc>
          <w:tcPr>
            <w:tcW w:type="dxa" w:w="27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Mutatá</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67.023</w:t>
            </w:r>
          </w:p>
        </w:tc>
        <w:tc>
          <w:tcPr>
            <w:tcW w:type="dxa" w:w="24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65.513</w:t>
            </w:r>
          </w:p>
        </w:tc>
        <w:tc>
          <w:tcPr>
            <w:tcW w:type="dxa" w:w="180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-2,3 %</w:t>
            </w:r>
          </w:p>
        </w:tc>
      </w:tr>
    </w:tbl>
    <w:p>
      <w:pPr>
        <w:spacing w:after="120" w:line="276"/>
        <w:jc w:val="both"/>
      </w:pPr>
      <w:r>
        <w:rPr>
          <w:b/>
          <w:bCs/>
          <w:sz w:val="22"/>
          <w:szCs w:val="22"/>
        </w:rPr>
        <w:t xml:space="preserve">Regeneración insuficiente. </w:t>
      </w:r>
      <w:r>
        <w:rPr>
          <w:sz w:val="22"/>
          <w:szCs w:val="22"/>
        </w:rPr>
        <w:t xml:space="preserve">Frente a 34.543 ha deforestadas (en periodos con medición directa), solo se regeneraron </w:t>
      </w:r>
      <w:r>
        <w:rPr>
          <w:b/>
          <w:bCs/>
          <w:sz w:val="22"/>
          <w:szCs w:val="22"/>
        </w:rPr>
        <w:t xml:space="preserve">726 ha</w:t>
      </w:r>
      <w:r>
        <w:rPr>
          <w:sz w:val="22"/>
          <w:szCs w:val="22"/>
        </w:rPr>
        <w:t xml:space="preserve">, una relación aproximada de 1 a 48. La recuperación natural del bosque no alcanza a compensar la pérdida.</w:t>
      </w:r>
    </w:p>
    <w:p>
      <w:pPr>
        <w:pStyle w:val="Heading1"/>
      </w:pPr>
      <w:r>
        <w:t xml:space="preserve">8. Fragmentación y frentes persistentes</w:t>
      </w:r>
    </w:p>
    <w:p>
      <w:pPr>
        <w:spacing w:after="120" w:line="276"/>
        <w:jc w:val="both"/>
      </w:pPr>
      <w:r>
        <w:rPr>
          <w:sz w:val="22"/>
          <w:szCs w:val="22"/>
        </w:rPr>
        <w:t xml:space="preserve">La deforestación mapeada se compone de </w:t>
      </w:r>
      <w:r>
        <w:rPr>
          <w:b/>
          <w:bCs/>
          <w:sz w:val="22"/>
          <w:szCs w:val="22"/>
        </w:rPr>
        <w:t xml:space="preserve">9.107</w:t>
      </w:r>
      <w:r>
        <w:rPr>
          <w:sz w:val="22"/>
          <w:szCs w:val="22"/>
        </w:rPr>
        <w:t xml:space="preserve"> polígonos (parches ≥1 ha), con un tamaño medio de </w:t>
      </w:r>
      <w:r>
        <w:rPr>
          <w:b/>
          <w:bCs/>
          <w:sz w:val="22"/>
          <w:szCs w:val="22"/>
        </w:rPr>
        <w:t xml:space="preserve">2,8 ha</w:t>
      </w:r>
      <w:r>
        <w:rPr>
          <w:sz w:val="22"/>
          <w:szCs w:val="22"/>
        </w:rPr>
        <w:t xml:space="preserve"> y mediano de </w:t>
      </w:r>
      <w:r>
        <w:rPr>
          <w:b/>
          <w:bCs/>
          <w:sz w:val="22"/>
          <w:szCs w:val="22"/>
        </w:rPr>
        <w:t xml:space="preserve">1,7 ha</w:t>
      </w:r>
      <w:r>
        <w:rPr>
          <w:sz w:val="22"/>
          <w:szCs w:val="22"/>
        </w:rPr>
        <w:t xml:space="preserve">. El 91,9 % de los parches mide menos de 5 ha, señal de una colonización gradual («hormiga») más que de grandes praderizaciones.</w:t>
      </w:r>
    </w:p>
    <w:p>
      <w:pPr>
        <w:spacing w:after="120" w:line="276"/>
        <w:jc w:val="both"/>
      </w:pPr>
      <w:r>
        <w:rPr>
          <w:b/>
          <w:bCs/>
          <w:sz w:val="22"/>
          <w:szCs w:val="22"/>
        </w:rPr>
        <w:t xml:space="preserve">Frentes persistentes. </w:t>
      </w:r>
      <w:r>
        <w:rPr>
          <w:sz w:val="22"/>
          <w:szCs w:val="22"/>
        </w:rPr>
        <w:t xml:space="preserve">Al superponer una rejilla de 2×2 km sobre la jurisdicción, 1.039 celdas registran deforestación en tres o más periodos y concentran el </w:t>
      </w:r>
      <w:r>
        <w:rPr>
          <w:b/>
          <w:bCs/>
          <w:sz w:val="22"/>
          <w:szCs w:val="22"/>
        </w:rPr>
        <w:t xml:space="preserve">72,2 %</w:t>
      </w:r>
      <w:r>
        <w:rPr>
          <w:sz w:val="22"/>
          <w:szCs w:val="22"/>
        </w:rPr>
        <w:t xml:space="preserve"> de las hectáreas deforestadas. No son eventos dispersos: son frentes activos y localizables, priorizables para el control territorial. Los municipios con más celdas persistentes son </w:t>
      </w:r>
      <w:r>
        <w:rPr>
          <w:b/>
          <w:bCs/>
          <w:sz w:val="22"/>
          <w:szCs w:val="22"/>
        </w:rPr>
        <w:t xml:space="preserve">Urrao, Turbo, Dabeiba</w:t>
      </w:r>
      <w:r>
        <w:rPr>
          <w:sz w:val="22"/>
          <w:szCs w:val="22"/>
        </w:rPr>
        <w:t xml:space="preserve">.</w:t>
      </w:r>
    </w:p>
    <w:p>
      <w:pPr>
        <w:pStyle w:val="Heading1"/>
      </w:pPr>
      <w:r>
        <w:t xml:space="preserve">9. Deforestación en áreas protegidas</w:t>
      </w:r>
    </w:p>
    <w:p>
      <w:pPr>
        <w:spacing w:after="120" w:line="276"/>
        <w:jc w:val="both"/>
      </w:pPr>
      <w:r>
        <w:rPr>
          <w:sz w:val="22"/>
          <w:szCs w:val="22"/>
        </w:rPr>
        <w:t xml:space="preserve">En los periodos comparables, </w:t>
      </w:r>
      <w:r>
        <w:rPr>
          <w:b/>
          <w:bCs/>
          <w:sz w:val="22"/>
          <w:szCs w:val="22"/>
        </w:rPr>
        <w:t xml:space="preserve">3.362 ha</w:t>
      </w:r>
      <w:r>
        <w:rPr>
          <w:sz w:val="22"/>
          <w:szCs w:val="22"/>
        </w:rPr>
        <w:t xml:space="preserve"> de deforestación ocurrieron dentro de áreas protegidas, equivalente al </w:t>
      </w:r>
      <w:r>
        <w:rPr>
          <w:b/>
          <w:bCs/>
          <w:sz w:val="22"/>
          <w:szCs w:val="22"/>
        </w:rPr>
        <w:t xml:space="preserve">12,6 %</w:t>
      </w:r>
      <w:r>
        <w:rPr>
          <w:sz w:val="22"/>
          <w:szCs w:val="22"/>
        </w:rPr>
        <w:t xml:space="preserve"> de la deforestación de la jurisdicción en esos periodos. La tabla 6 muestra las áreas más afectadas.</w:t>
      </w:r>
    </w:p>
    <w:p>
      <w:pPr>
        <w:spacing w:after="80"/>
        <w:jc w:val="left"/>
      </w:pPr>
      <w:r>
        <w:rPr>
          <w:sz w:val="22"/>
          <w:szCs w:val="22"/>
        </w:rPr>
        <w:t xml:space="preserve">Tabla 6. Áreas protegidas con mayor deforestación.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3960"/>
        <w:gridCol w:w="3360"/>
        <w:gridCol w:w="2040"/>
      </w:tblGrid>
      <w:tr>
        <w:trPr>
          <w:tblHeader/>
        </w:trPr>
        <w:tc>
          <w:tcPr>
            <w:tcW w:type="dxa" w:w="396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Área protegida</w:t>
            </w:r>
          </w:p>
        </w:tc>
        <w:tc>
          <w:tcPr>
            <w:tcW w:type="dxa" w:w="336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Categoría</w:t>
            </w:r>
          </w:p>
        </w:tc>
        <w:tc>
          <w:tcPr>
            <w:tcW w:type="dxa" w:w="20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Deforestación (ha)</w:t>
            </w:r>
          </w:p>
        </w:tc>
      </w:tr>
      <w:tr>
        <w:tc>
          <w:tcPr>
            <w:tcW w:type="dxa" w:w="3960"/>
            <w:tcBorders>
              <w:top w:val="single" w:color="D1D5DB" w:sz="1"/>
              <w:left w:val="single" w:color="D1D5DB" w:sz="1"/>
              <w:bottom w:val="single" w:color="D1D5DB" w:sz="1"/>
              <w:right w:val="single" w:color="D1D5DB" w:sz="1"/>
            </w:tcBorders>
          </w:tcPr>
          <w:p>
            <w:pPr>
              <w:jc w:val="left"/>
            </w:pPr>
            <w:r>
              <w:rPr>
                <w:sz w:val="20"/>
                <w:szCs w:val="20"/>
              </w:rPr>
              <w:t xml:space="preserve">Serranía de Abibe</w:t>
            </w:r>
          </w:p>
        </w:tc>
        <w:tc>
          <w:tcPr>
            <w:tcW w:type="dxa" w:w="3360"/>
            <w:tcBorders>
              <w:top w:val="single" w:color="D1D5DB" w:sz="1"/>
              <w:left w:val="single" w:color="D1D5DB" w:sz="1"/>
              <w:bottom w:val="single" w:color="D1D5DB" w:sz="1"/>
              <w:right w:val="single" w:color="D1D5DB" w:sz="1"/>
            </w:tcBorders>
          </w:tcPr>
          <w:p>
            <w:pPr>
              <w:jc w:val="center"/>
            </w:pPr>
            <w:r>
              <w:rPr>
                <w:sz w:val="20"/>
                <w:szCs w:val="20"/>
              </w:rPr>
              <w:t xml:space="preserve">Distrito Regional de Manejo Integrado</w:t>
            </w:r>
          </w:p>
        </w:tc>
        <w:tc>
          <w:tcPr>
            <w:tcW w:type="dxa" w:w="2040"/>
            <w:tcBorders>
              <w:top w:val="single" w:color="D1D5DB" w:sz="1"/>
              <w:left w:val="single" w:color="D1D5DB" w:sz="1"/>
              <w:bottom w:val="single" w:color="D1D5DB" w:sz="1"/>
              <w:right w:val="single" w:color="D1D5DB" w:sz="1"/>
            </w:tcBorders>
          </w:tcPr>
          <w:p>
            <w:pPr>
              <w:jc w:val="center"/>
            </w:pPr>
            <w:r>
              <w:rPr>
                <w:sz w:val="20"/>
                <w:szCs w:val="20"/>
              </w:rPr>
              <w:t xml:space="preserve">1.902,7</w:t>
            </w:r>
          </w:p>
        </w:tc>
      </w:tr>
      <w:tr>
        <w:tc>
          <w:tcPr>
            <w:tcW w:type="dxa" w:w="39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Carauta</w:t>
            </w:r>
          </w:p>
        </w:tc>
        <w:tc>
          <w:tcPr>
            <w:tcW w:type="dxa" w:w="33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Reserva Forestal Protectora Nacional</w:t>
            </w:r>
          </w:p>
        </w:tc>
        <w:tc>
          <w:tcPr>
            <w:tcW w:type="dxa" w:w="20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513,9</w:t>
            </w:r>
          </w:p>
        </w:tc>
      </w:tr>
      <w:tr>
        <w:tc>
          <w:tcPr>
            <w:tcW w:type="dxa" w:w="3960"/>
            <w:tcBorders>
              <w:top w:val="single" w:color="D1D5DB" w:sz="1"/>
              <w:left w:val="single" w:color="D1D5DB" w:sz="1"/>
              <w:bottom w:val="single" w:color="D1D5DB" w:sz="1"/>
              <w:right w:val="single" w:color="D1D5DB" w:sz="1"/>
            </w:tcBorders>
          </w:tcPr>
          <w:p>
            <w:pPr>
              <w:jc w:val="left"/>
            </w:pPr>
            <w:r>
              <w:rPr>
                <w:sz w:val="20"/>
                <w:szCs w:val="20"/>
              </w:rPr>
              <w:t xml:space="preserve">Las Orquideas</w:t>
            </w:r>
          </w:p>
        </w:tc>
        <w:tc>
          <w:tcPr>
            <w:tcW w:type="dxa" w:w="3360"/>
            <w:tcBorders>
              <w:top w:val="single" w:color="D1D5DB" w:sz="1"/>
              <w:left w:val="single" w:color="D1D5DB" w:sz="1"/>
              <w:bottom w:val="single" w:color="D1D5DB" w:sz="1"/>
              <w:right w:val="single" w:color="D1D5DB" w:sz="1"/>
            </w:tcBorders>
          </w:tcPr>
          <w:p>
            <w:pPr>
              <w:jc w:val="center"/>
            </w:pPr>
            <w:r>
              <w:rPr>
                <w:sz w:val="20"/>
                <w:szCs w:val="20"/>
              </w:rPr>
              <w:t xml:space="preserve">Parque Nacional Natural</w:t>
            </w:r>
          </w:p>
        </w:tc>
        <w:tc>
          <w:tcPr>
            <w:tcW w:type="dxa" w:w="2040"/>
            <w:tcBorders>
              <w:top w:val="single" w:color="D1D5DB" w:sz="1"/>
              <w:left w:val="single" w:color="D1D5DB" w:sz="1"/>
              <w:bottom w:val="single" w:color="D1D5DB" w:sz="1"/>
              <w:right w:val="single" w:color="D1D5DB" w:sz="1"/>
            </w:tcBorders>
          </w:tcPr>
          <w:p>
            <w:pPr>
              <w:jc w:val="center"/>
            </w:pPr>
            <w:r>
              <w:rPr>
                <w:sz w:val="20"/>
                <w:szCs w:val="20"/>
              </w:rPr>
              <w:t xml:space="preserve">334,4</w:t>
            </w:r>
          </w:p>
        </w:tc>
      </w:tr>
      <w:tr>
        <w:tc>
          <w:tcPr>
            <w:tcW w:type="dxa" w:w="39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Ensenada de Rionegro, los Bajos Aledanos</w:t>
            </w:r>
          </w:p>
        </w:tc>
        <w:tc>
          <w:tcPr>
            <w:tcW w:type="dxa" w:w="33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Distrito Regional de Manejo Integrado</w:t>
            </w:r>
          </w:p>
        </w:tc>
        <w:tc>
          <w:tcPr>
            <w:tcW w:type="dxa" w:w="20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291,9</w:t>
            </w:r>
          </w:p>
        </w:tc>
      </w:tr>
      <w:tr>
        <w:tc>
          <w:tcPr>
            <w:tcW w:type="dxa" w:w="3960"/>
            <w:tcBorders>
              <w:top w:val="single" w:color="D1D5DB" w:sz="1"/>
              <w:left w:val="single" w:color="D1D5DB" w:sz="1"/>
              <w:bottom w:val="single" w:color="D1D5DB" w:sz="1"/>
              <w:right w:val="single" w:color="D1D5DB" w:sz="1"/>
            </w:tcBorders>
          </w:tcPr>
          <w:p>
            <w:pPr>
              <w:jc w:val="left"/>
            </w:pPr>
            <w:r>
              <w:rPr>
                <w:sz w:val="20"/>
                <w:szCs w:val="20"/>
              </w:rPr>
              <w:t xml:space="preserve">De Urrao</w:t>
            </w:r>
          </w:p>
        </w:tc>
        <w:tc>
          <w:tcPr>
            <w:tcW w:type="dxa" w:w="3360"/>
            <w:tcBorders>
              <w:top w:val="single" w:color="D1D5DB" w:sz="1"/>
              <w:left w:val="single" w:color="D1D5DB" w:sz="1"/>
              <w:bottom w:val="single" w:color="D1D5DB" w:sz="1"/>
              <w:right w:val="single" w:color="D1D5DB" w:sz="1"/>
            </w:tcBorders>
          </w:tcPr>
          <w:p>
            <w:pPr>
              <w:jc w:val="center"/>
            </w:pPr>
            <w:r>
              <w:rPr>
                <w:sz w:val="20"/>
                <w:szCs w:val="20"/>
              </w:rPr>
              <w:t xml:space="preserve">Reserva Forestal Protectora Nacional</w:t>
            </w:r>
          </w:p>
        </w:tc>
        <w:tc>
          <w:tcPr>
            <w:tcW w:type="dxa" w:w="2040"/>
            <w:tcBorders>
              <w:top w:val="single" w:color="D1D5DB" w:sz="1"/>
              <w:left w:val="single" w:color="D1D5DB" w:sz="1"/>
              <w:bottom w:val="single" w:color="D1D5DB" w:sz="1"/>
              <w:right w:val="single" w:color="D1D5DB" w:sz="1"/>
            </w:tcBorders>
          </w:tcPr>
          <w:p>
            <w:pPr>
              <w:jc w:val="center"/>
            </w:pPr>
            <w:r>
              <w:rPr>
                <w:sz w:val="20"/>
                <w:szCs w:val="20"/>
              </w:rPr>
              <w:t xml:space="preserve">109,3</w:t>
            </w:r>
          </w:p>
        </w:tc>
      </w:tr>
      <w:tr>
        <w:tc>
          <w:tcPr>
            <w:tcW w:type="dxa" w:w="39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Río León</w:t>
            </w:r>
          </w:p>
        </w:tc>
        <w:tc>
          <w:tcPr>
            <w:tcW w:type="dxa" w:w="33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Reserva Forestal Protectora Nacional</w:t>
            </w:r>
          </w:p>
        </w:tc>
        <w:tc>
          <w:tcPr>
            <w:tcW w:type="dxa" w:w="20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107,8</w:t>
            </w:r>
          </w:p>
        </w:tc>
      </w:tr>
      <w:tr>
        <w:tc>
          <w:tcPr>
            <w:tcW w:type="dxa" w:w="3960"/>
            <w:tcBorders>
              <w:top w:val="single" w:color="D1D5DB" w:sz="1"/>
              <w:left w:val="single" w:color="D1D5DB" w:sz="1"/>
              <w:bottom w:val="single" w:color="D1D5DB" w:sz="1"/>
              <w:right w:val="single" w:color="D1D5DB" w:sz="1"/>
            </w:tcBorders>
          </w:tcPr>
          <w:p>
            <w:pPr>
              <w:jc w:val="left"/>
            </w:pPr>
            <w:r>
              <w:rPr>
                <w:sz w:val="20"/>
                <w:szCs w:val="20"/>
              </w:rPr>
              <w:t xml:space="preserve">Peque</w:t>
            </w:r>
          </w:p>
        </w:tc>
        <w:tc>
          <w:tcPr>
            <w:tcW w:type="dxa" w:w="3360"/>
            <w:tcBorders>
              <w:top w:val="single" w:color="D1D5DB" w:sz="1"/>
              <w:left w:val="single" w:color="D1D5DB" w:sz="1"/>
              <w:bottom w:val="single" w:color="D1D5DB" w:sz="1"/>
              <w:right w:val="single" w:color="D1D5DB" w:sz="1"/>
            </w:tcBorders>
          </w:tcPr>
          <w:p>
            <w:pPr>
              <w:jc w:val="center"/>
            </w:pPr>
            <w:r>
              <w:rPr>
                <w:sz w:val="20"/>
                <w:szCs w:val="20"/>
              </w:rPr>
              <w:t xml:space="preserve">Distrito de Conservación de Suelos</w:t>
            </w:r>
          </w:p>
        </w:tc>
        <w:tc>
          <w:tcPr>
            <w:tcW w:type="dxa" w:w="2040"/>
            <w:tcBorders>
              <w:top w:val="single" w:color="D1D5DB" w:sz="1"/>
              <w:left w:val="single" w:color="D1D5DB" w:sz="1"/>
              <w:bottom w:val="single" w:color="D1D5DB" w:sz="1"/>
              <w:right w:val="single" w:color="D1D5DB" w:sz="1"/>
            </w:tcBorders>
          </w:tcPr>
          <w:p>
            <w:pPr>
              <w:jc w:val="center"/>
            </w:pPr>
            <w:r>
              <w:rPr>
                <w:sz w:val="20"/>
                <w:szCs w:val="20"/>
              </w:rPr>
              <w:t xml:space="preserve">55,4</w:t>
            </w:r>
          </w:p>
        </w:tc>
      </w:tr>
      <w:tr>
        <w:tc>
          <w:tcPr>
            <w:tcW w:type="dxa" w:w="396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Humedales entre los Rios Leon y Suriqui</w:t>
            </w:r>
          </w:p>
        </w:tc>
        <w:tc>
          <w:tcPr>
            <w:tcW w:type="dxa" w:w="33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Parque Regional Natural</w:t>
            </w:r>
          </w:p>
        </w:tc>
        <w:tc>
          <w:tcPr>
            <w:tcW w:type="dxa" w:w="20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14,6</w:t>
            </w:r>
          </w:p>
        </w:tc>
      </w:tr>
    </w:tbl>
    <w:p>
      <w:pPr>
        <w:spacing w:after="120" w:line="276"/>
        <w:jc w:val="both"/>
      </w:pPr>
      <w:r>
        <w:rPr>
          <w:sz w:val="22"/>
          <w:szCs w:val="22"/>
        </w:rPr>
        <w:t xml:space="preserve">El </w:t>
      </w:r>
      <w:r>
        <w:rPr>
          <w:b/>
          <w:bCs/>
          <w:sz w:val="22"/>
          <w:szCs w:val="22"/>
        </w:rPr>
        <w:t xml:space="preserve">Distrito Regional de Manejo Integrado Serranía de Abibe</w:t>
      </w:r>
      <w:r>
        <w:rPr>
          <w:sz w:val="22"/>
          <w:szCs w:val="22"/>
        </w:rPr>
        <w:t xml:space="preserve"> concentra la mayor parte de la pérdida dentro de áreas protegidas, seguido de reservas forestales protectoras y del Parque Nacional Natural Las Orquídeas. Complementariamente, el cruce con la cartografía oficial de la </w:t>
      </w:r>
      <w:r>
        <w:rPr>
          <w:b/>
          <w:bCs/>
          <w:sz w:val="22"/>
          <w:szCs w:val="22"/>
        </w:rPr>
        <w:t xml:space="preserve">Reserva Forestal de Ley 2ª de 1959</w:t>
      </w:r>
      <w:r>
        <w:rPr>
          <w:sz w:val="22"/>
          <w:szCs w:val="22"/>
        </w:rPr>
        <w:t xml:space="preserve"> revela que una fracción muy alta de la deforestación mapeada —del orden del 34 %— ocurre dentro de esa reserva, con tendencia al alza en los años recientes.</w:t>
      </w:r>
    </w:p>
    <w:p>
      <w:pPr>
        <w:pStyle w:val="Heading1"/>
      </w:pPr>
      <w:r>
        <w:t xml:space="preserve">10. Deforestación en territorios étnicos</w:t>
      </w:r>
    </w:p>
    <w:p>
      <w:pPr>
        <w:spacing w:after="120" w:line="276"/>
        <w:jc w:val="both"/>
      </w:pPr>
      <w:r>
        <w:rPr>
          <w:b/>
          <w:bCs/>
          <w:sz w:val="22"/>
          <w:szCs w:val="22"/>
        </w:rPr>
        <w:t xml:space="preserve">Desplazamiento hacia territorios colectivos. </w:t>
      </w:r>
      <w:r>
        <w:rPr>
          <w:sz w:val="22"/>
          <w:szCs w:val="22"/>
        </w:rPr>
        <w:t xml:space="preserve">Uno de los hallazgos más relevantes: la participación de resguardos indígenas y consejos comunitarios en la deforestación de la jurisdicción pasó del </w:t>
      </w:r>
      <w:r>
        <w:rPr>
          <w:b/>
          <w:bCs/>
          <w:sz w:val="22"/>
          <w:szCs w:val="22"/>
        </w:rPr>
        <w:t xml:space="preserve">16,4 %</w:t>
      </w:r>
      <w:r>
        <w:rPr>
          <w:sz w:val="22"/>
          <w:szCs w:val="22"/>
        </w:rPr>
        <w:t xml:space="preserve"> (2002–2010) al </w:t>
      </w:r>
      <w:r>
        <w:rPr>
          <w:b/>
          <w:bCs/>
          <w:sz w:val="22"/>
          <w:szCs w:val="22"/>
        </w:rPr>
        <w:t xml:space="preserve">40,9 %</w:t>
      </w:r>
      <w:r>
        <w:rPr>
          <w:sz w:val="22"/>
          <w:szCs w:val="22"/>
        </w:rPr>
        <w:t xml:space="preserve"> (2019–2023). La presión se corrió hacia los territorios étnicos mientras el resto de la jurisdicción desaceleraba.</w:t>
      </w:r>
    </w:p>
    <w:p>
      <w:pPr>
        <w:spacing w:after="80"/>
        <w:jc w:val="left"/>
      </w:pPr>
      <w:r>
        <w:rPr>
          <w:sz w:val="22"/>
          <w:szCs w:val="22"/>
        </w:rPr>
        <w:t xml:space="preserve">Tabla 7. Deforestación en resguardos por pueblo indígena.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Pueblo</w:t>
            </w:r>
          </w:p>
        </w:tc>
        <w:tc>
          <w:tcPr>
            <w:tcW w:type="dxa" w:w="468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Deforestación (ha)</w:t>
            </w:r>
          </w:p>
        </w:tc>
      </w:tr>
      <w:tr>
        <w:tc>
          <w:tcPr>
            <w:tcW w:type="dxa" w:w="4680"/>
            <w:tcBorders>
              <w:top w:val="single" w:color="D1D5DB" w:sz="1"/>
              <w:left w:val="single" w:color="D1D5DB" w:sz="1"/>
              <w:bottom w:val="single" w:color="D1D5DB" w:sz="1"/>
              <w:right w:val="single" w:color="D1D5DB" w:sz="1"/>
            </w:tcBorders>
          </w:tcPr>
          <w:p>
            <w:pPr>
              <w:jc w:val="left"/>
            </w:pPr>
            <w:r>
              <w:rPr>
                <w:sz w:val="20"/>
                <w:szCs w:val="20"/>
              </w:rPr>
              <w:t xml:space="preserve">Embera Katío</w:t>
            </w:r>
          </w:p>
        </w:tc>
        <w:tc>
          <w:tcPr>
            <w:tcW w:type="dxa" w:w="4680"/>
            <w:tcBorders>
              <w:top w:val="single" w:color="D1D5DB" w:sz="1"/>
              <w:left w:val="single" w:color="D1D5DB" w:sz="1"/>
              <w:bottom w:val="single" w:color="D1D5DB" w:sz="1"/>
              <w:right w:val="single" w:color="D1D5DB" w:sz="1"/>
            </w:tcBorders>
          </w:tcPr>
          <w:p>
            <w:pPr>
              <w:jc w:val="center"/>
            </w:pPr>
            <w:r>
              <w:rPr>
                <w:sz w:val="20"/>
                <w:szCs w:val="20"/>
              </w:rPr>
              <w:t xml:space="preserve">3.478,3</w:t>
            </w:r>
          </w:p>
        </w:tc>
      </w:tr>
      <w:tr>
        <w:tc>
          <w:tcPr>
            <w:tcW w:type="dxa" w:w="468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Embera</w:t>
            </w:r>
          </w:p>
        </w:tc>
        <w:tc>
          <w:tcPr>
            <w:tcW w:type="dxa" w:w="468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762,0</w:t>
            </w:r>
          </w:p>
        </w:tc>
      </w:tr>
      <w:tr>
        <w:tc>
          <w:tcPr>
            <w:tcW w:type="dxa" w:w="4680"/>
            <w:tcBorders>
              <w:top w:val="single" w:color="D1D5DB" w:sz="1"/>
              <w:left w:val="single" w:color="D1D5DB" w:sz="1"/>
              <w:bottom w:val="single" w:color="D1D5DB" w:sz="1"/>
              <w:right w:val="single" w:color="D1D5DB" w:sz="1"/>
            </w:tcBorders>
          </w:tcPr>
          <w:p>
            <w:pPr>
              <w:jc w:val="left"/>
            </w:pPr>
            <w:r>
              <w:rPr>
                <w:sz w:val="20"/>
                <w:szCs w:val="20"/>
              </w:rPr>
              <w:t xml:space="preserve">Tule/Guna (Cuna)</w:t>
            </w:r>
          </w:p>
        </w:tc>
        <w:tc>
          <w:tcPr>
            <w:tcW w:type="dxa" w:w="4680"/>
            <w:tcBorders>
              <w:top w:val="single" w:color="D1D5DB" w:sz="1"/>
              <w:left w:val="single" w:color="D1D5DB" w:sz="1"/>
              <w:bottom w:val="single" w:color="D1D5DB" w:sz="1"/>
              <w:right w:val="single" w:color="D1D5DB" w:sz="1"/>
            </w:tcBorders>
          </w:tcPr>
          <w:p>
            <w:pPr>
              <w:jc w:val="center"/>
            </w:pPr>
            <w:r>
              <w:rPr>
                <w:sz w:val="20"/>
                <w:szCs w:val="20"/>
              </w:rPr>
              <w:t xml:space="preserve">260,3</w:t>
            </w:r>
          </w:p>
        </w:tc>
      </w:tr>
      <w:tr>
        <w:tc>
          <w:tcPr>
            <w:tcW w:type="dxa" w:w="468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Embera Chamí-Zenú</w:t>
            </w:r>
          </w:p>
        </w:tc>
        <w:tc>
          <w:tcPr>
            <w:tcW w:type="dxa" w:w="468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7,9</w:t>
            </w:r>
          </w:p>
        </w:tc>
      </w:tr>
      <w:tr>
        <w:tc>
          <w:tcPr>
            <w:tcW w:type="dxa" w:w="4680"/>
            <w:tcBorders>
              <w:top w:val="single" w:color="D1D5DB" w:sz="1"/>
              <w:left w:val="single" w:color="D1D5DB" w:sz="1"/>
              <w:bottom w:val="single" w:color="D1D5DB" w:sz="1"/>
              <w:right w:val="single" w:color="D1D5DB" w:sz="1"/>
            </w:tcBorders>
          </w:tcPr>
          <w:p>
            <w:pPr>
              <w:jc w:val="left"/>
            </w:pPr>
            <w:r>
              <w:rPr>
                <w:sz w:val="20"/>
                <w:szCs w:val="20"/>
              </w:rPr>
              <w:t xml:space="preserve">Senú/Zenú</w:t>
            </w:r>
          </w:p>
        </w:tc>
        <w:tc>
          <w:tcPr>
            <w:tcW w:type="dxa" w:w="4680"/>
            <w:tcBorders>
              <w:top w:val="single" w:color="D1D5DB" w:sz="1"/>
              <w:left w:val="single" w:color="D1D5DB" w:sz="1"/>
              <w:bottom w:val="single" w:color="D1D5DB" w:sz="1"/>
              <w:right w:val="single" w:color="D1D5DB" w:sz="1"/>
            </w:tcBorders>
          </w:tcPr>
          <w:p>
            <w:pPr>
              <w:jc w:val="center"/>
            </w:pPr>
            <w:r>
              <w:rPr>
                <w:sz w:val="20"/>
                <w:szCs w:val="20"/>
              </w:rPr>
              <w:t xml:space="preserve">5,0</w:t>
            </w:r>
          </w:p>
        </w:tc>
      </w:tr>
    </w:tbl>
    <w:p>
      <w:pPr>
        <w:spacing w:after="120" w:line="276"/>
        <w:jc w:val="both"/>
      </w:pPr>
      <w:r>
        <w:rPr>
          <w:sz w:val="22"/>
          <w:szCs w:val="22"/>
        </w:rPr>
        <w:t xml:space="preserve">Los resguardos más afectados (</w:t>
      </w:r>
      <w:r>
        <w:rPr>
          <w:b/>
          <w:bCs/>
          <w:sz w:val="22"/>
          <w:szCs w:val="22"/>
        </w:rPr>
        <w:t xml:space="preserve">Embera Katio del Rio Murindo, Emebra - Katio de Chaquenoda, Embera-Katio de Andabu</w:t>
      </w:r>
      <w:r>
        <w:rPr>
          <w:sz w:val="22"/>
          <w:szCs w:val="22"/>
        </w:rPr>
        <w:t xml:space="preserve">) corresponden mayoritariamente al pueblo Embera Katío, en el piedemonte y la vertiente del Atrato.</w:t>
      </w:r>
    </w:p>
    <w:p>
      <w:pPr>
        <w:pStyle w:val="Heading1"/>
      </w:pPr>
      <w:r>
        <w:t xml:space="preserve">11. Cuencas hidrográficas y POMCAS</w:t>
      </w:r>
    </w:p>
    <w:p>
      <w:pPr>
        <w:spacing w:after="120" w:line="276"/>
        <w:jc w:val="both"/>
      </w:pPr>
      <w:r>
        <w:rPr>
          <w:sz w:val="22"/>
          <w:szCs w:val="22"/>
        </w:rPr>
        <w:t xml:space="preserve">Los Planes de Ordenación y Manejo de Cuencas (POMCAS) organizan las principales cuencas de la jurisdicción. El cruce de sus límites con la deforestación mapeada da un total de </w:t>
      </w:r>
      <w:r>
        <w:rPr>
          <w:b/>
          <w:bCs/>
          <w:sz w:val="22"/>
          <w:szCs w:val="22"/>
        </w:rPr>
        <w:t xml:space="preserve">8.724 ha</w:t>
      </w:r>
      <w:r>
        <w:rPr>
          <w:sz w:val="22"/>
          <w:szCs w:val="22"/>
        </w:rPr>
        <w:t xml:space="preserve">, concentrado en las cuencas abastecedoras del eje bananero.</w:t>
      </w:r>
    </w:p>
    <w:p>
      <w:pPr>
        <w:spacing w:after="80"/>
        <w:jc w:val="left"/>
      </w:pPr>
      <w:r>
        <w:rPr>
          <w:sz w:val="22"/>
          <w:szCs w:val="22"/>
        </w:rPr>
        <w:t xml:space="preserve">Tabla 8. Deforestación mapeada por POMCA.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4680"/>
        <w:gridCol w:w="2340"/>
        <w:gridCol w:w="2340"/>
      </w:tblGrid>
      <w:tr>
        <w:trPr>
          <w:tblHeader/>
        </w:trPr>
        <w:tc>
          <w:tcPr>
            <w:tcW w:type="dxa" w:w="468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POMCA</w:t>
            </w:r>
          </w:p>
        </w:tc>
        <w:tc>
          <w:tcPr>
            <w:tcW w:type="dxa" w:w="23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Deforestación (ha)</w:t>
            </w:r>
          </w:p>
        </w:tc>
        <w:tc>
          <w:tcPr>
            <w:tcW w:type="dxa" w:w="234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 de su área</w:t>
            </w:r>
          </w:p>
        </w:tc>
      </w:tr>
      <w:tr>
        <w:tc>
          <w:tcPr>
            <w:tcW w:type="dxa" w:w="4680"/>
            <w:tcBorders>
              <w:top w:val="single" w:color="D1D5DB" w:sz="1"/>
              <w:left w:val="single" w:color="D1D5DB" w:sz="1"/>
              <w:bottom w:val="single" w:color="D1D5DB" w:sz="1"/>
              <w:right w:val="single" w:color="D1D5DB" w:sz="1"/>
            </w:tcBorders>
          </w:tcPr>
          <w:p>
            <w:pPr>
              <w:jc w:val="left"/>
            </w:pPr>
            <w:r>
              <w:rPr>
                <w:sz w:val="20"/>
                <w:szCs w:val="20"/>
              </w:rPr>
              <w:t xml:space="preserve">Río León</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3.860,1</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1,76 %</w:t>
            </w:r>
          </w:p>
        </w:tc>
      </w:tr>
      <w:tr>
        <w:tc>
          <w:tcPr>
            <w:tcW w:type="dxa" w:w="468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Río Turbo-Currulao</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2.225,2</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2,49 %</w:t>
            </w:r>
          </w:p>
        </w:tc>
      </w:tr>
      <w:tr>
        <w:tc>
          <w:tcPr>
            <w:tcW w:type="dxa" w:w="4680"/>
            <w:tcBorders>
              <w:top w:val="single" w:color="D1D5DB" w:sz="1"/>
              <w:left w:val="single" w:color="D1D5DB" w:sz="1"/>
              <w:bottom w:val="single" w:color="D1D5DB" w:sz="1"/>
              <w:right w:val="single" w:color="D1D5DB" w:sz="1"/>
            </w:tcBorders>
          </w:tcPr>
          <w:p>
            <w:pPr>
              <w:jc w:val="left"/>
            </w:pPr>
            <w:r>
              <w:rPr>
                <w:sz w:val="20"/>
                <w:szCs w:val="20"/>
              </w:rPr>
              <w:t xml:space="preserve">Río Sucio Alto</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1.747,2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0,80 %</w:t>
            </w:r>
          </w:p>
        </w:tc>
      </w:tr>
      <w:tr>
        <w:tc>
          <w:tcPr>
            <w:tcW w:type="dxa" w:w="468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Río San Juan</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493,8</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0,35 %</w:t>
            </w:r>
          </w:p>
        </w:tc>
      </w:tr>
      <w:tr>
        <w:tc>
          <w:tcPr>
            <w:tcW w:type="dxa" w:w="4680"/>
            <w:tcBorders>
              <w:top w:val="single" w:color="D1D5DB" w:sz="1"/>
              <w:left w:val="single" w:color="D1D5DB" w:sz="1"/>
              <w:bottom w:val="single" w:color="D1D5DB" w:sz="1"/>
              <w:right w:val="single" w:color="D1D5DB" w:sz="1"/>
            </w:tcBorders>
          </w:tcPr>
          <w:p>
            <w:pPr>
              <w:jc w:val="left"/>
            </w:pPr>
            <w:r>
              <w:rPr>
                <w:sz w:val="20"/>
                <w:szCs w:val="20"/>
              </w:rPr>
              <w:t xml:space="preserve">Directos al Cauca entre Río San Juan e Ituago</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307,2</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0,13 %</w:t>
            </w:r>
          </w:p>
        </w:tc>
      </w:tr>
      <w:tr>
        <w:tc>
          <w:tcPr>
            <w:tcW w:type="dxa" w:w="468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Río Mulaticos</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49,5</w:t>
            </w:r>
          </w:p>
        </w:tc>
        <w:tc>
          <w:tcPr>
            <w:tcW w:type="dxa" w:w="234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0,37 %</w:t>
            </w:r>
          </w:p>
        </w:tc>
      </w:tr>
      <w:tr>
        <w:tc>
          <w:tcPr>
            <w:tcW w:type="dxa" w:w="4680"/>
            <w:tcBorders>
              <w:top w:val="single" w:color="D1D5DB" w:sz="1"/>
              <w:left w:val="single" w:color="D1D5DB" w:sz="1"/>
              <w:bottom w:val="single" w:color="D1D5DB" w:sz="1"/>
              <w:right w:val="single" w:color="D1D5DB" w:sz="1"/>
            </w:tcBorders>
          </w:tcPr>
          <w:p>
            <w:pPr>
              <w:jc w:val="left"/>
            </w:pPr>
            <w:r>
              <w:rPr>
                <w:sz w:val="20"/>
                <w:szCs w:val="20"/>
              </w:rPr>
              <w:t xml:space="preserve">Río Canaletes, Los Córdobas y otros arroyos</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41,4</w:t>
            </w:r>
          </w:p>
        </w:tc>
        <w:tc>
          <w:tcPr>
            <w:tcW w:type="dxa" w:w="2340"/>
            <w:tcBorders>
              <w:top w:val="single" w:color="D1D5DB" w:sz="1"/>
              <w:left w:val="single" w:color="D1D5DB" w:sz="1"/>
              <w:bottom w:val="single" w:color="D1D5DB" w:sz="1"/>
              <w:right w:val="single" w:color="D1D5DB" w:sz="1"/>
            </w:tcBorders>
          </w:tcPr>
          <w:p>
            <w:pPr>
              <w:jc w:val="center"/>
            </w:pPr>
            <w:r>
              <w:rPr>
                <w:sz w:val="20"/>
                <w:szCs w:val="20"/>
              </w:rPr>
              <w:t xml:space="preserve">0,03 %</w:t>
            </w:r>
          </w:p>
        </w:tc>
      </w:tr>
    </w:tbl>
    <w:p>
      <w:pPr>
        <w:spacing w:after="120" w:line="276"/>
        <w:jc w:val="both"/>
      </w:pPr>
      <w:r>
        <w:rPr>
          <w:sz w:val="22"/>
          <w:szCs w:val="22"/>
        </w:rPr>
        <w:t xml:space="preserve">La cuenca del </w:t>
      </w:r>
      <w:r>
        <w:rPr>
          <w:b/>
          <w:bCs/>
          <w:sz w:val="22"/>
          <w:szCs w:val="22"/>
        </w:rPr>
        <w:t xml:space="preserve">río León</w:t>
      </w:r>
      <w:r>
        <w:rPr>
          <w:sz w:val="22"/>
          <w:szCs w:val="22"/>
        </w:rPr>
        <w:t xml:space="preserve"> es la más afectada, seguida de </w:t>
      </w:r>
      <w:r>
        <w:rPr>
          <w:b/>
          <w:bCs/>
          <w:sz w:val="22"/>
          <w:szCs w:val="22"/>
        </w:rPr>
        <w:t xml:space="preserve">río Turbo-Currulao</w:t>
      </w:r>
      <w:r>
        <w:rPr>
          <w:sz w:val="22"/>
          <w:szCs w:val="22"/>
        </w:rPr>
        <w:t xml:space="preserve"> y </w:t>
      </w:r>
      <w:r>
        <w:rPr>
          <w:b/>
          <w:bCs/>
          <w:sz w:val="22"/>
          <w:szCs w:val="22"/>
        </w:rPr>
        <w:t xml:space="preserve">río Sucio Alto</w:t>
      </w:r>
      <w:r>
        <w:rPr>
          <w:sz w:val="22"/>
          <w:szCs w:val="22"/>
        </w:rPr>
        <w:t xml:space="preserve">. Su deterioro tiene implicaciones directas sobre la oferta hídrica de una región agroindustrial intensiva en agua.</w:t>
      </w:r>
    </w:p>
    <w:p>
      <w:pPr>
        <w:pStyle w:val="Heading1"/>
      </w:pPr>
      <w:r>
        <w:t xml:space="preserve">12. Limitaciones y datos estimados</w:t>
      </w:r>
    </w:p>
    <w:p>
      <w:pPr>
        <w:spacing w:after="120" w:line="276"/>
        <w:jc w:val="both"/>
      </w:pPr>
      <w:r>
        <w:rPr>
          <w:sz w:val="22"/>
          <w:szCs w:val="22"/>
        </w:rPr>
        <w:t xml:space="preserve">El análisis es transparente respecto a sus límites. Tras una revisión archivo por archivo, el periodo pico 2015-2016 se recuperó como dato medido: aunque su geometría (.shp) se perdió, sobrevivió la tabla de atributos municipal oficial (Defor2015_2016_Mpios_Proj_Correg.dbf) con el área real por municipio y clase de los 19 municipios, de modo que su cifra dejó de ser una estimación. Solo tres periodos siguen sin medición municipal directa y sus cifras son estimadas o calibradas:</w:t>
      </w:r>
    </w:p>
    <w:p>
      <w:pPr>
        <w:pStyle w:val="ListParagraph"/>
        <w:numPr>
          <w:ilvl w:val="0"/>
          <w:numId w:val="2"/>
        </w:numPr>
        <w:spacing w:after="60"/>
      </w:pPr>
      <w:r>
        <w:rPr>
          <w:b/>
          <w:bCs/>
          <w:sz w:val="22"/>
          <w:szCs w:val="22"/>
        </w:rPr>
        <w:t xml:space="preserve">2010-2012: </w:t>
      </w:r>
      <w:r>
        <w:rPr>
          <w:sz w:val="22"/>
          <w:szCs w:val="22"/>
        </w:rPr>
        <w:t xml:space="preserve">No hay shapefile ni tabla municipal en el paquete; solo sobrevive la tabla de atributos del ráster departamental. Se estima por interpolación municipal calibrada contra el total departamental real y la participación histórica de la jurisdicción (~18 %).</w:t>
      </w:r>
    </w:p>
    <w:p>
      <w:pPr>
        <w:pStyle w:val="ListParagraph"/>
        <w:numPr>
          <w:ilvl w:val="0"/>
          <w:numId w:val="2"/>
        </w:numPr>
        <w:spacing w:after="60"/>
      </w:pPr>
      <w:r>
        <w:rPr>
          <w:b/>
          <w:bCs/>
          <w:sz w:val="22"/>
          <w:szCs w:val="22"/>
        </w:rPr>
        <w:t xml:space="preserve">2018-2019: </w:t>
      </w:r>
      <w:r>
        <w:rPr>
          <w:sz w:val="22"/>
          <w:szCs w:val="22"/>
        </w:rPr>
        <w:t xml:space="preserve">La carpeta del periodo no existe en el paquete. Se estima por interpolación de la tasa anual entre periodos vecinos.</w:t>
      </w:r>
    </w:p>
    <w:p>
      <w:pPr>
        <w:pStyle w:val="ListParagraph"/>
        <w:numPr>
          <w:ilvl w:val="0"/>
          <w:numId w:val="2"/>
        </w:numPr>
        <w:spacing w:after="60"/>
      </w:pPr>
      <w:r>
        <w:rPr>
          <w:b/>
          <w:bCs/>
          <w:sz w:val="22"/>
          <w:szCs w:val="22"/>
        </w:rPr>
        <w:t xml:space="preserve">2023-2024: </w:t>
      </w:r>
      <w:r>
        <w:rPr>
          <w:sz w:val="22"/>
          <w:szCs w:val="22"/>
        </w:rPr>
        <w:t xml:space="preserve">El shapefile municipal se perdió y las tablas de atributos que sobreviven (cuencas, áreas protegidas, consejos) no traen columna de área municipal. Se estima por tendencia.</w:t>
      </w:r>
    </w:p>
    <w:p>
      <w:pPr>
        <w:pStyle w:val="Heading2"/>
      </w:pPr>
      <w:r>
        <w:t xml:space="preserve">12.1. Cómo obtener los datos reales</w:t>
      </w:r>
    </w:p>
    <w:p>
      <w:pPr>
        <w:spacing w:after="120" w:line="276"/>
        <w:jc w:val="both"/>
      </w:pPr>
      <w:r>
        <w:rPr>
          <w:sz w:val="22"/>
          <w:szCs w:val="22"/>
        </w:rPr>
        <w:t xml:space="preserve">Los tres periodos restantes NO son recuperables a partir del paquete actual (se verificó archivo por archivo). Para reemplazar las estimaciones por cifras oficiales existen tres vías:</w:t>
      </w:r>
    </w:p>
    <w:p>
      <w:pPr>
        <w:pStyle w:val="ListParagraph"/>
        <w:numPr>
          <w:ilvl w:val="0"/>
          <w:numId w:val="2"/>
        </w:numPr>
        <w:spacing w:after="60"/>
      </w:pPr>
      <w:r>
        <w:rPr>
          <w:b/>
          <w:bCs/>
          <w:sz w:val="22"/>
          <w:szCs w:val="22"/>
        </w:rPr>
        <w:t xml:space="preserve">CORPOURABA (recomendada). </w:t>
      </w:r>
      <w:r>
        <w:rPr>
          <w:sz w:val="22"/>
          <w:szCs w:val="22"/>
        </w:rPr>
        <w:t xml:space="preserve">Solicitar a la Corporación los shapefiles municipales completos de 2010-2012, 2018-2019 y 2023-2024. La Corporación los generó en su momento; simplemente no quedaron en esta descarga o llegaron corruptos.</w:t>
      </w:r>
    </w:p>
    <w:p>
      <w:pPr>
        <w:pStyle w:val="ListParagraph"/>
        <w:numPr>
          <w:ilvl w:val="0"/>
          <w:numId w:val="2"/>
        </w:numPr>
        <w:spacing w:after="60"/>
      </w:pPr>
      <w:r>
        <w:rPr>
          <w:b/>
          <w:bCs/>
          <w:sz w:val="22"/>
          <w:szCs w:val="22"/>
        </w:rPr>
        <w:t xml:space="preserve">IDEAM — SMByC. </w:t>
      </w:r>
      <w:r>
        <w:rPr>
          <w:sz w:val="22"/>
          <w:szCs w:val="22"/>
        </w:rPr>
        <w:t xml:space="preserve">El Sistema de Monitoreo de Bosques y Carbono publica la deforestación anual nacional a nivel municipal (portal smbyc.ideam.gov.co y datos abiertos). Es la fuente autoritativa nacional de la que se deriva el monitoreo regional; permite reconstruir todos los años faltantes.</w:t>
      </w:r>
    </w:p>
    <w:p>
      <w:pPr>
        <w:pStyle w:val="ListParagraph"/>
        <w:numPr>
          <w:ilvl w:val="0"/>
          <w:numId w:val="2"/>
        </w:numPr>
        <w:spacing w:after="60"/>
      </w:pPr>
      <w:r>
        <w:rPr>
          <w:b/>
          <w:bCs/>
          <w:sz w:val="22"/>
          <w:szCs w:val="22"/>
        </w:rPr>
        <w:t xml:space="preserve">Reconstrucción parcial 2023-2024. </w:t>
      </w:r>
      <w:r>
        <w:rPr>
          <w:sz w:val="22"/>
          <w:szCs w:val="22"/>
        </w:rPr>
        <w:t xml:space="preserve">Las tablas de atributos que sobrevivieron (cuencas, áreas protegidas y consejos) permiten un conteo parcial por municipio, aunque sin hectáreas fiables; serviría solo como referencia mínima.</w:t>
      </w:r>
    </w:p>
    <w:p>
      <w:pPr>
        <w:spacing w:after="120" w:line="276"/>
        <w:jc w:val="both"/>
      </w:pPr>
      <w:r>
        <w:rPr>
          <w:b/>
          <w:bCs/>
          <w:sz w:val="22"/>
          <w:szCs w:val="22"/>
        </w:rPr>
        <w:t xml:space="preserve">Integración inmediata. </w:t>
      </w:r>
      <w:r>
        <w:rPr>
          <w:sz w:val="22"/>
          <w:szCs w:val="22"/>
        </w:rPr>
        <w:t xml:space="preserve">La plataforma está diseñada para incorporar estos datos sin reprogramación: basta colocar los archivos en la carpeta del periodo correspondiente y volver a ejecutar el ETL (</w:t>
      </w:r>
      <w:r>
        <w:rPr>
          <w:rFonts w:ascii="Consolas" w:cs="Consolas" w:eastAsia="Consolas" w:hAnsi="Consolas"/>
          <w:sz w:val="20"/>
          <w:szCs w:val="20"/>
        </w:rPr>
        <w:t xml:space="preserve">python etl/run_etl.py</w:t>
      </w:r>
      <w:r>
        <w:rPr>
          <w:sz w:val="22"/>
          <w:szCs w:val="22"/>
        </w:rPr>
        <w:t xml:space="preserve">). El sistema los detecta, reemplaza las estimaciones por las mediciones reales y actualiza automáticamente el mapa, el tablero y las descargas.</w:t>
      </w:r>
    </w:p>
    <w:p>
      <w:pPr>
        <w:pStyle w:val="Heading1"/>
      </w:pPr>
      <w:r>
        <w:t xml:space="preserve">13. Hallazgos clave</w:t>
      </w:r>
    </w:p>
    <w:p>
      <w:pPr>
        <w:spacing w:after="120" w:line="276"/>
        <w:jc w:val="both"/>
      </w:pPr>
      <w:r>
        <w:rPr>
          <w:sz w:val="22"/>
          <w:szCs w:val="22"/>
        </w:rPr>
        <w:t xml:space="preserve">Síntesis de los hallazgos verificados de la investigación, ordenados por relevancia:</w:t>
      </w:r>
    </w:p>
    <w:p>
      <w:pPr>
        <w:pStyle w:val="ListParagraph"/>
        <w:numPr>
          <w:ilvl w:val="0"/>
          <w:numId w:val="2"/>
        </w:numPr>
        <w:spacing w:after="60"/>
      </w:pPr>
      <w:r>
        <w:rPr>
          <w:b/>
          <w:bCs/>
          <w:sz w:val="22"/>
          <w:szCs w:val="22"/>
        </w:rPr>
        <w:t xml:space="preserve">La deforestación se desplaza hacia territorios étnicos </w:t>
      </w:r>
      <w:r>
        <w:rPr>
          <w:sz w:val="22"/>
          <w:szCs w:val="22"/>
        </w:rPr>
        <w:t xml:space="preserve">(40,9 % de la deforestación mapeada, 2019-2023). </w:t>
      </w:r>
      <w:r>
        <w:rPr>
          <w:sz w:val="22"/>
          <w:szCs w:val="22"/>
        </w:rPr>
        <w:t xml:space="preserve">En 2002-2010 los resguardos indígenas y consejos comunitarios concentraban el 16,4% de la deforestación mapeada; en 2019-2023 concentran el 40,9%. La presión se movió hacia los territorios colectivos mientras el resto de la jurisdicción desacelera.</w:t>
      </w:r>
    </w:p>
    <w:p>
      <w:pPr>
        <w:pStyle w:val="ListParagraph"/>
        <w:numPr>
          <w:ilvl w:val="0"/>
          <w:numId w:val="2"/>
        </w:numPr>
        <w:spacing w:after="60"/>
      </w:pPr>
      <w:r>
        <w:rPr>
          <w:b/>
          <w:bCs/>
          <w:sz w:val="22"/>
          <w:szCs w:val="22"/>
        </w:rPr>
        <w:t xml:space="preserve">La jurisdicción perdió 37.809 ha de bosque estable </w:t>
      </w:r>
      <w:r>
        <w:rPr>
          <w:sz w:val="22"/>
          <w:szCs w:val="22"/>
        </w:rPr>
        <w:t xml:space="preserve">(37.809 ha (2000-2002 → 2022-2023), 2000-2023). </w:t>
      </w:r>
      <w:r>
        <w:rPr>
          <w:sz w:val="22"/>
          <w:szCs w:val="22"/>
        </w:rPr>
        <w:t xml:space="preserve">El bosque estable pasó de 908.114 ha a 870.305 ha entre los periodos 2000-2002 y 2022-2023: una pérdida neta del 4,2% del bosque de la jurisdicción, medida con las mismas fuentes municipales en ambos extremos.</w:t>
      </w:r>
    </w:p>
    <w:p>
      <w:pPr>
        <w:pStyle w:val="ListParagraph"/>
        <w:numPr>
          <w:ilvl w:val="0"/>
          <w:numId w:val="2"/>
        </w:numPr>
        <w:spacing w:after="60"/>
      </w:pPr>
      <w:r>
        <w:rPr>
          <w:b/>
          <w:bCs/>
          <w:sz w:val="22"/>
          <w:szCs w:val="22"/>
        </w:rPr>
        <w:t xml:space="preserve">72% de la pérdida ocurre en frentes persistentes </w:t>
      </w:r>
      <w:r>
        <w:rPr>
          <w:sz w:val="22"/>
          <w:szCs w:val="22"/>
        </w:rPr>
        <w:t xml:space="preserve">(72,2 % de ha en celdas recurrentes, 2002-2023). </w:t>
      </w:r>
      <w:r>
        <w:rPr>
          <w:sz w:val="22"/>
          <w:szCs w:val="22"/>
        </w:rPr>
        <w:t xml:space="preserve">1.039 celdas de 2×2 km registran deforestación en 3 o más periodos y concentran el 72,2% de las hectáreas deforestadas mapeadas. No son eventos dispersos: son frentes activos y localizables, priorizables para control.</w:t>
      </w:r>
    </w:p>
    <w:p>
      <w:pPr>
        <w:pStyle w:val="ListParagraph"/>
        <w:numPr>
          <w:ilvl w:val="0"/>
          <w:numId w:val="2"/>
        </w:numPr>
        <w:spacing w:after="60"/>
      </w:pPr>
      <w:r>
        <w:rPr>
          <w:b/>
          <w:bCs/>
          <w:sz w:val="22"/>
          <w:szCs w:val="22"/>
        </w:rPr>
        <w:t xml:space="preserve">Turbo pierde más bosque; Carepa, la mayor fracción </w:t>
      </w:r>
      <w:r>
        <w:rPr>
          <w:sz w:val="22"/>
          <w:szCs w:val="22"/>
        </w:rPr>
        <w:t xml:space="preserve">(18.424 ha de bosque perdidas (Turbo), 2000-2023). </w:t>
      </w:r>
      <w:r>
        <w:rPr>
          <w:sz w:val="22"/>
          <w:szCs w:val="22"/>
        </w:rPr>
        <w:t xml:space="preserve">Turbo perdió 18.424 ha de bosque estable (-24,6% de su bosque de 2000). En proporción, Carepa es el caso más crítico: conserva solo el 56,8% de su bosque inicial (-43,2%). Necoclí (-23,8%) y Chigorodó (-12,6%) completan el cuadro del eje bananero.</w:t>
      </w:r>
    </w:p>
    <w:p>
      <w:pPr>
        <w:pStyle w:val="ListParagraph"/>
        <w:numPr>
          <w:ilvl w:val="0"/>
          <w:numId w:val="2"/>
        </w:numPr>
        <w:spacing w:after="60"/>
      </w:pPr>
      <w:r>
        <w:rPr>
          <w:b/>
          <w:bCs/>
          <w:sz w:val="22"/>
          <w:szCs w:val="22"/>
        </w:rPr>
        <w:t xml:space="preserve">3.362 ha deforestadas dentro de áreas protegidas </w:t>
      </w:r>
      <w:r>
        <w:rPr>
          <w:sz w:val="22"/>
          <w:szCs w:val="22"/>
        </w:rPr>
        <w:t xml:space="preserve">(3.362 ha (12,6% de lo mapeado), 2002-2023). </w:t>
      </w:r>
      <w:r>
        <w:rPr>
          <w:sz w:val="22"/>
          <w:szCs w:val="22"/>
        </w:rPr>
        <w:t xml:space="preserve">En los 10 periodos comparables, el 12,6% de la deforestación mapeada ocurrió dentro de áreas protegidas. El DRMI Serranía de Abibe concentra 1.903 ha (57% del total en AP), con pico de 585 ha en 2015-2016; le siguen la RFPN Carauta (514 ha) y el PNN Las Orquídeas (334 ha).</w:t>
      </w:r>
    </w:p>
    <w:p>
      <w:pPr>
        <w:pStyle w:val="ListParagraph"/>
        <w:numPr>
          <w:ilvl w:val="0"/>
          <w:numId w:val="2"/>
        </w:numPr>
        <w:spacing w:after="60"/>
      </w:pPr>
      <w:r>
        <w:rPr>
          <w:b/>
          <w:bCs/>
          <w:sz w:val="22"/>
          <w:szCs w:val="22"/>
        </w:rPr>
        <w:t xml:space="preserve">La regeneración solo compensa el 2% de la pérdida </w:t>
      </w:r>
      <w:r>
        <w:rPr>
          <w:sz w:val="22"/>
          <w:szCs w:val="22"/>
        </w:rPr>
        <w:t xml:space="preserve">(2,1 % de la deforestación medida, 2000-2023). </w:t>
      </w:r>
      <w:r>
        <w:rPr>
          <w:sz w:val="22"/>
          <w:szCs w:val="22"/>
        </w:rPr>
        <w:t xml:space="preserve">En los periodos con medición directa se regeneraron 726 ha frente a 34.542 ha deforestadas: una relación de 1 a 48. Arboletes (18,8%) y Urrao (9,6%) son los únicos municipios donde la regeneración supera el 5% de su pérdida.</w:t>
      </w:r>
    </w:p>
    <w:p>
      <w:pPr>
        <w:pStyle w:val="ListParagraph"/>
        <w:numPr>
          <w:ilvl w:val="0"/>
          <w:numId w:val="2"/>
        </w:numPr>
        <w:spacing w:after="60"/>
      </w:pPr>
      <w:r>
        <w:rPr>
          <w:b/>
          <w:bCs/>
          <w:sz w:val="22"/>
          <w:szCs w:val="22"/>
        </w:rPr>
        <w:t xml:space="preserve">La cuenca del río León es la más golpeada </w:t>
      </w:r>
      <w:r>
        <w:rPr>
          <w:sz w:val="22"/>
          <w:szCs w:val="22"/>
        </w:rPr>
        <w:t xml:space="preserve">(6.333 ha deforestadas, 2000-2023). </w:t>
      </w:r>
      <w:r>
        <w:rPr>
          <w:sz w:val="22"/>
          <w:szCs w:val="22"/>
        </w:rPr>
        <w:t xml:space="preserve">De las 7 cuencas monitoreadas (39% de la jurisdicción), la del río León acumula 6.333 ha deforestadas (2,9% de su superficie) con tendencia a empeorar. Le sigue Turbo-Currulao con 2.604 ha. Son cuencas abastecedoras del eje bananero.</w:t>
      </w:r>
    </w:p>
    <w:p>
      <w:pPr>
        <w:pStyle w:val="ListParagraph"/>
        <w:numPr>
          <w:ilvl w:val="0"/>
          <w:numId w:val="2"/>
        </w:numPr>
        <w:spacing w:after="60"/>
      </w:pPr>
      <w:r>
        <w:rPr>
          <w:b/>
          <w:bCs/>
          <w:sz w:val="22"/>
          <w:szCs w:val="22"/>
        </w:rPr>
        <w:t xml:space="preserve">El pueblo Embera Katío concentra la pérdida en resguardos </w:t>
      </w:r>
      <w:r>
        <w:rPr>
          <w:sz w:val="22"/>
          <w:szCs w:val="22"/>
        </w:rPr>
        <w:t xml:space="preserve">(3.478 ha (77% de la pérdida en resguardos), 2002-2023). </w:t>
      </w:r>
      <w:r>
        <w:rPr>
          <w:sz w:val="22"/>
          <w:szCs w:val="22"/>
        </w:rPr>
        <w:t xml:space="preserve">De las 4.513 ha deforestadas en resguardos con medición de área, 3.478 ha corresponden a territorios del pueblo Embera Katío. Los resguardos de Murindó (583 ha), Chaquenodá (558 ha) y Andabú (421 ha) encabezan el ranking.</w:t>
      </w:r>
    </w:p>
    <w:p>
      <w:pPr>
        <w:pStyle w:val="ListParagraph"/>
        <w:numPr>
          <w:ilvl w:val="0"/>
          <w:numId w:val="2"/>
        </w:numPr>
        <w:spacing w:after="60"/>
      </w:pPr>
      <w:r>
        <w:rPr>
          <w:b/>
          <w:bCs/>
          <w:sz w:val="22"/>
          <w:szCs w:val="22"/>
        </w:rPr>
        <w:t xml:space="preserve">Frentes activos 10 de 12 periodos en Mutatá y Dabeiba </w:t>
      </w:r>
      <w:r>
        <w:rPr>
          <w:sz w:val="22"/>
          <w:szCs w:val="22"/>
        </w:rPr>
        <w:t xml:space="preserve">(10 periodos con deforestación (máx. observado), 2002-2023). </w:t>
      </w:r>
      <w:r>
        <w:rPr>
          <w:sz w:val="22"/>
          <w:szCs w:val="22"/>
        </w:rPr>
        <w:t xml:space="preserve">Las celdas más recurrentes de la jurisdicción (piedemonte de Mutatá y Dabeiba, eje de la vía al mar) registran deforestación en 10 de los 12 periodos mapeados, con hasta 127 ha acumuladas por celda de 400 ha. Urrao (179), Turbo (165) y Dabeiba (152) tienen más celdas persistentes.</w:t>
      </w:r>
    </w:p>
    <w:p>
      <w:pPr>
        <w:pStyle w:val="ListParagraph"/>
        <w:numPr>
          <w:ilvl w:val="0"/>
          <w:numId w:val="2"/>
        </w:numPr>
        <w:spacing w:after="60"/>
      </w:pPr>
      <w:r>
        <w:rPr>
          <w:b/>
          <w:bCs/>
          <w:sz w:val="22"/>
          <w:szCs w:val="22"/>
        </w:rPr>
        <w:t xml:space="preserve">ACIA (Medio Atrato): el territorio colectivo más afectado </w:t>
      </w:r>
      <w:r>
        <w:rPr>
          <w:sz w:val="22"/>
          <w:szCs w:val="22"/>
        </w:rPr>
        <w:t xml:space="preserve">(1.255 ha deforestadas, 2002-2023). </w:t>
      </w:r>
      <w:r>
        <w:rPr>
          <w:sz w:val="22"/>
          <w:szCs w:val="22"/>
        </w:rPr>
        <w:t xml:space="preserve">El Consejo Comunitario Mayor del Medio Atrato acumula 1.255 ha deforestadas, el 55% de la pérdida en consejos comunitarios (2.269 ha). En proporción de su enorme territorio (174.778 ha) es un 0,7%, pero su tendencia acompaña la aceleración del Atrato.</w:t>
      </w:r>
    </w:p>
    <w:p>
      <w:pPr>
        <w:pStyle w:val="ListParagraph"/>
        <w:numPr>
          <w:ilvl w:val="0"/>
          <w:numId w:val="2"/>
        </w:numPr>
        <w:spacing w:after="60"/>
      </w:pPr>
      <w:r>
        <w:rPr>
          <w:b/>
          <w:bCs/>
          <w:sz w:val="22"/>
          <w:szCs w:val="22"/>
        </w:rPr>
        <w:t xml:space="preserve">Deforestación atomizada: 9.107 parches, mediana 1,7 ha </w:t>
      </w:r>
      <w:r>
        <w:rPr>
          <w:sz w:val="22"/>
          <w:szCs w:val="22"/>
        </w:rPr>
        <w:t xml:space="preserve">(9.107 parches ≥1 ha en 12 periodos, 2002-2023). </w:t>
      </w:r>
      <w:r>
        <w:rPr>
          <w:sz w:val="22"/>
          <w:szCs w:val="22"/>
        </w:rPr>
        <w:t xml:space="preserve">El 92% de los parches mide menos de 5 ha (64% del área); solo el 2,5% supera 10 ha pero aporta el 22,5% del área. El tamaño de parche es estable en el tiempo (~2,8 ha): el patrón es de colonización hormiga, no de grandes praderizaciones — con la excepción de Turbo (parche máximo de 738 ha).</w:t>
      </w:r>
    </w:p>
    <w:p>
      <w:pPr>
        <w:pStyle w:val="ListParagraph"/>
        <w:numPr>
          <w:ilvl w:val="0"/>
          <w:numId w:val="2"/>
        </w:numPr>
        <w:spacing w:after="60"/>
      </w:pPr>
      <w:r>
        <w:rPr>
          <w:b/>
          <w:bCs/>
          <w:sz w:val="22"/>
          <w:szCs w:val="22"/>
        </w:rPr>
        <w:t xml:space="preserve">Caribe y Centro desaceleran; Atrato, Nutibara y Urrao aceleran </w:t>
      </w:r>
      <w:r>
        <w:rPr>
          <w:sz w:val="22"/>
          <w:szCs w:val="22"/>
        </w:rPr>
        <w:t xml:space="preserve">(3 subregiones con tasa en aumento, 2017-2023 vs 2000-2008). </w:t>
      </w:r>
      <w:r>
        <w:rPr>
          <w:sz w:val="22"/>
          <w:szCs w:val="22"/>
        </w:rPr>
        <w:t xml:space="preserve">La tasa relativa de pérdida (deforestación anual sobre bosque remanente) baja en Caribe (1,0%→0,3%) y Centro (0,5%→0,3%), pero sube en Atrato, Nutibara y Urrao. La frontera de deforestación se corre hacia las subregiones más boscosas — coherente con el desplazamiento hacia territorios étnicos.</w:t>
      </w:r>
    </w:p>
    <w:p>
      <w:pPr>
        <w:pStyle w:val="ListParagraph"/>
        <w:numPr>
          <w:ilvl w:val="0"/>
          <w:numId w:val="2"/>
        </w:numPr>
        <w:spacing w:after="60"/>
      </w:pPr>
      <w:r>
        <w:rPr>
          <w:b/>
          <w:bCs/>
          <w:sz w:val="22"/>
          <w:szCs w:val="22"/>
        </w:rPr>
        <w:t xml:space="preserve">El pico dentro de áreas protegidas fue 2015-2016 </w:t>
      </w:r>
      <w:r>
        <w:rPr>
          <w:sz w:val="22"/>
          <w:szCs w:val="22"/>
        </w:rPr>
        <w:t xml:space="preserve">(730 ha en un solo periodo, 2015-2016). </w:t>
      </w:r>
      <w:r>
        <w:rPr>
          <w:sz w:val="22"/>
          <w:szCs w:val="22"/>
        </w:rPr>
        <w:t xml:space="preserve">Durante el pico regional post-acuerdo, las áreas protegidas recibieron 730 ha de deforestación en un año (14,7% del total del periodo). La participación de las AP en la deforestación total muestra leve tendencia a la baja (-0,2 puntos porcentuales/año).</w:t>
      </w:r>
    </w:p>
    <w:p>
      <w:pPr>
        <w:pStyle w:val="ListParagraph"/>
        <w:numPr>
          <w:ilvl w:val="0"/>
          <w:numId w:val="2"/>
        </w:numPr>
        <w:spacing w:after="60"/>
      </w:pPr>
      <w:r>
        <w:rPr>
          <w:b/>
          <w:bCs/>
          <w:sz w:val="22"/>
          <w:szCs w:val="22"/>
        </w:rPr>
        <w:t xml:space="preserve">11.642 ha deforestadas en las cuencas monitoreadas </w:t>
      </w:r>
      <w:r>
        <w:rPr>
          <w:sz w:val="22"/>
          <w:szCs w:val="22"/>
        </w:rPr>
        <w:t xml:space="preserve">(11.642 ha (11 periodos confiables), 2000-2023). </w:t>
      </w:r>
      <w:r>
        <w:rPr>
          <w:sz w:val="22"/>
          <w:szCs w:val="22"/>
        </w:rPr>
        <w:t xml:space="preserve">Las 7 cuencas priorizadas (723.026 ha, 38,9% de la jurisdicción) acumulan 11.642 ha de deforestación en los periodos con área confiable. El análisis detectó y excluyó un defecto de datos: en 2021-2022 la columna de área venía sin recortar contra la cuenca (2,7 M ha reportadas).</w:t>
      </w:r>
    </w:p>
    <w:p>
      <w:pPr>
        <w:pStyle w:val="Heading1"/>
      </w:pPr>
      <w:r>
        <w:t xml:space="preserve">14. Recomendaciones y mejoras de la plataforma</w:t>
      </w:r>
    </w:p>
    <w:p>
      <w:pPr>
        <w:spacing w:after="120" w:line="276"/>
        <w:jc w:val="both"/>
      </w:pPr>
      <w:r>
        <w:rPr>
          <w:sz w:val="22"/>
          <w:szCs w:val="22"/>
        </w:rPr>
        <w:t xml:space="preserve">El Observatorio es una base sólida y ampliable. Se proponen las siguientes mejoras, ordenadas por prioridad e impacto:</w:t>
      </w:r>
    </w:p>
    <w:p>
      <w:pPr>
        <w:pStyle w:val="Heading2"/>
      </w:pPr>
      <w:r>
        <w:t xml:space="preserve">14.1. Datos y análisis</w:t>
      </w:r>
    </w:p>
    <w:p>
      <w:pPr>
        <w:pStyle w:val="ListParagraph"/>
        <w:numPr>
          <w:ilvl w:val="0"/>
          <w:numId w:val="2"/>
        </w:numPr>
        <w:spacing w:after="60"/>
      </w:pPr>
      <w:r>
        <w:rPr>
          <w:b/>
          <w:bCs/>
          <w:sz w:val="22"/>
          <w:szCs w:val="22"/>
        </w:rPr>
        <w:t xml:space="preserve">Completar los periodos estimados. </w:t>
      </w:r>
      <w:r>
        <w:rPr>
          <w:sz w:val="22"/>
          <w:szCs w:val="22"/>
        </w:rPr>
        <w:t xml:space="preserve">Incorporar los datos reales de 2010-2012, 2018-2019 y 2023-2024 (sección 12) para eliminar las estimaciones restantes; 2015-2016 ya se recuperó como dato medido.</w:t>
      </w:r>
    </w:p>
    <w:p>
      <w:pPr>
        <w:pStyle w:val="ListParagraph"/>
        <w:numPr>
          <w:ilvl w:val="0"/>
          <w:numId w:val="2"/>
        </w:numPr>
        <w:spacing w:after="60"/>
      </w:pPr>
      <w:r>
        <w:rPr>
          <w:b/>
          <w:bCs/>
          <w:sz w:val="22"/>
          <w:szCs w:val="22"/>
        </w:rPr>
        <w:t xml:space="preserve">Cerrar los cruces cartográficos pendientes. </w:t>
      </w:r>
      <w:r>
        <w:rPr>
          <w:sz w:val="22"/>
          <w:szCs w:val="22"/>
        </w:rPr>
        <w:t xml:space="preserve">Finalizar los cruces con ecosistemas estratégicos (acuíferos, humedales, manglares) y con la zonificación de conflicto de uso (aptitud forestal vs. realidad), pendientes por el peso de los shapefiles.</w:t>
      </w:r>
    </w:p>
    <w:p>
      <w:pPr>
        <w:pStyle w:val="ListParagraph"/>
        <w:numPr>
          <w:ilvl w:val="0"/>
          <w:numId w:val="2"/>
        </w:numPr>
        <w:spacing w:after="60"/>
      </w:pPr>
      <w:r>
        <w:rPr>
          <w:b/>
          <w:bCs/>
          <w:sz w:val="22"/>
          <w:szCs w:val="22"/>
        </w:rPr>
        <w:t xml:space="preserve">Modelo predictivo mejorado. </w:t>
      </w:r>
      <w:r>
        <w:rPr>
          <w:sz w:val="22"/>
          <w:szCs w:val="22"/>
        </w:rPr>
        <w:t xml:space="preserve">Sustituir la regresión lineal actual por un modelo que incorpore variables explicativas (cercanía a vías, frentes persistentes, presión previa) para pronósticos por municipio más robustos.</w:t>
      </w:r>
    </w:p>
    <w:p>
      <w:pPr>
        <w:pStyle w:val="ListParagraph"/>
        <w:numPr>
          <w:ilvl w:val="0"/>
          <w:numId w:val="2"/>
        </w:numPr>
        <w:spacing w:after="60"/>
      </w:pPr>
      <w:r>
        <w:rPr>
          <w:b/>
          <w:bCs/>
          <w:sz w:val="22"/>
          <w:szCs w:val="22"/>
        </w:rPr>
        <w:t xml:space="preserve">Alertas tempranas. </w:t>
      </w:r>
      <w:r>
        <w:rPr>
          <w:sz w:val="22"/>
          <w:szCs w:val="22"/>
        </w:rPr>
        <w:t xml:space="preserve">Integrar las alertas trimestrales de deforestación del IDEAM para pasar de un monitoreo bienal a un seguimiento casi en tiempo real.</w:t>
      </w:r>
    </w:p>
    <w:p>
      <w:pPr>
        <w:pStyle w:val="Heading2"/>
      </w:pPr>
      <w:r>
        <w:t xml:space="preserve">14.2. Funcionalidad y experiencia de usuario</w:t>
      </w:r>
    </w:p>
    <w:p>
      <w:pPr>
        <w:pStyle w:val="ListParagraph"/>
        <w:numPr>
          <w:ilvl w:val="0"/>
          <w:numId w:val="2"/>
        </w:numPr>
        <w:spacing w:after="60"/>
      </w:pPr>
      <w:r>
        <w:rPr>
          <w:b/>
          <w:bCs/>
          <w:sz w:val="22"/>
          <w:szCs w:val="22"/>
        </w:rPr>
        <w:t xml:space="preserve">Comparador de territorios en el tiempo. </w:t>
      </w:r>
      <w:r>
        <w:rPr>
          <w:sz w:val="22"/>
          <w:szCs w:val="22"/>
        </w:rPr>
        <w:t xml:space="preserve">Gráfico de línea que muestre la evolución de la deforestación de un área protegida, POMCA o resguardo a lo largo de todos los periodos.</w:t>
      </w:r>
    </w:p>
    <w:p>
      <w:pPr>
        <w:pStyle w:val="ListParagraph"/>
        <w:numPr>
          <w:ilvl w:val="0"/>
          <w:numId w:val="2"/>
        </w:numPr>
        <w:spacing w:after="60"/>
      </w:pPr>
      <w:r>
        <w:rPr>
          <w:b/>
          <w:bCs/>
          <w:sz w:val="22"/>
          <w:szCs w:val="22"/>
        </w:rPr>
        <w:t xml:space="preserve">Descarga de reportes por municipio. </w:t>
      </w:r>
      <w:r>
        <w:rPr>
          <w:sz w:val="22"/>
          <w:szCs w:val="22"/>
        </w:rPr>
        <w:t xml:space="preserve">Botón que genere una ficha PDF/Word automática por municipio con sus cifras clave.</w:t>
      </w:r>
    </w:p>
    <w:p>
      <w:pPr>
        <w:pStyle w:val="ListParagraph"/>
        <w:numPr>
          <w:ilvl w:val="0"/>
          <w:numId w:val="2"/>
        </w:numPr>
        <w:spacing w:after="60"/>
      </w:pPr>
      <w:r>
        <w:rPr>
          <w:b/>
          <w:bCs/>
          <w:sz w:val="22"/>
          <w:szCs w:val="22"/>
        </w:rPr>
        <w:t xml:space="preserve">Búsqueda y geolocalización. </w:t>
      </w:r>
      <w:r>
        <w:rPr>
          <w:sz w:val="22"/>
          <w:szCs w:val="22"/>
        </w:rPr>
        <w:t xml:space="preserve">Buscador de municipios/territorios y opción de centrar el mapa en la ubicación del usuario.</w:t>
      </w:r>
    </w:p>
    <w:p>
      <w:pPr>
        <w:pStyle w:val="ListParagraph"/>
        <w:numPr>
          <w:ilvl w:val="0"/>
          <w:numId w:val="2"/>
        </w:numPr>
        <w:spacing w:after="60"/>
      </w:pPr>
      <w:r>
        <w:rPr>
          <w:b/>
          <w:bCs/>
          <w:sz w:val="22"/>
          <w:szCs w:val="22"/>
        </w:rPr>
        <w:t xml:space="preserve">Accesibilidad y multilenguaje. </w:t>
      </w:r>
      <w:r>
        <w:rPr>
          <w:sz w:val="22"/>
          <w:szCs w:val="22"/>
        </w:rPr>
        <w:t xml:space="preserve">Auditoría de accesibilidad (lectores de pantalla, contraste) y versión en inglés para divulgación internacional.</w:t>
      </w:r>
    </w:p>
    <w:p>
      <w:pPr>
        <w:pStyle w:val="ListParagraph"/>
        <w:numPr>
          <w:ilvl w:val="0"/>
          <w:numId w:val="2"/>
        </w:numPr>
        <w:spacing w:after="60"/>
      </w:pPr>
      <w:r>
        <w:rPr>
          <w:b/>
          <w:bCs/>
          <w:sz w:val="22"/>
          <w:szCs w:val="22"/>
        </w:rPr>
        <w:t xml:space="preserve">Cuadros de indicadores imprimibles. </w:t>
      </w:r>
      <w:r>
        <w:rPr>
          <w:sz w:val="22"/>
          <w:szCs w:val="22"/>
        </w:rPr>
        <w:t xml:space="preserve">Vista «para imprimir» del tablero, útil en informes institucionales.</w:t>
      </w:r>
    </w:p>
    <w:p>
      <w:pPr>
        <w:pStyle w:val="Heading2"/>
      </w:pPr>
      <w:r>
        <w:t xml:space="preserve">14.3. Técnicas y despliegue</w:t>
      </w:r>
    </w:p>
    <w:p>
      <w:pPr>
        <w:pStyle w:val="ListParagraph"/>
        <w:numPr>
          <w:ilvl w:val="0"/>
          <w:numId w:val="2"/>
        </w:numPr>
        <w:spacing w:after="60"/>
      </w:pPr>
      <w:r>
        <w:rPr>
          <w:b/>
          <w:bCs/>
          <w:sz w:val="22"/>
          <w:szCs w:val="22"/>
        </w:rPr>
        <w:t xml:space="preserve">Base de datos espacial. </w:t>
      </w:r>
      <w:r>
        <w:rPr>
          <w:sz w:val="22"/>
          <w:szCs w:val="22"/>
        </w:rPr>
        <w:t xml:space="preserve">Migrar de archivos a PostgreSQL + PostGIS (ya soportado) para escalar consultas y habilitar filtros espaciales dinámicos.</w:t>
      </w:r>
    </w:p>
    <w:p>
      <w:pPr>
        <w:pStyle w:val="ListParagraph"/>
        <w:numPr>
          <w:ilvl w:val="0"/>
          <w:numId w:val="2"/>
        </w:numPr>
        <w:spacing w:after="60"/>
      </w:pPr>
      <w:r>
        <w:rPr>
          <w:b/>
          <w:bCs/>
          <w:sz w:val="22"/>
          <w:szCs w:val="22"/>
        </w:rPr>
        <w:t xml:space="preserve">Publicación en línea. </w:t>
      </w:r>
      <w:r>
        <w:rPr>
          <w:sz w:val="22"/>
          <w:szCs w:val="22"/>
        </w:rPr>
        <w:t xml:space="preserve">Desplegar el frontend (Vercel/Netlify) y el backend (contenedor Docker) con un dominio institucional, y teselas vectoriales para acelerar el mapa.</w:t>
      </w:r>
    </w:p>
    <w:p>
      <w:pPr>
        <w:pStyle w:val="ListParagraph"/>
        <w:numPr>
          <w:ilvl w:val="0"/>
          <w:numId w:val="2"/>
        </w:numPr>
        <w:spacing w:after="60"/>
      </w:pPr>
      <w:r>
        <w:rPr>
          <w:b/>
          <w:bCs/>
          <w:sz w:val="22"/>
          <w:szCs w:val="22"/>
        </w:rPr>
        <w:t xml:space="preserve">Actualización automatizada. </w:t>
      </w:r>
      <w:r>
        <w:rPr>
          <w:sz w:val="22"/>
          <w:szCs w:val="22"/>
        </w:rPr>
        <w:t xml:space="preserve">Programar la ejecución del ETL cuando CORPOURABA publique un nuevo periodo, con validación automática de calidad.</w:t>
      </w:r>
    </w:p>
    <w:p>
      <w:pPr>
        <w:pStyle w:val="ListParagraph"/>
        <w:numPr>
          <w:ilvl w:val="0"/>
          <w:numId w:val="2"/>
        </w:numPr>
        <w:spacing w:after="60"/>
      </w:pPr>
      <w:r>
        <w:rPr>
          <w:b/>
          <w:bCs/>
          <w:sz w:val="22"/>
          <w:szCs w:val="22"/>
        </w:rPr>
        <w:t xml:space="preserve">API pública documentada. </w:t>
      </w:r>
      <w:r>
        <w:rPr>
          <w:sz w:val="22"/>
          <w:szCs w:val="22"/>
        </w:rPr>
        <w:t xml:space="preserve">Exponer la API REST con documentación abierta para que terceros (academia, prensa, otras CAR) reutilicen los datos.</w:t>
      </w:r>
    </w:p>
    <w:p>
      <w:pPr>
        <w:pStyle w:val="Heading1"/>
      </w:pPr>
      <w:r>
        <w:t xml:space="preserve">15. Conclusiones</w:t>
      </w:r>
    </w:p>
    <w:p>
      <w:pPr>
        <w:spacing w:after="120" w:line="276"/>
        <w:jc w:val="both"/>
      </w:pPr>
      <w:r>
        <w:rPr>
          <w:sz w:val="22"/>
          <w:szCs w:val="22"/>
        </w:rPr>
        <w:t xml:space="preserve">En 24 años, la jurisdicción de CORPOURABA perdió cerca de 46.846 hectáreas de bosque. Aunque la tasa anual muestra una tendencia general a la baja frente a los picos de la década de 2000 y de 2015-2016, la deforestación no se detiene: se concentra en frentes persistentes y se desplaza hacia las subregiones más boscosas y hacia los territorios colectivos, áreas protegidas y reservas de ley.</w:t>
      </w:r>
    </w:p>
    <w:p>
      <w:pPr>
        <w:spacing w:after="120" w:line="276"/>
        <w:jc w:val="both"/>
      </w:pPr>
      <w:r>
        <w:rPr>
          <w:sz w:val="22"/>
          <w:szCs w:val="22"/>
        </w:rPr>
        <w:t xml:space="preserve">La regeneración natural es marcadamente insuficiente para compensar la pérdida, lo que subraya la necesidad de intervención activa (restauración, acuerdos de conservación, control territorial focalizado en los frentes persistentes identificados). El Observatorio ofrece, por primera vez, una lectura integrada y espacialmente explícita de este fenómeno para apoyar la toma de decisiones, el análisis técnico, la educación ambiental y la divulgación pública.</w:t>
      </w:r>
    </w:p>
    <w:p>
      <w:pPr>
        <w:pStyle w:val="Heading1"/>
      </w:pPr>
      <w:r>
        <w:t xml:space="preserve">Anexo. Fuentes por periodo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340"/>
        <w:gridCol w:w="1560"/>
        <w:gridCol w:w="5460"/>
      </w:tblGrid>
      <w:tr>
        <w:trPr>
          <w:tblHeader/>
        </w:trPr>
        <w:tc>
          <w:tcPr>
            <w:tcW w:type="dxa" w:w="2340"/>
            <w:tcBorders>
              <w:top w:val="single" w:color="D1D5DB" w:sz="1"/>
              <w:left w:val="single" w:color="D1D5DB" w:sz="1"/>
              <w:bottom w:val="single" w:color="D1D5DB" w:sz="1"/>
              <w:right w:val="single" w:color="D1D5DB" w:sz="1"/>
            </w:tcBorders>
            <w:shd w:fill="1F7347" w:val="clear"/>
            <w:vAlign w:val="center"/>
          </w:tcPr>
          <w:p>
            <w:pPr>
              <w:jc w:val="left"/>
            </w:pPr>
            <w:r>
              <w:rPr>
                <w:b/>
                <w:bCs/>
                <w:color w:val="FFFFFF"/>
                <w:sz w:val="20"/>
                <w:szCs w:val="20"/>
              </w:rPr>
              <w:t xml:space="preserve">Periodo</w:t>
            </w:r>
          </w:p>
        </w:tc>
        <w:tc>
          <w:tcPr>
            <w:tcW w:type="dxa" w:w="156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Años</w:t>
            </w:r>
          </w:p>
        </w:tc>
        <w:tc>
          <w:tcPr>
            <w:tcW w:type="dxa" w:w="5460"/>
            <w:tcBorders>
              <w:top w:val="single" w:color="D1D5DB" w:sz="1"/>
              <w:left w:val="single" w:color="D1D5DB" w:sz="1"/>
              <w:bottom w:val="single" w:color="D1D5DB" w:sz="1"/>
              <w:right w:val="single" w:color="D1D5DB" w:sz="1"/>
            </w:tcBorders>
            <w:shd w:fill="1F7347" w:val="clear"/>
            <w:vAlign w:val="center"/>
          </w:tcPr>
          <w:p>
            <w:pPr>
              <w:jc w:val="center"/>
            </w:pPr>
            <w:r>
              <w:rPr>
                <w:b/>
                <w:bCs/>
                <w:color w:val="FFFFFF"/>
                <w:sz w:val="20"/>
                <w:szCs w:val="20"/>
              </w:rPr>
              <w:t xml:space="preserve">Fuente del dato municipal</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2000-2002</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2</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excel</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2002-2004</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2004-2006</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2</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2006-2008</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2008-2010</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2</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2010-2012</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2</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estimado</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2012-2013</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raster (zonal stats)</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2013-2014</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2014-2015</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excel</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2015-2016</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tabla municipal (dbf)</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2016-2017</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2017-2018</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2018-2019</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estimado</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2019-2020</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2020-2021</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2021-2022</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tcPr>
          <w:p>
            <w:pPr>
              <w:jc w:val="left"/>
            </w:pPr>
            <w:r>
              <w:rPr>
                <w:sz w:val="20"/>
                <w:szCs w:val="20"/>
              </w:rPr>
              <w:t xml:space="preserve">2022-2023</w:t>
            </w:r>
          </w:p>
        </w:tc>
        <w:tc>
          <w:tcPr>
            <w:tcW w:type="dxa" w:w="1560"/>
            <w:tcBorders>
              <w:top w:val="single" w:color="D1D5DB" w:sz="1"/>
              <w:left w:val="single" w:color="D1D5DB" w:sz="1"/>
              <w:bottom w:val="single" w:color="D1D5DB" w:sz="1"/>
              <w:right w:val="single" w:color="D1D5DB" w:sz="1"/>
            </w:tcBorders>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tcPr>
          <w:p>
            <w:pPr>
              <w:jc w:val="center"/>
            </w:pPr>
            <w:r>
              <w:rPr>
                <w:sz w:val="20"/>
                <w:szCs w:val="20"/>
              </w:rPr>
              <w:t xml:space="preserve">shapefile</w:t>
            </w:r>
          </w:p>
        </w:tc>
      </w:tr>
      <w:tr>
        <w:tc>
          <w:tcPr>
            <w:tcW w:type="dxa" w:w="2340"/>
            <w:tcBorders>
              <w:top w:val="single" w:color="D1D5DB" w:sz="1"/>
              <w:left w:val="single" w:color="D1D5DB" w:sz="1"/>
              <w:bottom w:val="single" w:color="D1D5DB" w:sz="1"/>
              <w:right w:val="single" w:color="D1D5DB" w:sz="1"/>
            </w:tcBorders>
            <w:shd w:fill="F3F6F4" w:val="clear"/>
          </w:tcPr>
          <w:p>
            <w:pPr>
              <w:jc w:val="left"/>
            </w:pPr>
            <w:r>
              <w:rPr>
                <w:sz w:val="20"/>
                <w:szCs w:val="20"/>
              </w:rPr>
              <w:t xml:space="preserve">2023-2024</w:t>
            </w:r>
          </w:p>
        </w:tc>
        <w:tc>
          <w:tcPr>
            <w:tcW w:type="dxa" w:w="15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1</w:t>
            </w:r>
          </w:p>
        </w:tc>
        <w:tc>
          <w:tcPr>
            <w:tcW w:type="dxa" w:w="5460"/>
            <w:tcBorders>
              <w:top w:val="single" w:color="D1D5DB" w:sz="1"/>
              <w:left w:val="single" w:color="D1D5DB" w:sz="1"/>
              <w:bottom w:val="single" w:color="D1D5DB" w:sz="1"/>
              <w:right w:val="single" w:color="D1D5DB" w:sz="1"/>
            </w:tcBorders>
            <w:shd w:fill="F3F6F4" w:val="clear"/>
          </w:tcPr>
          <w:p>
            <w:pPr>
              <w:jc w:val="center"/>
            </w:pPr>
            <w:r>
              <w:rPr>
                <w:sz w:val="20"/>
                <w:szCs w:val="20"/>
              </w:rPr>
              <w:t xml:space="preserve">estimado</w:t>
            </w:r>
          </w:p>
        </w:tc>
      </w:tr>
    </w:tbl>
    <w:p>
      <w:pPr>
        <w:spacing w:after="80"/>
      </w:pPr>
      <w:r>
        <w:t xml:space="preserve"/>
      </w:r>
    </w:p>
    <w:p>
      <w:pPr>
        <w:spacing w:after="120" w:line="276"/>
        <w:jc w:val="left"/>
      </w:pPr>
      <w:r>
        <w:rPr>
          <w:sz w:val="22"/>
          <w:szCs w:val="22"/>
        </w:rPr>
        <w:t xml:space="preserve">CRS de origen: </w:t>
      </w:r>
      <w:r>
        <w:rPr>
          <w:b/>
          <w:bCs/>
          <w:sz w:val="22"/>
          <w:szCs w:val="22"/>
        </w:rPr>
        <w:t xml:space="preserve">EPSG:3115 / MAGNA-SIRGAS Bogotá (métricos)</w:t>
      </w:r>
      <w:r>
        <w:rPr>
          <w:sz w:val="22"/>
          <w:szCs w:val="22"/>
        </w:rPr>
        <w:t xml:space="preserve">  ·  CRS de publicación: </w:t>
      </w:r>
      <w:r>
        <w:rPr>
          <w:b/>
          <w:bCs/>
          <w:sz w:val="22"/>
          <w:szCs w:val="22"/>
        </w:rPr>
        <w:t xml:space="preserve">EPSG:4326</w:t>
      </w:r>
    </w:p>
    <w:p>
      <w:pPr>
        <w:spacing w:after="120" w:line="276"/>
        <w:jc w:val="left"/>
      </w:pPr>
      <w:r>
        <w:rPr>
          <w:sz w:val="22"/>
          <w:szCs w:val="22"/>
        </w:rPr>
        <w:t xml:space="preserve">Atribución sugerida: </w:t>
      </w:r>
      <w:r>
        <w:rPr>
          <w:i/>
          <w:iCs/>
          <w:sz w:val="20"/>
          <w:szCs w:val="20"/>
        </w:rPr>
        <w:t xml:space="preserve">CORPOURABA — Observatorio de Deforestación de Urabá (2000–2024). Elaborado por Alberto Vivas y Carlos Zuluaga.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Observatorio de Deforestación de Urabá — CORPOURABA   |   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B3D25"/>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7347"/>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6a3d9382a354218a3ffe50d6510aa893e2937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Deforestación CORPOURABA 2000-2024</dc:title>
  <dc:creator>Alberto Vivas y Carlos Zuluaga</dc:creator>
  <cp:lastModifiedBy>Un-named</cp:lastModifiedBy>
  <cp:revision>1</cp:revision>
  <dcterms:created xsi:type="dcterms:W3CDTF">2026-07-05T00:07:26.761Z</dcterms:created>
  <dcterms:modified xsi:type="dcterms:W3CDTF">2026-07-05T00:07:26.762Z</dcterms:modified>
</cp:coreProperties>
</file>

<file path=docProps/custom.xml><?xml version="1.0" encoding="utf-8"?>
<Properties xmlns="http://schemas.openxmlformats.org/officeDocument/2006/custom-properties" xmlns:vt="http://schemas.openxmlformats.org/officeDocument/2006/docPropsVTypes"/>
</file>