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70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rpoura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0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color w:val="6B7280"/>
          <w:sz w:val="21"/>
        </w:rPr>
        <w:t>OBSERVATORIO DE DEFORESTACIÓN CORPOURABA</w:t>
      </w:r>
    </w:p>
    <w:p>
      <w:pPr>
        <w:spacing w:after="80"/>
        <w:pBdr>
          <w:bottom w:val="single" w:sz="6" w:space="2" w:color="1F7347"/>
        </w:pBdr>
      </w:pPr>
      <w:r>
        <w:rPr>
          <w:b/>
          <w:color w:val="0B3D25"/>
          <w:sz w:val="48"/>
        </w:rPr>
        <w:t>Índice del Soporte Documental</w:t>
      </w:r>
    </w:p>
    <w:p>
      <w:pPr>
        <w:spacing w:after="200"/>
      </w:pPr>
      <w:r>
        <w:rPr>
          <w:color w:val="6B7280"/>
          <w:sz w:val="20"/>
        </w:rPr>
        <w:t>CORPOURABA — Corporación para el Desarrollo Sostenible del Urabá</w:t>
        <w:br/>
        <w:t>Soporte documental de la plataforma web · Deforestación 2000–2024</w:t>
        <w:br/>
        <w:t>Plataforma creada por Alberto Vivas y Carlos Zuluaga</w:t>
      </w:r>
    </w:p>
    <w:p>
      <w:pPr>
        <w:spacing w:after="120"/>
      </w:pPr>
      <w:r>
        <w:rPr>
          <w:color w:val="222A25"/>
          <w:sz w:val="21"/>
        </w:rPr>
        <w:t xml:space="preserve">Este documento presenta el </w:t>
      </w:r>
      <w:r>
        <w:rPr>
          <w:b/>
          <w:color w:val="222A25"/>
          <w:sz w:val="21"/>
        </w:rPr>
        <w:t>soporte documental</w:t>
      </w:r>
      <w:r>
        <w:rPr>
          <w:color w:val="222A25"/>
          <w:sz w:val="21"/>
        </w:rPr>
        <w:t xml:space="preserve"> de la plataforma web </w:t>
      </w:r>
      <w:r>
        <w:rPr>
          <w:b/>
          <w:color w:val="222A25"/>
          <w:sz w:val="21"/>
        </w:rPr>
        <w:t>Observatorio de Deforestación CORPOURABA</w:t>
      </w:r>
      <w:r>
        <w:rPr>
          <w:color w:val="222A25"/>
          <w:sz w:val="21"/>
        </w:rPr>
        <w:t xml:space="preserve">, que monitorea la deforestación en los 19 municipios de la jurisdicción de CORPOURABA (Urabá y occidente de Antioquia) durante el periodo </w:t>
      </w:r>
      <w:r>
        <w:rPr>
          <w:b/>
          <w:color w:val="222A25"/>
          <w:sz w:val="21"/>
        </w:rPr>
        <w:t>2000–2024</w:t>
      </w:r>
      <w:r>
        <w:rPr>
          <w:color w:val="222A25"/>
          <w:sz w:val="21"/>
        </w:rPr>
        <w:t>.</w:t>
      </w:r>
    </w:p>
    <w:p>
      <w:pPr>
        <w:spacing w:after="120"/>
      </w:pPr>
      <w:r>
        <w:rPr>
          <w:color w:val="222A25"/>
          <w:sz w:val="21"/>
        </w:rPr>
        <w:t xml:space="preserve">El soporte reúne, en una sola carpeta, la documentación necesaria para </w:t>
      </w:r>
      <w:r>
        <w:rPr>
          <w:b/>
          <w:color w:val="222A25"/>
          <w:sz w:val="21"/>
        </w:rPr>
        <w:t>usar, entender, mantener y auditar</w:t>
      </w:r>
      <w:r>
        <w:rPr>
          <w:color w:val="222A25"/>
          <w:sz w:val="21"/>
        </w:rPr>
        <w:t xml:space="preserve"> la plataforma y sus datos. Está dirigido a la Corporación (gestión y decisión), al equipo técnico y a los usuarios finales (funcionarios, docentes y público).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Documentos que lo componen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type="dxa" w:w="2412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2412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 quién</w:t>
            </w:r>
          </w:p>
        </w:tc>
        <w:tc>
          <w:tcPr>
            <w:tcW w:type="dxa" w:w="2412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Qué contiene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Ficha Técnica de la Plataforma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Dirección / general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Identificación, alcance, cobertura, cifras clave, módulos, stack y estado del dato en 2–3 páginas.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Manual de Usuario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Usuarios no técnicos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Cómo usar cada módulo paso a paso y cómo interpretar las cifras.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Documentación Técnica (Manual del Sistema)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Ingeniero / desarrollador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Arquitectura, estructura, ejecución local, regeneración de datos y despliegue.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Metodología y Fuentes de Datos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Técnico / auditoría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Fuentes, pipeline ETL, calibraciones, control de calidad y limitaciones.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Diccionario de Datos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Técnico / analista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Cada dataset y campo, con tablas de códigos (clases, subregiones, municipios).</w:t>
            </w:r>
          </w:p>
        </w:tc>
      </w:tr>
    </w:tbl>
    <w:p>
      <w:pPr>
        <w:spacing w:after="120"/>
      </w:pPr>
      <w:r>
        <w:rPr>
          <w:color w:val="222A25"/>
          <w:sz w:val="21"/>
        </w:rPr>
        <w:t xml:space="preserve">Cada documento existe en dos formatos: </w:t>
      </w:r>
      <w:r>
        <w:rPr>
          <w:b/>
          <w:color w:val="222A25"/>
          <w:sz w:val="21"/>
        </w:rPr>
        <w:t>`.docx`</w:t>
      </w:r>
      <w:r>
        <w:rPr>
          <w:color w:val="222A25"/>
          <w:sz w:val="21"/>
        </w:rPr>
        <w:t xml:space="preserve"> (Word, para lectura e impresión) y </w:t>
      </w:r>
      <w:r>
        <w:rPr>
          <w:b/>
          <w:color w:val="222A25"/>
          <w:sz w:val="21"/>
        </w:rPr>
        <w:t>`.md`</w:t>
      </w:r>
      <w:r>
        <w:rPr>
          <w:color w:val="222A25"/>
          <w:sz w:val="21"/>
        </w:rPr>
        <w:t xml:space="preserve"> (Markdown, fuente editable y versionable).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La plataforma de un vistazo</w:t>
      </w:r>
    </w:p>
    <w:p>
      <w:pPr>
        <w:pStyle w:val="ListBullet"/>
        <w:spacing w:after="40"/>
        <w:ind w:left="360"/>
      </w:pPr>
      <w:r>
        <w:rPr>
          <w:b/>
          <w:sz w:val="21"/>
        </w:rPr>
        <w:t>Entidad:</w:t>
      </w:r>
      <w:r>
        <w:rPr>
          <w:sz w:val="21"/>
        </w:rPr>
        <w:t xml:space="preserve"> CORPOURABA — Corporación para el Desarrollo Sostenible del Urabá.</w:t>
      </w:r>
    </w:p>
    <w:p>
      <w:pPr>
        <w:pStyle w:val="ListBullet"/>
        <w:spacing w:after="40"/>
        <w:ind w:left="360"/>
      </w:pPr>
      <w:r>
        <w:rPr>
          <w:b/>
          <w:sz w:val="21"/>
        </w:rPr>
        <w:t>Cobertura:</w:t>
      </w:r>
      <w:r>
        <w:rPr>
          <w:sz w:val="21"/>
        </w:rPr>
        <w:t xml:space="preserve"> 19 municipios · 2000–2024 · 18 periodos de monitoreo.</w:t>
      </w:r>
    </w:p>
    <w:p>
      <w:pPr>
        <w:pStyle w:val="ListBullet"/>
        <w:spacing w:after="40"/>
        <w:ind w:left="360"/>
      </w:pPr>
      <w:r>
        <w:rPr>
          <w:b/>
          <w:sz w:val="21"/>
        </w:rPr>
        <w:t>Cifra central:</w:t>
      </w:r>
      <w:r>
        <w:rPr>
          <w:sz w:val="21"/>
        </w:rPr>
        <w:t xml:space="preserve"> ≈ 46.846 ha deforestadas (2000–2024); pico histórico en 2015-2016.</w:t>
      </w:r>
    </w:p>
    <w:p>
      <w:pPr>
        <w:pStyle w:val="ListBullet"/>
        <w:spacing w:after="40"/>
        <w:ind w:left="360"/>
      </w:pPr>
      <w:r>
        <w:rPr>
          <w:b/>
          <w:sz w:val="21"/>
        </w:rPr>
        <w:t>Módulos:</w:t>
      </w:r>
      <w:r>
        <w:rPr>
          <w:sz w:val="21"/>
        </w:rPr>
        <w:t xml:space="preserve"> Inicio, Dashboard analítico, Mapa interactivo, Visor de deforestación, Aprende (PRAES) y Centro de descargas.</w:t>
      </w:r>
    </w:p>
    <w:p>
      <w:pPr>
        <w:pStyle w:val="ListBullet"/>
        <w:spacing w:after="40"/>
        <w:ind w:left="360"/>
      </w:pPr>
      <w:r>
        <w:rPr>
          <w:b/>
          <w:sz w:val="21"/>
        </w:rPr>
        <w:t>Tecnología:</w:t>
      </w:r>
      <w:r>
        <w:rPr>
          <w:sz w:val="21"/>
        </w:rPr>
        <w:t xml:space="preserve"> Next.js 14 (TypeScript, Tailwind, react-leaflet, Recharts); datos procesados con un ETL en Python (GeoPandas). Desplegada en Vercel.</w:t>
      </w:r>
    </w:p>
    <w:p>
      <w:pPr>
        <w:pStyle w:val="ListBullet"/>
        <w:spacing w:after="40"/>
        <w:ind w:left="360"/>
      </w:pPr>
      <w:r>
        <w:rPr>
          <w:b/>
          <w:sz w:val="21"/>
        </w:rPr>
        <w:t>Autores de la plataforma:</w:t>
      </w:r>
      <w:r>
        <w:rPr>
          <w:sz w:val="21"/>
        </w:rPr>
        <w:t xml:space="preserve"> Alberto Vivas y Carlos Zuluaga.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Cómo se regenera esta documentación</w:t>
      </w:r>
    </w:p>
    <w:p>
      <w:pPr>
        <w:spacing w:after="120"/>
      </w:pPr>
      <w:r>
        <w:rPr>
          <w:color w:val="222A25"/>
          <w:sz w:val="21"/>
        </w:rPr>
        <w:t xml:space="preserve">Los documentos </w:t>
      </w:r>
      <w:r>
        <w:rPr>
          <w:rFonts w:ascii="Consolas" w:hAnsi="Consolas"/>
          <w:color w:val="9F1239"/>
          <w:sz w:val="19"/>
        </w:rPr>
        <w:t>.docx</w:t>
      </w:r>
      <w:r>
        <w:rPr>
          <w:color w:val="222A25"/>
          <w:sz w:val="21"/>
        </w:rPr>
        <w:t xml:space="preserve"> se generan a partir de los archivos </w:t>
      </w:r>
      <w:r>
        <w:rPr>
          <w:rFonts w:ascii="Consolas" w:hAnsi="Consolas"/>
          <w:color w:val="9F1239"/>
          <w:sz w:val="19"/>
        </w:rPr>
        <w:t>.md</w:t>
      </w:r>
      <w:r>
        <w:rPr>
          <w:color w:val="222A25"/>
          <w:sz w:val="21"/>
        </w:rPr>
        <w:t xml:space="preserve"> de esta carpeta con: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python etl/generar_soporte_docx.py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De modo que, al actualizar un </w:t>
      </w:r>
      <w:r>
        <w:rPr>
          <w:rFonts w:ascii="Consolas" w:hAnsi="Consolas"/>
          <w:color w:val="9F1239"/>
          <w:sz w:val="19"/>
        </w:rPr>
        <w:t>.md</w:t>
      </w:r>
      <w:r>
        <w:rPr>
          <w:color w:val="222A25"/>
          <w:sz w:val="21"/>
        </w:rPr>
        <w:t>, basta volver a ejecutar el generador para reconstruir el Word con la portada institucional y el mismo estilo.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>Soporte documental · Observatorio de Deforestación CORPOURABA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