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70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rpoura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0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color w:val="6B7280"/>
          <w:sz w:val="21"/>
        </w:rPr>
        <w:t>OBSERVATORIO DE DEFORESTACIÓN CORPOURABA</w:t>
      </w:r>
    </w:p>
    <w:p>
      <w:pPr>
        <w:spacing w:after="80"/>
        <w:pBdr>
          <w:bottom w:val="single" w:sz="6" w:space="2" w:color="1F7347"/>
        </w:pBdr>
      </w:pPr>
      <w:r>
        <w:rPr>
          <w:b/>
          <w:color w:val="0B3D25"/>
          <w:sz w:val="48"/>
        </w:rPr>
        <w:t>Manual de Usuario</w:t>
      </w:r>
    </w:p>
    <w:p>
      <w:pPr>
        <w:spacing w:after="200"/>
      </w:pPr>
      <w:r>
        <w:rPr>
          <w:color w:val="6B7280"/>
          <w:sz w:val="20"/>
        </w:rPr>
        <w:t>CORPOURABA — Corporación para el Desarrollo Sostenible del Urabá</w:t>
        <w:br/>
        <w:t>Soporte documental de la plataforma web · Deforestación 2000–2024</w:t>
        <w:br/>
        <w:t>Plataforma creada por Alberto Vivas y Carlos Zuluaga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Observatorio de Deforestación CORPOURABA 2000–2024</w:t>
      </w:r>
    </w:p>
    <w:p>
      <w:pPr>
        <w:spacing w:after="120"/>
      </w:pPr>
      <w:r>
        <w:rPr>
          <w:color w:val="222A25"/>
          <w:sz w:val="21"/>
        </w:rPr>
        <w:t>Guía práctica para conocer, navegar y aprovechar la plataforma web del monitoreo de bosques en los 19 municipios de la jurisdicción CORPOURABA.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Introducción y a quién va dirigido</w:t>
      </w:r>
    </w:p>
    <w:p>
      <w:pPr>
        <w:spacing w:after="120"/>
      </w:pPr>
      <w:r>
        <w:rPr>
          <w:color w:val="222A25"/>
          <w:sz w:val="21"/>
        </w:rPr>
        <w:t xml:space="preserve">El </w:t>
      </w:r>
      <w:r>
        <w:rPr>
          <w:b/>
          <w:color w:val="222A25"/>
          <w:sz w:val="21"/>
        </w:rPr>
        <w:t>Observatorio de Deforestación CORPOURABA</w:t>
      </w:r>
      <w:r>
        <w:rPr>
          <w:color w:val="222A25"/>
          <w:sz w:val="21"/>
        </w:rPr>
        <w:t xml:space="preserve"> es una plataforma web pública que reúne veinticuatro años de datos (2000–2024) sobre la pérdida de bosque en los </w:t>
      </w:r>
      <w:r>
        <w:rPr>
          <w:b/>
          <w:color w:val="222A25"/>
          <w:sz w:val="21"/>
        </w:rPr>
        <w:t>19 municipios</w:t>
      </w:r>
      <w:r>
        <w:rPr>
          <w:color w:val="222A25"/>
          <w:sz w:val="21"/>
        </w:rPr>
        <w:t xml:space="preserve"> de la jurisdicción de CORPOURABA —Corporación para el Desarrollo Sostenible del Urabá—, en el Urabá y el Occidente antioqueño. Le permite explorar mapas, analizar cifras, aprender con material educativo y descargar todos los datos en abierto.</w:t>
      </w:r>
    </w:p>
    <w:p>
      <w:pPr>
        <w:spacing w:after="120"/>
      </w:pPr>
      <w:r>
        <w:rPr>
          <w:color w:val="222A25"/>
          <w:sz w:val="21"/>
        </w:rPr>
        <w:t xml:space="preserve">Este manual está pensado para </w:t>
      </w:r>
      <w:r>
        <w:rPr>
          <w:b/>
          <w:color w:val="222A25"/>
          <w:sz w:val="21"/>
        </w:rPr>
        <w:t>personas sin conocimientos técnicos</w:t>
      </w:r>
      <w:r>
        <w:rPr>
          <w:color w:val="222A25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sz w:val="21"/>
        </w:rPr>
        <w:t>Funcionarios y funcionarias de CORPOURABA</w:t>
      </w:r>
      <w:r>
        <w:rPr>
          <w:sz w:val="21"/>
        </w:rPr>
        <w:t xml:space="preserve"> que necesiten consultar cifras, comparar municipios o descargar datos para informes.</w:t>
      </w:r>
    </w:p>
    <w:p>
      <w:pPr>
        <w:pStyle w:val="ListBullet"/>
        <w:spacing w:after="40"/>
        <w:ind w:left="360"/>
      </w:pPr>
      <w:r>
        <w:rPr>
          <w:b/>
          <w:sz w:val="21"/>
        </w:rPr>
        <w:t>Docentes y estudiantes</w:t>
      </w:r>
      <w:r>
        <w:rPr>
          <w:sz w:val="21"/>
        </w:rPr>
        <w:t xml:space="preserve"> que trabajen los PRAES (Proyectos Ambientales Escolares) con datos reales del territorio.</w:t>
      </w:r>
    </w:p>
    <w:p>
      <w:pPr>
        <w:pStyle w:val="ListBullet"/>
        <w:spacing w:after="40"/>
        <w:ind w:left="360"/>
      </w:pPr>
      <w:r>
        <w:rPr>
          <w:b/>
          <w:sz w:val="21"/>
        </w:rPr>
        <w:t>Público general, líderes comunitarios, periodistas e investigadores</w:t>
      </w:r>
      <w:r>
        <w:rPr>
          <w:sz w:val="21"/>
        </w:rPr>
        <w:t xml:space="preserve"> interesados en el estado del bosque de la región.</w:t>
      </w:r>
    </w:p>
    <w:p>
      <w:pPr>
        <w:spacing w:after="120"/>
      </w:pPr>
      <w:r>
        <w:rPr>
          <w:color w:val="222A25"/>
          <w:sz w:val="21"/>
        </w:rPr>
        <w:t>No necesita instalar nada ni crear una cuenta. Basta con un navegador de internet.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Cómo acceder</w:t>
      </w:r>
    </w:p>
    <w:p>
      <w:pPr>
        <w:pStyle w:val="ListNumber"/>
        <w:spacing w:after="40"/>
        <w:ind w:left="360"/>
      </w:pPr>
      <w:r>
        <w:rPr>
          <w:sz w:val="21"/>
        </w:rPr>
        <w:t>Abra un navegador de internet actualizado (Google Chrome, Microsoft Edge, Mozilla Firefox o Safari), en computador, tableta o teléfono.</w:t>
      </w:r>
    </w:p>
    <w:p>
      <w:pPr>
        <w:pStyle w:val="ListNumber"/>
        <w:spacing w:after="40"/>
        <w:ind w:left="360"/>
      </w:pPr>
      <w:r>
        <w:rPr>
          <w:sz w:val="21"/>
        </w:rPr>
        <w:t>Escriba la dirección de la plataforma en la barra de direcciones y presione Enter. La plataforma está publicada en Vercel; su institución le facilitará la dirección web (URL) definitiva del observatorio.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La página de </w:t>
      </w:r>
      <w:r>
        <w:rPr>
          <w:b/>
          <w:sz w:val="21"/>
        </w:rPr>
        <w:t>Inicio</w:t>
      </w:r>
      <w:r>
        <w:rPr>
          <w:sz w:val="21"/>
        </w:rPr>
        <w:t xml:space="preserve"> se cargará automáticamente. No requiere usuario ni contraseña.</w:t>
      </w:r>
    </w:p>
    <w:p>
      <w:pPr>
        <w:spacing w:after="120"/>
      </w:pPr>
      <w:r>
        <w:rPr>
          <w:b/>
          <w:color w:val="222A25"/>
          <w:sz w:val="21"/>
        </w:rPr>
        <w:t>Recomendaciones:</w:t>
      </w:r>
    </w:p>
    <w:p>
      <w:pPr>
        <w:pStyle w:val="ListBullet"/>
        <w:spacing w:after="40"/>
        <w:ind w:left="360"/>
      </w:pPr>
      <w:r>
        <w:rPr>
          <w:sz w:val="21"/>
        </w:rPr>
        <w:t>Una conexión estable mejora la carga de los mapas, que descargan capas geográficas.</w:t>
      </w:r>
    </w:p>
    <w:p>
      <w:pPr>
        <w:pStyle w:val="ListBullet"/>
        <w:spacing w:after="40"/>
        <w:ind w:left="360"/>
      </w:pPr>
      <w:r>
        <w:rPr>
          <w:sz w:val="21"/>
        </w:rPr>
        <w:t>La plataforma se adapta a pantallas pequeñas: en el teléfono, el menú aparece como un botón con tres líneas (menú «hamburguesa»).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Navegación general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Barra superior (menú principal)</w:t>
      </w:r>
    </w:p>
    <w:p>
      <w:pPr>
        <w:spacing w:after="120"/>
      </w:pPr>
      <w:r>
        <w:rPr>
          <w:color w:val="222A25"/>
          <w:sz w:val="21"/>
        </w:rPr>
        <w:t>En la parte de arriba, siempre visible, encontrará el logotipo de CORPOURABA y los seis enlaces de navegación. El enlace de la sección en la que se encuentra queda resaltado: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Enlace</w:t>
            </w:r>
          </w:p>
        </w:tc>
        <w:tc>
          <w:tcPr>
            <w:tcW w:type="dxa" w:w="4824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Le lleva 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Inicio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Panorama general y cifras clave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Análisis de cifras, gráficos y comparaciones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Mapa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Mapa interactivo por municipio, con línea de tiempo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Visor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Visor de los polígonos de deforestación y capas oficiales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Aprende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Módulo educativo PRAES por niveles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Centro de descargas y metodología</w:t>
            </w:r>
          </w:p>
        </w:tc>
      </w:tr>
    </w:tbl>
    <w:p>
      <w:pPr>
        <w:spacing w:after="120"/>
      </w:pPr>
      <w:r>
        <w:rPr>
          <w:color w:val="222A25"/>
          <w:sz w:val="21"/>
        </w:rPr>
        <w:t>En el teléfono, toque el botón de menú (≡) para desplegar estos enlaces.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Tema claro / oscuro</w:t>
      </w:r>
    </w:p>
    <w:p>
      <w:pPr>
        <w:spacing w:after="120"/>
      </w:pPr>
      <w:r>
        <w:rPr>
          <w:color w:val="222A25"/>
          <w:sz w:val="21"/>
        </w:rPr>
        <w:t xml:space="preserve">A la derecha de la barra superior hay un botón con un icono de </w:t>
      </w:r>
      <w:r>
        <w:rPr>
          <w:b/>
          <w:color w:val="222A25"/>
          <w:sz w:val="21"/>
        </w:rPr>
        <w:t>sol o luna</w:t>
      </w:r>
      <w:r>
        <w:rPr>
          <w:color w:val="222A25"/>
          <w:sz w:val="21"/>
        </w:rPr>
        <w:t>. Al tocarlo, la plataforma alterna entre modo claro y modo oscuro; su preferencia queda guardada para próximas visitas. Los mapas también cambian su fondo (claro u oscuro) para acompañar el tema.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Pie de página</w:t>
      </w:r>
    </w:p>
    <w:p>
      <w:pPr>
        <w:spacing w:after="120"/>
      </w:pPr>
      <w:r>
        <w:rPr>
          <w:color w:val="222A25"/>
          <w:sz w:val="21"/>
        </w:rPr>
        <w:t xml:space="preserve">Al final de cada página encontrará los accesos a los módulos y recursos, la atribución cartográfica (© OpenStreetMap · © CARTO, coordenadas en WGS84) y la nota de honestidad sobre los datos estimados. La plataforma fue creada por </w:t>
      </w:r>
      <w:r>
        <w:rPr>
          <w:b/>
          <w:color w:val="222A25"/>
          <w:sz w:val="21"/>
        </w:rPr>
        <w:t>Alberto Vivas y Carlos Zuluaga</w:t>
      </w:r>
      <w:r>
        <w:rPr>
          <w:color w:val="222A25"/>
          <w:sz w:val="21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Inicio (panorama y cifras clave)</w:t>
      </w:r>
    </w:p>
    <w:p>
      <w:pPr>
        <w:spacing w:after="120"/>
      </w:pPr>
      <w:r>
        <w:rPr>
          <w:color w:val="222A25"/>
          <w:sz w:val="21"/>
        </w:rPr>
        <w:t xml:space="preserve">La página de </w:t>
      </w:r>
      <w:r>
        <w:rPr>
          <w:b/>
          <w:color w:val="222A25"/>
          <w:sz w:val="21"/>
        </w:rPr>
        <w:t>Inicio</w:t>
      </w:r>
      <w:r>
        <w:rPr>
          <w:color w:val="222A25"/>
          <w:sz w:val="21"/>
        </w:rPr>
        <w:t xml:space="preserve"> ofrece una visión de conjunto en cuatro partes:</w:t>
      </w:r>
    </w:p>
    <w:p>
      <w:pPr>
        <w:pStyle w:val="ListNumber"/>
        <w:spacing w:after="40"/>
        <w:ind w:left="360"/>
      </w:pPr>
      <w:r>
        <w:rPr>
          <w:b/>
          <w:sz w:val="21"/>
        </w:rPr>
        <w:t>Portada (hero):</w:t>
      </w:r>
      <w:r>
        <w:rPr>
          <w:sz w:val="21"/>
        </w:rPr>
        <w:t xml:space="preserve"> presenta el observatorio con dos botones de entrada rápida, «Explorar el mapa» y «Aprende con tu colegio», y tres datos de referencia: 19 municipios y 5 territoriales, 18 periodos de medición y ≈ 1,86 millones de hectáreas de jurisdicción.</w:t>
      </w:r>
    </w:p>
    <w:p>
      <w:pPr>
        <w:pStyle w:val="ListNumber"/>
        <w:spacing w:after="40"/>
        <w:ind w:left="360"/>
      </w:pPr>
      <w:r>
        <w:rPr>
          <w:b/>
          <w:sz w:val="21"/>
        </w:rPr>
        <w:t>Franja de indicadores (KPIs):</w:t>
      </w:r>
      <w:r>
        <w:rPr>
          <w:sz w:val="21"/>
        </w:rPr>
        <w:t xml:space="preserve"> cuatro tarjetas con contadores que se calculan en vivo sobre la serie completa:</w:t>
      </w:r>
    </w:p>
    <w:p>
      <w:pPr>
        <w:pStyle w:val="ListBullet"/>
        <w:spacing w:after="40"/>
        <w:ind w:left="720"/>
      </w:pPr>
      <w:r>
        <w:rPr>
          <w:b/>
          <w:sz w:val="21"/>
        </w:rPr>
        <w:t>Total deforestado</w:t>
      </w:r>
      <w:r>
        <w:rPr>
          <w:sz w:val="21"/>
        </w:rPr>
        <w:t xml:space="preserve"> (acumulado 2000–2024 en la jurisdicción).</w:t>
      </w:r>
    </w:p>
    <w:p>
      <w:pPr>
        <w:pStyle w:val="ListBullet"/>
        <w:spacing w:after="40"/>
        <w:ind w:left="720"/>
      </w:pPr>
      <w:r>
        <w:rPr>
          <w:b/>
          <w:sz w:val="21"/>
        </w:rPr>
        <w:t>Promedio anual</w:t>
      </w:r>
      <w:r>
        <w:rPr>
          <w:sz w:val="21"/>
        </w:rPr>
        <w:t xml:space="preserve"> (hectáreas perdidas por año, en promedio).</w:t>
      </w:r>
    </w:p>
    <w:p>
      <w:pPr>
        <w:pStyle w:val="ListBullet"/>
        <w:spacing w:after="40"/>
        <w:ind w:left="720"/>
      </w:pPr>
      <w:r>
        <w:rPr>
          <w:b/>
          <w:sz w:val="21"/>
        </w:rPr>
        <w:t>Periodo más crítico</w:t>
      </w:r>
      <w:r>
        <w:rPr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sz w:val="21"/>
        </w:rPr>
        <w:t>Municipio más afectado</w:t>
      </w:r>
      <w:r>
        <w:rPr>
          <w:sz w:val="21"/>
        </w:rPr>
        <w:t>.</w:t>
      </w:r>
    </w:p>
    <w:p>
      <w:pPr>
        <w:spacing w:after="120"/>
      </w:pPr>
      <w:r>
        <w:rPr>
          <w:color w:val="222A25"/>
          <w:sz w:val="21"/>
        </w:rPr>
        <w:t>Debajo se resume el número de periodos y municipios, el porcentaje de datos estimados y el periodo de menor pérdida.</w:t>
      </w:r>
    </w:p>
    <w:p>
      <w:pPr>
        <w:pStyle w:val="ListNumber"/>
        <w:spacing w:after="40"/>
        <w:ind w:left="360"/>
      </w:pPr>
      <w:r>
        <w:rPr>
          <w:b/>
          <w:sz w:val="21"/>
        </w:rPr>
        <w:t>Las seis maneras de explorar:</w:t>
      </w:r>
      <w:r>
        <w:rPr>
          <w:sz w:val="21"/>
        </w:rPr>
        <w:t xml:space="preserve"> tarjetas que describen cada módulo y le llevan a él con un clic.</w:t>
      </w:r>
    </w:p>
    <w:p>
      <w:pPr>
        <w:pStyle w:val="ListNumber"/>
        <w:spacing w:after="40"/>
        <w:ind w:left="360"/>
      </w:pPr>
      <w:r>
        <w:rPr>
          <w:b/>
          <w:sz w:val="21"/>
        </w:rPr>
        <w:t>¿Cómo leer estos datos? (transparencia):</w:t>
      </w:r>
      <w:r>
        <w:rPr>
          <w:sz w:val="21"/>
        </w:rPr>
        <w:t xml:space="preserve"> tres advertencias metodológicas clave (periodos de distinta duración, existencia de datos estimados y combinación de varias fuentes) y un aviso sobre la insignia </w:t>
      </w:r>
      <w:r>
        <w:rPr>
          <w:b/>
          <w:sz w:val="21"/>
        </w:rPr>
        <w:t>estimado</w:t>
      </w:r>
      <w:r>
        <w:rPr>
          <w:sz w:val="21"/>
        </w:rPr>
        <w:t xml:space="preserve"> y el borde discontinuo.</w:t>
      </w:r>
    </w:p>
    <w:p>
      <w:pPr>
        <w:spacing w:after="120"/>
      </w:pPr>
      <w:r>
        <w:rPr>
          <w:b/>
          <w:color w:val="222A25"/>
          <w:sz w:val="21"/>
        </w:rPr>
        <w:t>Cómo usarlo:</w:t>
      </w:r>
      <w:r>
        <w:rPr>
          <w:color w:val="222A25"/>
          <w:sz w:val="21"/>
        </w:rPr>
        <w:t xml:space="preserve"> úselo como punto de partida. Lea las cifras de la franja de KPIs para hacerse una idea rápida y entre al módulo que necesite desde las tarjetas o desde la barra superior.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Dashboard analítico</w:t>
      </w:r>
    </w:p>
    <w:p>
      <w:pPr>
        <w:spacing w:after="120"/>
      </w:pPr>
      <w:r>
        <w:rPr>
          <w:color w:val="222A25"/>
          <w:sz w:val="21"/>
        </w:rPr>
        <w:t xml:space="preserve">El </w:t>
      </w:r>
      <w:r>
        <w:rPr>
          <w:b/>
          <w:color w:val="222A25"/>
          <w:sz w:val="21"/>
        </w:rPr>
        <w:t>Dashboard</w:t>
      </w:r>
      <w:r>
        <w:rPr>
          <w:color w:val="222A25"/>
          <w:sz w:val="21"/>
        </w:rPr>
        <w:t xml:space="preserve"> es la sección de análisis de cifras. Trabaja sobre la clase </w:t>
      </w:r>
      <w:r>
        <w:rPr>
          <w:b/>
          <w:color w:val="222A25"/>
          <w:sz w:val="21"/>
        </w:rPr>
        <w:t>Deforestación</w:t>
      </w:r>
      <w:r>
        <w:rPr>
          <w:color w:val="222A25"/>
          <w:sz w:val="21"/>
        </w:rPr>
        <w:t xml:space="preserve"> de los 19 municipios y los 18 periodos, y todos los gráficos responden a los filtros que usted elija.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Barra de filtros</w:t>
      </w:r>
    </w:p>
    <w:p>
      <w:pPr>
        <w:spacing w:after="120"/>
      </w:pPr>
      <w:r>
        <w:rPr>
          <w:color w:val="222A25"/>
          <w:sz w:val="21"/>
        </w:rPr>
        <w:t>En la parte superior, una barra fija (que le sigue al desplazarse) le permite acotar lo que ve:</w:t>
      </w:r>
    </w:p>
    <w:p>
      <w:pPr>
        <w:pStyle w:val="ListBullet"/>
        <w:spacing w:after="40"/>
        <w:ind w:left="360"/>
      </w:pPr>
      <w:r>
        <w:rPr>
          <w:b/>
          <w:sz w:val="21"/>
        </w:rPr>
        <w:t>Territorial:</w:t>
      </w:r>
      <w:r>
        <w:rPr>
          <w:sz w:val="21"/>
        </w:rPr>
        <w:t xml:space="preserve"> elija una de las cinco (Caribe, Centro, Atrato, Nutibara, Urrao) o «Todas».</w:t>
      </w:r>
    </w:p>
    <w:p>
      <w:pPr>
        <w:pStyle w:val="ListBullet"/>
        <w:spacing w:after="40"/>
        <w:ind w:left="360"/>
      </w:pPr>
      <w:r>
        <w:rPr>
          <w:b/>
          <w:sz w:val="21"/>
        </w:rPr>
        <w:t>Rango de años:</w:t>
      </w:r>
      <w:r>
        <w:rPr>
          <w:sz w:val="21"/>
        </w:rPr>
        <w:t xml:space="preserve"> una barra con dos manijas para fijar el año inicial y el año final (entre 2000 y 2024). El rango elegido se muestra sobre el control.</w:t>
      </w:r>
    </w:p>
    <w:p>
      <w:pPr>
        <w:pStyle w:val="ListBullet"/>
        <w:spacing w:after="40"/>
        <w:ind w:left="360"/>
      </w:pPr>
      <w:r>
        <w:rPr>
          <w:b/>
          <w:sz w:val="21"/>
        </w:rPr>
        <w:t>Incluir estimados:</w:t>
      </w:r>
      <w:r>
        <w:rPr>
          <w:sz w:val="21"/>
        </w:rPr>
        <w:t xml:space="preserve"> casilla marcada por defecto. Desmárquela para excluir los periodos estimados del análisis.</w:t>
      </w:r>
    </w:p>
    <w:p>
      <w:pPr>
        <w:pStyle w:val="ListBullet"/>
        <w:spacing w:after="40"/>
        <w:ind w:left="360"/>
      </w:pPr>
      <w:r>
        <w:rPr>
          <w:b/>
          <w:sz w:val="21"/>
        </w:rPr>
        <w:t>Limpiar filtros:</w:t>
      </w:r>
      <w:r>
        <w:rPr>
          <w:sz w:val="21"/>
        </w:rPr>
        <w:t xml:space="preserve"> devuelve todo a su estado inicial.</w:t>
      </w:r>
    </w:p>
    <w:p>
      <w:pPr>
        <w:pStyle w:val="ListBullet"/>
        <w:spacing w:after="40"/>
        <w:ind w:left="360"/>
      </w:pPr>
      <w:r>
        <w:rPr>
          <w:b/>
          <w:sz w:val="21"/>
        </w:rPr>
        <w:t>Municipios (fichas):</w:t>
      </w:r>
      <w:r>
        <w:rPr>
          <w:sz w:val="21"/>
        </w:rPr>
        <w:t xml:space="preserve"> debajo, la lista de municipios como botones. Toque uno para seleccionarlo (se pinta de verde) y tóquelo otra vez, o la «✕», para quitarlo. Puede seleccionar varios.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Qué muestra el Dashboard</w:t>
      </w:r>
    </w:p>
    <w:p>
      <w:pPr>
        <w:pStyle w:val="ListNumber"/>
        <w:spacing w:after="40"/>
        <w:ind w:left="360"/>
      </w:pPr>
      <w:r>
        <w:rPr>
          <w:b/>
          <w:sz w:val="21"/>
        </w:rPr>
        <w:t>KPIs:</w:t>
      </w:r>
      <w:r>
        <w:rPr>
          <w:sz w:val="21"/>
        </w:rPr>
        <w:t xml:space="preserve"> Total deforestado, Promedio anual (ha/año), Periodo más crítico y Municipio más afectado, recalculados según los filtros.</w:t>
      </w:r>
    </w:p>
    <w:p>
      <w:pPr>
        <w:pStyle w:val="ListNumber"/>
        <w:spacing w:after="40"/>
        <w:ind w:left="360"/>
      </w:pPr>
      <w:r>
        <w:rPr>
          <w:b/>
          <w:sz w:val="21"/>
        </w:rPr>
        <w:t>Serie temporal de deforestación:</w:t>
      </w:r>
      <w:r>
        <w:rPr>
          <w:sz w:val="21"/>
        </w:rPr>
        <w:t xml:space="preserve"> línea de hectáreas por año. Los periodos estimados aparecen con una franja sombreada y su punto dibujado con relleno blanco.</w:t>
      </w:r>
    </w:p>
    <w:p>
      <w:pPr>
        <w:pStyle w:val="ListNumber"/>
        <w:spacing w:after="40"/>
        <w:ind w:left="360"/>
      </w:pPr>
      <w:r>
        <w:rPr>
          <w:b/>
          <w:sz w:val="21"/>
        </w:rPr>
        <w:t>Ranking de municipios:</w:t>
      </w:r>
      <w:r>
        <w:rPr>
          <w:sz w:val="21"/>
        </w:rPr>
        <w:t xml:space="preserve"> las 10 municipalidades con mayor deforestación acumulada. </w:t>
      </w:r>
      <w:r>
        <w:rPr>
          <w:b/>
          <w:sz w:val="21"/>
        </w:rPr>
        <w:t>Es clicable:</w:t>
      </w:r>
      <w:r>
        <w:rPr>
          <w:sz w:val="21"/>
        </w:rPr>
        <w:t xml:space="preserve"> al hacer clic en una barra, ese municipio se agrega o quita de la selección y todos los gráficos se ajustan.</w:t>
      </w:r>
    </w:p>
    <w:p>
      <w:pPr>
        <w:pStyle w:val="ListNumber"/>
        <w:spacing w:after="40"/>
        <w:ind w:left="360"/>
      </w:pPr>
      <w:r>
        <w:rPr>
          <w:b/>
          <w:sz w:val="21"/>
        </w:rPr>
        <w:t>Predicción:</w:t>
      </w:r>
      <w:r>
        <w:rPr>
          <w:sz w:val="21"/>
        </w:rPr>
        <w:t xml:space="preserve"> proyección a 3 años de la tasa anual (regional, o municipal si tiene un solo municipio seleccionado). Incluye una advertencia sobre las limitaciones de la proyección.</w:t>
      </w:r>
    </w:p>
    <w:p>
      <w:pPr>
        <w:pStyle w:val="ListNumber"/>
        <w:spacing w:after="40"/>
        <w:ind w:left="360"/>
      </w:pPr>
      <w:r>
        <w:rPr>
          <w:b/>
          <w:sz w:val="21"/>
        </w:rPr>
        <w:t>Comparador de municipios:</w:t>
      </w:r>
      <w:r>
        <w:rPr>
          <w:sz w:val="21"/>
        </w:rPr>
        <w:t xml:space="preserve"> al seleccionar entre </w:t>
      </w:r>
      <w:r>
        <w:rPr>
          <w:b/>
          <w:sz w:val="21"/>
        </w:rPr>
        <w:t>2 y 6 municipios</w:t>
      </w:r>
      <w:r>
        <w:rPr>
          <w:sz w:val="21"/>
        </w:rPr>
        <w:t xml:space="preserve"> en los filtros, dibuja una línea por municipio (ha/año) para compararlos.</w:t>
      </w:r>
    </w:p>
    <w:p>
      <w:pPr>
        <w:pStyle w:val="ListNumber"/>
        <w:spacing w:after="40"/>
        <w:ind w:left="360"/>
      </w:pPr>
      <w:r>
        <w:rPr>
          <w:b/>
          <w:sz w:val="21"/>
        </w:rPr>
        <w:t>Mapa de calor municipio × periodo:</w:t>
      </w:r>
      <w:r>
        <w:rPr>
          <w:sz w:val="21"/>
        </w:rPr>
        <w:t xml:space="preserve"> una cuadrícula donde cada celda es un municipio (filas) y un periodo (columnas); el color indica la intensidad de deforestación anualizada. Pase el cursor sobre una celda para ver la cifra exacta.</w:t>
      </w:r>
    </w:p>
    <w:p>
      <w:pPr>
        <w:pStyle w:val="ListNumber"/>
        <w:spacing w:after="40"/>
        <w:ind w:left="360"/>
      </w:pPr>
      <w:r>
        <w:rPr>
          <w:b/>
          <w:sz w:val="21"/>
        </w:rPr>
        <w:t>Hallazgos verificados:</w:t>
      </w:r>
      <w:r>
        <w:rPr>
          <w:sz w:val="21"/>
        </w:rPr>
        <w:t xml:space="preserve"> tarjetas con resultados destacados de la investigación temática y del cruce con la cartografía oficial.</w:t>
      </w:r>
    </w:p>
    <w:p>
      <w:pPr>
        <w:pStyle w:val="ListNumber"/>
        <w:spacing w:after="40"/>
        <w:ind w:left="360"/>
      </w:pPr>
      <w:r>
        <w:rPr>
          <w:b/>
          <w:sz w:val="21"/>
        </w:rPr>
        <w:t>Deforestación por territorio:</w:t>
      </w:r>
      <w:r>
        <w:rPr>
          <w:sz w:val="21"/>
        </w:rPr>
        <w:t xml:space="preserve"> vea cuánta deforestación mapeada ocurre dentro de cada </w:t>
      </w:r>
      <w:r>
        <w:rPr>
          <w:b/>
          <w:sz w:val="21"/>
        </w:rPr>
        <w:t>área protegida, POMCA, resguardo indígena o consejo comunitario</w:t>
      </w:r>
      <w:r>
        <w:rPr>
          <w:sz w:val="21"/>
        </w:rPr>
        <w:t>. Elija el tipo de territorio y, si lo desea, un periodo específico; cada unidad muestra hectáreas, número de periodos y porcentaje del territorio.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Cómo filtrar y exportar</w:t>
      </w:r>
    </w:p>
    <w:p>
      <w:pPr>
        <w:pStyle w:val="ListBullet"/>
        <w:spacing w:after="40"/>
        <w:ind w:left="360"/>
      </w:pPr>
      <w:r>
        <w:rPr>
          <w:b/>
          <w:sz w:val="21"/>
        </w:rPr>
        <w:t>Filtrar por municipio:</w:t>
      </w:r>
      <w:r>
        <w:rPr>
          <w:sz w:val="21"/>
        </w:rPr>
        <w:t xml:space="preserve"> toque su ficha en la barra de filtros o haga clic en su barra del ranking.</w:t>
      </w:r>
    </w:p>
    <w:p>
      <w:pPr>
        <w:pStyle w:val="ListBullet"/>
        <w:spacing w:after="40"/>
        <w:ind w:left="360"/>
      </w:pPr>
      <w:r>
        <w:rPr>
          <w:b/>
          <w:sz w:val="21"/>
        </w:rPr>
        <w:t>Filtrar por periodo/años:</w:t>
      </w:r>
      <w:r>
        <w:rPr>
          <w:sz w:val="21"/>
        </w:rPr>
        <w:t xml:space="preserve"> use la barra de rango de años.</w:t>
      </w:r>
    </w:p>
    <w:p>
      <w:pPr>
        <w:pStyle w:val="ListBullet"/>
        <w:spacing w:after="40"/>
        <w:ind w:left="360"/>
      </w:pPr>
      <w:r>
        <w:rPr>
          <w:b/>
          <w:sz w:val="21"/>
        </w:rPr>
        <w:t>Exportar:</w:t>
      </w:r>
      <w:r>
        <w:rPr>
          <w:sz w:val="21"/>
        </w:rPr>
        <w:t xml:space="preserve"> cada gráfico tiene su botón de exportación (imagen y, en varios, CSV). La sección de territorio y el generador del Centro de descargas permiten bajar la tabla en CSV.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Mapa interactivo</w:t>
      </w:r>
    </w:p>
    <w:p>
      <w:pPr>
        <w:spacing w:after="120"/>
      </w:pPr>
      <w:r>
        <w:rPr>
          <w:color w:val="222A25"/>
          <w:sz w:val="21"/>
        </w:rPr>
        <w:t xml:space="preserve">El </w:t>
      </w:r>
      <w:r>
        <w:rPr>
          <w:b/>
          <w:color w:val="222A25"/>
          <w:sz w:val="21"/>
        </w:rPr>
        <w:t>Mapa</w:t>
      </w:r>
      <w:r>
        <w:rPr>
          <w:color w:val="222A25"/>
          <w:sz w:val="21"/>
        </w:rPr>
        <w:t xml:space="preserve"> colorea los 19 municipios según su deforestación (mapa de coropletas) y le permite recorrer los 18 periodos en el tiempo.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Controles principales</w:t>
      </w:r>
    </w:p>
    <w:p>
      <w:pPr>
        <w:pStyle w:val="ListBullet"/>
        <w:spacing w:after="40"/>
        <w:ind w:left="360"/>
      </w:pPr>
      <w:r>
        <w:rPr>
          <w:b/>
          <w:sz w:val="21"/>
        </w:rPr>
        <w:t>Métrica</w:t>
      </w:r>
      <w:r>
        <w:rPr>
          <w:sz w:val="21"/>
        </w:rPr>
        <w:t xml:space="preserve"> (arriba a la izquierda): elija </w:t>
      </w:r>
      <w:r>
        <w:rPr>
          <w:b/>
          <w:sz w:val="21"/>
        </w:rPr>
        <w:t>Hectáreas</w:t>
      </w:r>
      <w:r>
        <w:rPr>
          <w:sz w:val="21"/>
        </w:rPr>
        <w:t xml:space="preserve"> (total del periodo) o </w:t>
      </w:r>
      <w:r>
        <w:rPr>
          <w:b/>
          <w:sz w:val="21"/>
        </w:rPr>
        <w:t>Ha/año</w:t>
      </w:r>
      <w:r>
        <w:rPr>
          <w:sz w:val="21"/>
        </w:rPr>
        <w:t xml:space="preserve"> (anualizado, mejor para comparar periodos de distinta duración).</w:t>
      </w:r>
    </w:p>
    <w:p>
      <w:pPr>
        <w:pStyle w:val="ListBullet"/>
        <w:spacing w:after="40"/>
        <w:ind w:left="360"/>
      </w:pPr>
      <w:r>
        <w:rPr>
          <w:b/>
          <w:sz w:val="21"/>
        </w:rPr>
        <w:t>Ajustar</w:t>
      </w:r>
      <w:r>
        <w:rPr>
          <w:sz w:val="21"/>
        </w:rPr>
        <w:t xml:space="preserve"> (arriba a la derecha): reencuadra el mapa sobre toda la jurisdicción.</w:t>
      </w:r>
    </w:p>
    <w:p>
      <w:pPr>
        <w:pStyle w:val="ListBullet"/>
        <w:spacing w:after="40"/>
        <w:ind w:left="360"/>
      </w:pPr>
      <w:r>
        <w:rPr>
          <w:b/>
          <w:sz w:val="21"/>
        </w:rPr>
        <w:t>Capas</w:t>
      </w:r>
      <w:r>
        <w:rPr>
          <w:sz w:val="21"/>
        </w:rPr>
        <w:t xml:space="preserve"> (arriba a la derecha): abre el panel de capas de contexto.</w:t>
      </w:r>
    </w:p>
    <w:p>
      <w:pPr>
        <w:pStyle w:val="ListBullet"/>
        <w:spacing w:after="40"/>
        <w:ind w:left="360"/>
      </w:pPr>
      <w:r>
        <w:rPr>
          <w:b/>
          <w:sz w:val="21"/>
        </w:rPr>
        <w:t>Línea de tiempo</w:t>
      </w:r>
      <w:r>
        <w:rPr>
          <w:sz w:val="21"/>
        </w:rPr>
        <w:t xml:space="preserve"> (abajo): una barra deslizante recorre los 18 periodos (2000–2024). El botón </w:t>
      </w:r>
      <w:r>
        <w:rPr>
          <w:b/>
          <w:sz w:val="21"/>
        </w:rPr>
        <w:t>▶ / ⏸</w:t>
      </w:r>
      <w:r>
        <w:rPr>
          <w:sz w:val="21"/>
        </w:rPr>
        <w:t xml:space="preserve"> inicia o detiene el </w:t>
      </w:r>
      <w:r>
        <w:rPr>
          <w:b/>
          <w:sz w:val="21"/>
        </w:rPr>
        <w:t>timelapse</w:t>
      </w:r>
      <w:r>
        <w:rPr>
          <w:sz w:val="21"/>
        </w:rPr>
        <w:t>, que avanza automáticamente periodo tras periodo en bucle. La casilla «estimados» controla si se incluyen esos periodos.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Cómo leer el mapa</w:t>
      </w:r>
    </w:p>
    <w:p>
      <w:pPr>
        <w:pStyle w:val="ListBullet"/>
        <w:spacing w:after="40"/>
        <w:ind w:left="360"/>
      </w:pPr>
      <w:r>
        <w:rPr>
          <w:b/>
          <w:sz w:val="21"/>
        </w:rPr>
        <w:t>Colores:</w:t>
      </w:r>
      <w:r>
        <w:rPr>
          <w:sz w:val="21"/>
        </w:rPr>
        <w:t xml:space="preserve"> cuanto más intenso el color, mayor la deforestación del municipio en ese periodo. La </w:t>
      </w:r>
      <w:r>
        <w:rPr>
          <w:b/>
          <w:sz w:val="21"/>
        </w:rPr>
        <w:t>leyenda</w:t>
      </w:r>
      <w:r>
        <w:rPr>
          <w:sz w:val="21"/>
        </w:rPr>
        <w:t xml:space="preserve"> (abajo a la izquierda) indica los rangos, incluyendo el color de «Sin dato».</w:t>
      </w:r>
    </w:p>
    <w:p>
      <w:pPr>
        <w:pStyle w:val="ListBullet"/>
        <w:spacing w:after="40"/>
        <w:ind w:left="360"/>
      </w:pPr>
      <w:r>
        <w:rPr>
          <w:b/>
          <w:sz w:val="21"/>
        </w:rPr>
        <w:t>Borde discontinuo:</w:t>
      </w:r>
      <w:r>
        <w:rPr>
          <w:sz w:val="21"/>
        </w:rPr>
        <w:t xml:space="preserve"> un municipio con </w:t>
      </w:r>
      <w:r>
        <w:rPr>
          <w:b/>
          <w:sz w:val="21"/>
        </w:rPr>
        <w:t>borde a rayas y color más tenue</w:t>
      </w:r>
      <w:r>
        <w:rPr>
          <w:sz w:val="21"/>
        </w:rPr>
        <w:t xml:space="preserve"> corresponde a un </w:t>
      </w:r>
      <w:r>
        <w:rPr>
          <w:b/>
          <w:sz w:val="21"/>
        </w:rPr>
        <w:t>periodo estimado</w:t>
      </w:r>
      <w:r>
        <w:rPr>
          <w:sz w:val="21"/>
        </w:rPr>
        <w:t xml:space="preserve"> (no medido directamente). La leyenda muestra la insignia «periodo estimado» cuando aplica.</w:t>
      </w:r>
    </w:p>
    <w:p>
      <w:pPr>
        <w:pStyle w:val="ListBullet"/>
        <w:spacing w:after="40"/>
        <w:ind w:left="360"/>
      </w:pPr>
      <w:r>
        <w:rPr>
          <w:b/>
          <w:sz w:val="21"/>
        </w:rPr>
        <w:t>Ficha del municipio:</w:t>
      </w:r>
      <w:r>
        <w:rPr>
          <w:sz w:val="21"/>
        </w:rPr>
        <w:t xml:space="preserve"> haga clic en un municipio para abrir un panel lateral con su posición regional (#/19), su total 2000–2024 y su deforestación por periodo (ha/año); desde ahí puede «Ver en el dashboard» o «Descargar CSV del municipio». Doble clic acerca el mapa a ese municipio.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Capas de contexto</w:t>
      </w:r>
    </w:p>
    <w:p>
      <w:pPr>
        <w:spacing w:after="120"/>
      </w:pPr>
      <w:r>
        <w:rPr>
          <w:color w:val="222A25"/>
          <w:sz w:val="21"/>
        </w:rPr>
        <w:t xml:space="preserve">En el panel de </w:t>
      </w:r>
      <w:r>
        <w:rPr>
          <w:b/>
          <w:color w:val="222A25"/>
          <w:sz w:val="21"/>
        </w:rPr>
        <w:t>Capas</w:t>
      </w:r>
      <w:r>
        <w:rPr>
          <w:color w:val="222A25"/>
          <w:sz w:val="21"/>
        </w:rPr>
        <w:t xml:space="preserve"> puede encender:</w:t>
      </w:r>
    </w:p>
    <w:p>
      <w:pPr>
        <w:pStyle w:val="ListBullet"/>
        <w:spacing w:after="40"/>
        <w:ind w:left="360"/>
      </w:pPr>
      <w:r>
        <w:rPr>
          <w:b/>
          <w:sz w:val="21"/>
        </w:rPr>
        <w:t>Deforestación (hotspots):</w:t>
      </w:r>
      <w:r>
        <w:rPr>
          <w:sz w:val="21"/>
        </w:rPr>
        <w:t xml:space="preserve"> los polígonos de deforestación de deforestación (incluidos los de menos de 1 ha) del periodo activo (avisa cuando un periodo no tiene datos de polígonos).</w:t>
      </w:r>
    </w:p>
    <w:p>
      <w:pPr>
        <w:pStyle w:val="ListBullet"/>
        <w:spacing w:after="40"/>
        <w:ind w:left="360"/>
      </w:pPr>
      <w:r>
        <w:rPr>
          <w:b/>
          <w:sz w:val="21"/>
        </w:rPr>
        <w:t>Frentes persistentes (≥3 periodos):</w:t>
      </w:r>
      <w:r>
        <w:rPr>
          <w:sz w:val="21"/>
        </w:rPr>
        <w:t xml:space="preserve"> zonas donde la deforestación se repite en varios periodos.</w:t>
      </w:r>
    </w:p>
    <w:p>
      <w:pPr>
        <w:pStyle w:val="ListBullet"/>
        <w:spacing w:after="40"/>
        <w:ind w:left="360"/>
      </w:pPr>
      <w:r>
        <w:rPr>
          <w:sz w:val="21"/>
        </w:rPr>
        <w:t>Capas oficiales de contexto (áreas protegidas, resguardos, consejos, cuencas y demás), que se descargan al activarlas. Toque una unidad para ver su información.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Visor de deforestación</w:t>
      </w:r>
    </w:p>
    <w:p>
      <w:pPr>
        <w:spacing w:after="120"/>
      </w:pPr>
      <w:r>
        <w:rPr>
          <w:color w:val="222A25"/>
          <w:sz w:val="21"/>
        </w:rPr>
        <w:t xml:space="preserve">El </w:t>
      </w:r>
      <w:r>
        <w:rPr>
          <w:b/>
          <w:color w:val="222A25"/>
          <w:sz w:val="21"/>
        </w:rPr>
        <w:t>Visor</w:t>
      </w:r>
      <w:r>
        <w:rPr>
          <w:color w:val="222A25"/>
          <w:sz w:val="21"/>
        </w:rPr>
        <w:t xml:space="preserve"> muestra directamente los </w:t>
      </w:r>
      <w:r>
        <w:rPr>
          <w:b/>
          <w:color w:val="222A25"/>
          <w:sz w:val="21"/>
        </w:rPr>
        <w:t>polígonos de deforestación</w:t>
      </w:r>
      <w:r>
        <w:rPr>
          <w:color w:val="222A25"/>
          <w:sz w:val="21"/>
        </w:rPr>
        <w:t xml:space="preserve"> (incluidos los focos de menos de 1 ha) sobre el mapa, con una nueva línea de tiempo visual y las capas de la cartografía oficial.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Dos modos de visualización</w:t>
      </w:r>
    </w:p>
    <w:p>
      <w:pPr>
        <w:spacing w:after="120"/>
      </w:pPr>
      <w:r>
        <w:rPr>
          <w:color w:val="222A25"/>
          <w:sz w:val="21"/>
        </w:rPr>
        <w:t>En el recuadro «Visor de deforestación» (arriba a la izquierda) elija:</w:t>
      </w:r>
    </w:p>
    <w:p>
      <w:pPr>
        <w:pStyle w:val="ListBullet"/>
        <w:spacing w:after="40"/>
        <w:ind w:left="360"/>
      </w:pPr>
      <w:r>
        <w:rPr>
          <w:b/>
          <w:sz w:val="21"/>
        </w:rPr>
        <w:t>Un año a la vez:</w:t>
      </w:r>
      <w:r>
        <w:rPr>
          <w:sz w:val="21"/>
        </w:rPr>
        <w:t xml:space="preserve"> muestra los polígonos de un solo periodo, en rojo. Aparece la línea de tiempo de barras (ver abajo).</w:t>
      </w:r>
    </w:p>
    <w:p>
      <w:pPr>
        <w:pStyle w:val="ListBullet"/>
        <w:spacing w:after="40"/>
        <w:ind w:left="360"/>
      </w:pPr>
      <w:r>
        <w:rPr>
          <w:b/>
          <w:sz w:val="21"/>
        </w:rPr>
        <w:t>Ver todo:</w:t>
      </w:r>
      <w:r>
        <w:rPr>
          <w:sz w:val="21"/>
        </w:rPr>
        <w:t xml:space="preserve"> muestra todos los periodos a la vez, coloreando cada polígono según su año (de teal, más antiguo, a rojo/magenta, más reciente). La leyenda muestra la escala temporal 2000–2024.</w:t>
      </w:r>
    </w:p>
    <w:p>
      <w:pPr>
        <w:spacing w:after="120"/>
      </w:pPr>
      <w:r>
        <w:rPr>
          <w:color w:val="222A25"/>
          <w:sz w:val="21"/>
        </w:rPr>
        <w:t xml:space="preserve">Con el desplegable </w:t>
      </w:r>
      <w:r>
        <w:rPr>
          <w:b/>
          <w:color w:val="222A25"/>
          <w:sz w:val="21"/>
        </w:rPr>
        <w:t>Municipio</w:t>
      </w:r>
      <w:r>
        <w:rPr>
          <w:color w:val="222A25"/>
          <w:sz w:val="21"/>
        </w:rPr>
        <w:t xml:space="preserve"> puede limitar la vista a un solo municipio o dejar «Toda la jurisdicción».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La línea de tiempo de barras (modo «Un año a la vez»)</w:t>
      </w:r>
    </w:p>
    <w:p>
      <w:pPr>
        <w:spacing w:after="120"/>
      </w:pPr>
      <w:r>
        <w:rPr>
          <w:color w:val="222A25"/>
          <w:sz w:val="21"/>
        </w:rPr>
        <w:t xml:space="preserve">En la parte inferior encontrará una mini-gráfica donde </w:t>
      </w:r>
      <w:r>
        <w:rPr>
          <w:b/>
          <w:color w:val="222A25"/>
          <w:sz w:val="21"/>
        </w:rPr>
        <w:t>cada barra es un año</w:t>
      </w:r>
      <w:r>
        <w:rPr>
          <w:color w:val="222A25"/>
          <w:sz w:val="21"/>
        </w:rPr>
        <w:t xml:space="preserve"> y su altura representa la deforestación de ese periodo. Tiene tres formas de usarla:</w:t>
      </w:r>
    </w:p>
    <w:p>
      <w:pPr>
        <w:pStyle w:val="ListNumber"/>
        <w:spacing w:after="40"/>
        <w:ind w:left="360"/>
      </w:pPr>
      <w:r>
        <w:rPr>
          <w:b/>
          <w:sz w:val="21"/>
        </w:rPr>
        <w:t>Tocar una barra:</w:t>
      </w:r>
      <w:r>
        <w:rPr>
          <w:sz w:val="21"/>
        </w:rPr>
        <w:t xml:space="preserve"> salta directamente a ese año.</w:t>
      </w:r>
    </w:p>
    <w:p>
      <w:pPr>
        <w:pStyle w:val="ListNumber"/>
        <w:spacing w:after="40"/>
        <w:ind w:left="360"/>
      </w:pPr>
      <w:r>
        <w:rPr>
          <w:b/>
          <w:sz w:val="21"/>
        </w:rPr>
        <w:t>Barra deslizante:</w:t>
      </w:r>
      <w:r>
        <w:rPr>
          <w:sz w:val="21"/>
        </w:rPr>
        <w:t xml:space="preserve"> arrástrela para avanzar o retroceder año por año.</w:t>
      </w:r>
    </w:p>
    <w:p>
      <w:pPr>
        <w:pStyle w:val="ListNumber"/>
        <w:spacing w:after="40"/>
        <w:ind w:left="360"/>
      </w:pPr>
      <w:r>
        <w:rPr>
          <w:b/>
          <w:sz w:val="21"/>
        </w:rPr>
        <w:t>Reproducir (▶):</w:t>
      </w:r>
      <w:r>
        <w:rPr>
          <w:sz w:val="21"/>
        </w:rPr>
        <w:t xml:space="preserve"> activa la reproducción automática, que recorre los periodos uno tras otro; </w:t>
      </w:r>
      <w:r>
        <w:rPr>
          <w:b/>
          <w:sz w:val="21"/>
        </w:rPr>
        <w:t>⏸</w:t>
      </w:r>
      <w:r>
        <w:rPr>
          <w:sz w:val="21"/>
        </w:rPr>
        <w:t xml:space="preserve"> la pausa.</w:t>
      </w:r>
    </w:p>
    <w:p>
      <w:pPr>
        <w:spacing w:after="120"/>
      </w:pPr>
      <w:r>
        <w:rPr>
          <w:color w:val="222A25"/>
          <w:sz w:val="21"/>
        </w:rPr>
        <w:t>Junto al año seleccionado se muestra su número de focos y sus hectáreas.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Capas oficiales y panel de datos</w:t>
      </w:r>
    </w:p>
    <w:p>
      <w:pPr>
        <w:pStyle w:val="ListBullet"/>
        <w:spacing w:after="40"/>
        <w:ind w:left="360"/>
      </w:pPr>
      <w:r>
        <w:rPr>
          <w:b/>
          <w:sz w:val="21"/>
        </w:rPr>
        <w:t>Capas:</w:t>
      </w:r>
      <w:r>
        <w:rPr>
          <w:sz w:val="21"/>
        </w:rPr>
        <w:t xml:space="preserve"> el botón «Capas» abre el catálogo de la </w:t>
      </w:r>
      <w:r>
        <w:rPr>
          <w:b/>
          <w:sz w:val="21"/>
        </w:rPr>
        <w:t>cartografía oficial</w:t>
      </w:r>
      <w:r>
        <w:rPr>
          <w:sz w:val="21"/>
        </w:rPr>
        <w:t xml:space="preserve"> (Áreas protegidas, Resguardos indígenas, Consejos comunitarios, Cuencas, POMCAS, Reserva forestal Ley 2ª, Títulos mineros, entre otras). Enciéndalas para verlas debajo de la deforestación; toque una unidad para su detalle. «Apagar todas» las quita de golpe.</w:t>
      </w:r>
    </w:p>
    <w:p>
      <w:pPr>
        <w:pStyle w:val="ListBullet"/>
        <w:spacing w:after="40"/>
        <w:ind w:left="360"/>
      </w:pPr>
      <w:r>
        <w:rPr>
          <w:b/>
          <w:sz w:val="21"/>
        </w:rPr>
        <w:t>Datos:</w:t>
      </w:r>
      <w:r>
        <w:rPr>
          <w:sz w:val="21"/>
        </w:rPr>
        <w:t xml:space="preserve"> el botón «Datos» abre el panel de estadísticas de fragmentación: número de polígonos, área total, tamaño medio, mayor polígono y distribución por tamaño. En modo «Ver todo» incluye también los polígonos por periodo (clicables).</w:t>
      </w:r>
    </w:p>
    <w:p>
      <w:pPr>
        <w:pStyle w:val="ListBullet"/>
        <w:spacing w:after="40"/>
        <w:ind w:left="360"/>
      </w:pPr>
      <w:r>
        <w:rPr>
          <w:b/>
          <w:sz w:val="21"/>
        </w:rPr>
        <w:t>Descargar GeoJSON:</w:t>
      </w:r>
      <w:r>
        <w:rPr>
          <w:sz w:val="21"/>
        </w:rPr>
        <w:t xml:space="preserve"> en modo «Un año a la vez», el panel de datos ofrece </w:t>
      </w:r>
      <w:r>
        <w:rPr>
          <w:b/>
          <w:sz w:val="21"/>
        </w:rPr>
        <w:t>«Descargar GeoJSON del periodo»</w:t>
      </w:r>
      <w:r>
        <w:rPr>
          <w:sz w:val="21"/>
        </w:rPr>
        <w:t xml:space="preserve"> para llevar los polígonos a otro programa (por ejemplo, un SIG).</w:t>
      </w:r>
    </w:p>
    <w:p>
      <w:pPr>
        <w:spacing w:after="120"/>
      </w:pPr>
      <w:r>
        <w:rPr>
          <w:color w:val="222A25"/>
          <w:sz w:val="21"/>
        </w:rPr>
        <w:t xml:space="preserve">&gt; </w:t>
      </w:r>
      <w:r>
        <w:rPr>
          <w:b/>
          <w:color w:val="222A25"/>
          <w:sz w:val="21"/>
        </w:rPr>
        <w:t>Nota importante del visor:</w:t>
      </w:r>
      <w:r>
        <w:rPr>
          <w:color w:val="222A25"/>
          <w:sz w:val="21"/>
        </w:rPr>
        <w:t xml:space="preserve"> el visor contiene los polígonos de deforestación (incluidos los de menos de 1 ha) de </w:t>
      </w:r>
      <w:r>
        <w:rPr>
          <w:b/>
          <w:color w:val="222A25"/>
          <w:sz w:val="21"/>
        </w:rPr>
        <w:t>12 de los 18 periodos</w:t>
      </w:r>
      <w:r>
        <w:rPr>
          <w:color w:val="222A25"/>
          <w:sz w:val="21"/>
        </w:rPr>
        <w:t xml:space="preserve"> (cerca del 64 % de la deforestación total). No incluye el pico de </w:t>
      </w:r>
      <w:r>
        <w:rPr>
          <w:b/>
          <w:color w:val="222A25"/>
          <w:sz w:val="21"/>
        </w:rPr>
        <w:t>2015-2016</w:t>
      </w:r>
      <w:r>
        <w:rPr>
          <w:color w:val="222A25"/>
          <w:sz w:val="21"/>
        </w:rPr>
        <w:t xml:space="preserve"> ni otros cinco periodos, porque no se conservó su geometría. Por eso el visor no debe leerse como el total: para las cifras completas use el Dashboard.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Aprende · PRAES</w:t>
      </w:r>
    </w:p>
    <w:p>
      <w:pPr>
        <w:spacing w:after="120"/>
      </w:pPr>
      <w:r>
        <w:rPr>
          <w:color w:val="222A25"/>
          <w:sz w:val="21"/>
        </w:rPr>
        <w:t xml:space="preserve">El módulo </w:t>
      </w:r>
      <w:r>
        <w:rPr>
          <w:b/>
          <w:color w:val="222A25"/>
          <w:sz w:val="21"/>
        </w:rPr>
        <w:t>Aprende</w:t>
      </w:r>
      <w:r>
        <w:rPr>
          <w:color w:val="222A25"/>
          <w:sz w:val="21"/>
        </w:rPr>
        <w:t xml:space="preserve"> es el material educativo del observatorio, pensado para el aula y los PRAES. Cuenta la historia del bosque de Urabá con los datos reales de la plataforma.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Tres niveles</w:t>
      </w:r>
    </w:p>
    <w:p>
      <w:pPr>
        <w:spacing w:after="120"/>
      </w:pPr>
      <w:r>
        <w:rPr>
          <w:color w:val="222A25"/>
          <w:sz w:val="21"/>
        </w:rPr>
        <w:t>En la parte superior elija su nivel (su elección se recuerda):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Emoji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Grado sugerido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Explorador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🌱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Primaria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Guardián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🌿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Secundaria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Científico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🌳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</w:tr>
    </w:tbl>
    <w:p>
      <w:pPr>
        <w:spacing w:after="120"/>
      </w:pPr>
      <w:r>
        <w:rPr>
          <w:color w:val="222A25"/>
          <w:sz w:val="21"/>
        </w:rPr>
        <w:t>El texto de cada sección se adapta al nivel elegido.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Qué contiene</w:t>
      </w:r>
    </w:p>
    <w:p>
      <w:pPr>
        <w:pStyle w:val="ListNumber"/>
        <w:spacing w:after="40"/>
        <w:ind w:left="360"/>
      </w:pPr>
      <w:r>
        <w:rPr>
          <w:b/>
          <w:sz w:val="21"/>
        </w:rPr>
        <w:t>Storytelling:</w:t>
      </w:r>
      <w:r>
        <w:rPr>
          <w:sz w:val="21"/>
        </w:rPr>
        <w:t xml:space="preserve"> secciones ilustradas que explican qué es el bosque, por qué importa, sus impactos, el clima y las soluciones.</w:t>
      </w:r>
    </w:p>
    <w:p>
      <w:pPr>
        <w:pStyle w:val="ListNumber"/>
        <w:spacing w:after="40"/>
        <w:ind w:left="360"/>
      </w:pPr>
      <w:r>
        <w:rPr>
          <w:b/>
          <w:sz w:val="21"/>
        </w:rPr>
        <w:t>Quiz:</w:t>
      </w:r>
      <w:r>
        <w:rPr>
          <w:sz w:val="21"/>
        </w:rPr>
        <w:t xml:space="preserve"> ocho preguntas por nivel, con respuesta inmediata, explicación y resultado final.</w:t>
      </w:r>
    </w:p>
    <w:p>
      <w:pPr>
        <w:pStyle w:val="ListNumber"/>
        <w:spacing w:after="40"/>
        <w:ind w:left="360"/>
      </w:pPr>
      <w:r>
        <w:rPr>
          <w:b/>
          <w:sz w:val="21"/>
        </w:rPr>
        <w:t>Juego «Salva el Bosque» (El reto del guardabosques):</w:t>
      </w:r>
      <w:r>
        <w:rPr>
          <w:sz w:val="21"/>
        </w:rPr>
        <w:t xml:space="preserve"> un juego por turnos en el que sus acciones hacen crecer o proteger árboles mientras las amenazas se propagan; muestra los árboles vivos y relaciona el reto con cifras reales del territorio.</w:t>
      </w:r>
    </w:p>
    <w:p>
      <w:pPr>
        <w:pStyle w:val="ListNumber"/>
        <w:spacing w:after="40"/>
        <w:ind w:left="360"/>
      </w:pPr>
      <w:r>
        <w:rPr>
          <w:b/>
          <w:sz w:val="21"/>
        </w:rPr>
        <w:t>Historias locales:</w:t>
      </w:r>
      <w:r>
        <w:rPr>
          <w:sz w:val="21"/>
        </w:rPr>
        <w:t xml:space="preserve"> cuatro municipios (Turbo, Mutatá, Urrao y Vigía del Fuerte) con su gráfica real de deforestación (ha/año).</w:t>
      </w:r>
    </w:p>
    <w:p>
      <w:pPr>
        <w:pStyle w:val="ListNumber"/>
        <w:spacing w:after="40"/>
        <w:ind w:left="360"/>
      </w:pPr>
      <w:r>
        <w:rPr>
          <w:b/>
          <w:sz w:val="21"/>
        </w:rPr>
        <w:t>Glosario del bosque:</w:t>
      </w:r>
      <w:r>
        <w:rPr>
          <w:sz w:val="21"/>
        </w:rPr>
        <w:t xml:space="preserve"> definiciones en un acordeón desplegable.</w:t>
      </w:r>
    </w:p>
    <w:p>
      <w:pPr>
        <w:pStyle w:val="ListNumber"/>
        <w:spacing w:after="40"/>
        <w:ind w:left="360"/>
      </w:pPr>
      <w:r>
        <w:rPr>
          <w:b/>
          <w:sz w:val="21"/>
        </w:rPr>
        <w:t>Guía docente:</w:t>
      </w:r>
      <w:r>
        <w:rPr>
          <w:sz w:val="21"/>
        </w:rPr>
        <w:t xml:space="preserve"> enlace directo al Centro de datos para trabajar con las series y capas reales.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Centro de descargas</w:t>
      </w:r>
    </w:p>
    <w:p>
      <w:pPr>
        <w:spacing w:after="120"/>
      </w:pPr>
      <w:r>
        <w:rPr>
          <w:color w:val="222A25"/>
          <w:sz w:val="21"/>
        </w:rPr>
        <w:t xml:space="preserve">El módulo </w:t>
      </w:r>
      <w:r>
        <w:rPr>
          <w:b/>
          <w:color w:val="222A25"/>
          <w:sz w:val="21"/>
        </w:rPr>
        <w:t>Datos</w:t>
      </w:r>
      <w:r>
        <w:rPr>
          <w:color w:val="222A25"/>
          <w:sz w:val="21"/>
        </w:rPr>
        <w:t xml:space="preserve"> reúne todo lo descargable, con su metodología.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Conjuntos de datos principales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Formatos</w:t>
            </w:r>
          </w:p>
        </w:tc>
        <w:tc>
          <w:tcPr>
            <w:tcW w:type="dxa" w:w="3216"/>
            <w:shd w:val="clear" w:fill="1F7347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Serie municipal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CSV, Excel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Municipio × periodo × clase (1.123 filas)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Serie regional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CSV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Agregado de la jurisdicción por periodo y clase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Límites municipales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GeoJSON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Los 19 municipios (WGS84), con DANE y territorial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Hotspots por periodo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GeoJSON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Polígonos de deforestación de deforestación (incluidos los de menos de 1 ha) (12 periodos)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Capas de contexto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GeoJSON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Áreas protegidas, resguardos, consejos, cuencas y capas oficiales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Paquete completo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ZIP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Todos los datos procesados en un solo archivo</w:t>
            </w:r>
          </w:p>
        </w:tc>
      </w:tr>
    </w:tbl>
    <w:p>
      <w:pPr>
        <w:spacing w:after="120"/>
      </w:pPr>
      <w:r>
        <w:rPr>
          <w:color w:val="222A25"/>
          <w:sz w:val="21"/>
        </w:rPr>
        <w:t xml:space="preserve">También hay una sección con las </w:t>
      </w:r>
      <w:r>
        <w:rPr>
          <w:b/>
          <w:color w:val="222A25"/>
          <w:sz w:val="21"/>
        </w:rPr>
        <w:t>tablas y capas de la investigación temática</w:t>
      </w:r>
      <w:r>
        <w:rPr>
          <w:color w:val="222A25"/>
          <w:sz w:val="21"/>
        </w:rPr>
        <w:t>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Generador de extractos</w:t>
      </w:r>
    </w:p>
    <w:p>
      <w:pPr>
        <w:spacing w:after="120"/>
      </w:pPr>
      <w:r>
        <w:rPr>
          <w:color w:val="222A25"/>
          <w:sz w:val="21"/>
        </w:rPr>
        <w:t xml:space="preserve">Le permite bajar </w:t>
      </w:r>
      <w:r>
        <w:rPr>
          <w:b/>
          <w:color w:val="222A25"/>
          <w:sz w:val="21"/>
        </w:rPr>
        <w:t>solo lo que necesita</w:t>
      </w:r>
      <w:r>
        <w:rPr>
          <w:color w:val="222A25"/>
          <w:sz w:val="21"/>
        </w:rPr>
        <w:t>: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Elija </w:t>
      </w:r>
      <w:r>
        <w:rPr>
          <w:b/>
          <w:sz w:val="21"/>
        </w:rPr>
        <w:t>Municipio</w:t>
      </w:r>
      <w:r>
        <w:rPr>
          <w:sz w:val="21"/>
        </w:rPr>
        <w:t xml:space="preserve">, </w:t>
      </w:r>
      <w:r>
        <w:rPr>
          <w:b/>
          <w:sz w:val="21"/>
        </w:rPr>
        <w:t>Periodo</w:t>
      </w:r>
      <w:r>
        <w:rPr>
          <w:sz w:val="21"/>
        </w:rPr>
        <w:t xml:space="preserve"> y </w:t>
      </w:r>
      <w:r>
        <w:rPr>
          <w:b/>
          <w:sz w:val="21"/>
        </w:rPr>
        <w:t>Clase</w:t>
      </w:r>
      <w:r>
        <w:rPr>
          <w:sz w:val="21"/>
        </w:rPr>
        <w:t>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Descargue en </w:t>
      </w:r>
      <w:r>
        <w:rPr>
          <w:b/>
          <w:sz w:val="21"/>
        </w:rPr>
        <w:t>CSV</w:t>
      </w:r>
      <w:r>
        <w:rPr>
          <w:sz w:val="21"/>
        </w:rPr>
        <w:t xml:space="preserve"> o </w:t>
      </w:r>
      <w:r>
        <w:rPr>
          <w:b/>
          <w:sz w:val="21"/>
        </w:rPr>
        <w:t>Excel</w:t>
      </w:r>
      <w:r>
        <w:rPr>
          <w:sz w:val="21"/>
        </w:rPr>
        <w:t xml:space="preserve">, o pulse </w:t>
      </w:r>
      <w:r>
        <w:rPr>
          <w:b/>
          <w:sz w:val="21"/>
        </w:rPr>
        <w:t>Vista previa</w:t>
      </w:r>
      <w:r>
        <w:rPr>
          <w:sz w:val="21"/>
        </w:rPr>
        <w:t xml:space="preserve"> para revisar hasta 50 filas antes de descargar.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Diccionario y metodología</w:t>
      </w:r>
    </w:p>
    <w:p>
      <w:pPr>
        <w:pStyle w:val="ListBullet"/>
        <w:spacing w:after="40"/>
        <w:ind w:left="360"/>
      </w:pPr>
      <w:r>
        <w:rPr>
          <w:b/>
          <w:sz w:val="21"/>
        </w:rPr>
        <w:t>Diccionario de datos:</w:t>
      </w:r>
      <w:r>
        <w:rPr>
          <w:sz w:val="21"/>
        </w:rPr>
        <w:t xml:space="preserve"> explica cada columna de la serie municipal (código DANE, clase, hectáreas, hectáreas anuales, fuente, estimado, etc.).</w:t>
      </w:r>
    </w:p>
    <w:p>
      <w:pPr>
        <w:pStyle w:val="ListBullet"/>
        <w:spacing w:after="40"/>
        <w:ind w:left="360"/>
      </w:pPr>
      <w:r>
        <w:rPr>
          <w:b/>
          <w:sz w:val="21"/>
        </w:rPr>
        <w:t>Metodología y fuentes:</w:t>
      </w:r>
      <w:r>
        <w:rPr>
          <w:sz w:val="21"/>
        </w:rPr>
        <w:t xml:space="preserve"> tabla periodo por periodo con la fuente utilizada y la diferencia frente a los cálculos oficiales, más las notas sobre datos estimados y sobre 2015-2016. Al final se indican el CRS de origen (EPSG:3115) y de salida (EPSG:4326) y la atribución sugerida.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Cómo interpretar las cifras</w:t>
      </w:r>
    </w:p>
    <w:p>
      <w:pPr>
        <w:spacing w:after="120"/>
      </w:pPr>
      <w:r>
        <w:rPr>
          <w:color w:val="222A25"/>
          <w:sz w:val="21"/>
        </w:rPr>
        <w:t>Antes de sacar conclusiones, tenga presentes estas cuatro claves.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1. Dato medido vs. dato estimado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La mayoría de periodos son </w:t>
      </w:r>
      <w:r>
        <w:rPr>
          <w:b/>
          <w:sz w:val="21"/>
        </w:rPr>
        <w:t>datos medidos</w:t>
      </w:r>
      <w:r>
        <w:rPr>
          <w:sz w:val="21"/>
        </w:rPr>
        <w:t xml:space="preserve"> a partir de la cartografía oficial (shapefiles, hojas de cálculo o rásteres).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Solo </w:t>
      </w:r>
      <w:r>
        <w:rPr>
          <w:b/>
          <w:sz w:val="21"/>
        </w:rPr>
        <w:t>tres periodos</w:t>
      </w:r>
      <w:r>
        <w:rPr>
          <w:sz w:val="21"/>
        </w:rPr>
        <w:t xml:space="preserve"> son </w:t>
      </w:r>
      <w:r>
        <w:rPr>
          <w:b/>
          <w:sz w:val="21"/>
        </w:rPr>
        <w:t>estimados o calibrados</w:t>
      </w:r>
      <w:r>
        <w:rPr>
          <w:sz w:val="21"/>
        </w:rPr>
        <w:t xml:space="preserve">: </w:t>
      </w:r>
      <w:r>
        <w:rPr>
          <w:b/>
          <w:sz w:val="21"/>
        </w:rPr>
        <w:t>2010-2012, 2018-2019 y 2023-2024</w:t>
      </w:r>
      <w:r>
        <w:rPr>
          <w:sz w:val="21"/>
        </w:rPr>
        <w:t xml:space="preserve">. Se calcularon por tendencia porque no existe medición municipal directa. Se marcan </w:t>
      </w:r>
      <w:r>
        <w:rPr>
          <w:b/>
          <w:sz w:val="21"/>
        </w:rPr>
        <w:t>siempre</w:t>
      </w:r>
      <w:r>
        <w:rPr>
          <w:sz w:val="21"/>
        </w:rPr>
        <w:t xml:space="preserve"> con la insignia </w:t>
      </w:r>
      <w:r>
        <w:rPr>
          <w:b/>
          <w:sz w:val="21"/>
        </w:rPr>
        <w:t>estimado</w:t>
      </w:r>
      <w:r>
        <w:rPr>
          <w:sz w:val="21"/>
        </w:rPr>
        <w:t xml:space="preserve">, con una franja sombreada en las gráficas o con </w:t>
      </w:r>
      <w:r>
        <w:rPr>
          <w:b/>
          <w:sz w:val="21"/>
        </w:rPr>
        <w:t>borde discontinuo</w:t>
      </w:r>
      <w:r>
        <w:rPr>
          <w:sz w:val="21"/>
        </w:rPr>
        <w:t xml:space="preserve"> en el mapa. Úselos como referencia, no como cifra oficial.</w:t>
      </w:r>
    </w:p>
    <w:p>
      <w:pPr>
        <w:pStyle w:val="ListBullet"/>
        <w:spacing w:after="40"/>
        <w:ind w:left="360"/>
      </w:pPr>
      <w:r>
        <w:rPr>
          <w:b/>
          <w:sz w:val="21"/>
        </w:rPr>
        <w:t>2015-2016 sí es dato real (medido).</w:t>
      </w:r>
      <w:r>
        <w:rPr>
          <w:sz w:val="21"/>
        </w:rPr>
        <w:t xml:space="preserve"> Se recuperó de la tabla municipal oficial y corresponde al </w:t>
      </w:r>
      <w:r>
        <w:rPr>
          <w:b/>
          <w:sz w:val="21"/>
        </w:rPr>
        <w:t>pico de deforestación del periodo: 5.771 ha</w:t>
      </w:r>
      <w:r>
        <w:rPr>
          <w:sz w:val="21"/>
        </w:rPr>
        <w:t>. No aparece como polígonos en el Visor porque no se conservó su geometría, pero sus cifras en el Dashboard y en las series son reales.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2. Hectáreas totales vs. hectáreas por año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Los </w:t>
      </w:r>
      <w:r>
        <w:rPr>
          <w:b/>
          <w:sz w:val="21"/>
        </w:rPr>
        <w:t>cinco primeros periodos (2000–2010)</w:t>
      </w:r>
      <w:r>
        <w:rPr>
          <w:sz w:val="21"/>
        </w:rPr>
        <w:t xml:space="preserve"> abarcan </w:t>
      </w:r>
      <w:r>
        <w:rPr>
          <w:b/>
          <w:sz w:val="21"/>
        </w:rPr>
        <w:t>dos años</w:t>
      </w:r>
      <w:r>
        <w:rPr>
          <w:sz w:val="21"/>
        </w:rPr>
        <w:t xml:space="preserve"> cada uno; desde 2012 los periodos son </w:t>
      </w:r>
      <w:r>
        <w:rPr>
          <w:b/>
          <w:sz w:val="21"/>
        </w:rPr>
        <w:t>anuales</w:t>
      </w:r>
      <w:r>
        <w:rPr>
          <w:sz w:val="21"/>
        </w:rPr>
        <w:t>.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El </w:t>
      </w:r>
      <w:r>
        <w:rPr>
          <w:b/>
          <w:sz w:val="21"/>
        </w:rPr>
        <w:t>total del periodo</w:t>
      </w:r>
      <w:r>
        <w:rPr>
          <w:sz w:val="21"/>
        </w:rPr>
        <w:t xml:space="preserve"> (columna «hectáreas») suma todo lo perdido en su duración; las </w:t>
      </w:r>
      <w:r>
        <w:rPr>
          <w:b/>
          <w:sz w:val="21"/>
        </w:rPr>
        <w:t>hectáreas por año</w:t>
      </w:r>
      <w:r>
        <w:rPr>
          <w:sz w:val="21"/>
        </w:rPr>
        <w:t xml:space="preserve"> («ha/año») lo dividen por el número de años.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Para </w:t>
      </w:r>
      <w:r>
        <w:rPr>
          <w:b/>
          <w:sz w:val="21"/>
        </w:rPr>
        <w:t>comparar periodos entre sí en igualdad de condiciones, use siempre ha/año.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3. Por qué las cifras del Dashboard y del Visor pueden diferir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El </w:t>
      </w:r>
      <w:r>
        <w:rPr>
          <w:b/>
          <w:sz w:val="21"/>
        </w:rPr>
        <w:t>Dashboard</w:t>
      </w:r>
      <w:r>
        <w:rPr>
          <w:sz w:val="21"/>
        </w:rPr>
        <w:t xml:space="preserve"> trabaja con la </w:t>
      </w:r>
      <w:r>
        <w:rPr>
          <w:b/>
          <w:sz w:val="21"/>
        </w:rPr>
        <w:t>serie completa</w:t>
      </w:r>
      <w:r>
        <w:rPr>
          <w:sz w:val="21"/>
        </w:rPr>
        <w:t xml:space="preserve"> de los 18 periodos (incluidos los estimados y 2015-2016). Sus cifras representan el total.</w:t>
      </w:r>
    </w:p>
    <w:p>
      <w:pPr>
        <w:pStyle w:val="ListBullet"/>
        <w:spacing w:after="40"/>
        <w:ind w:left="360"/>
      </w:pPr>
      <w:r>
        <w:rPr>
          <w:sz w:val="21"/>
        </w:rPr>
        <w:t xml:space="preserve">El </w:t>
      </w:r>
      <w:r>
        <w:rPr>
          <w:b/>
          <w:sz w:val="21"/>
        </w:rPr>
        <w:t>Visor</w:t>
      </w:r>
      <w:r>
        <w:rPr>
          <w:sz w:val="21"/>
        </w:rPr>
        <w:t xml:space="preserve"> solo dibuja los </w:t>
      </w:r>
      <w:r>
        <w:rPr>
          <w:b/>
          <w:sz w:val="21"/>
        </w:rPr>
        <w:t>polígonos de deforestación (incluidos los de menos de 1 ha) de 12 periodos</w:t>
      </w:r>
      <w:r>
        <w:rPr>
          <w:sz w:val="21"/>
        </w:rPr>
        <w:t xml:space="preserve"> con geometría disponible (cerca del 64 % del total); </w:t>
      </w:r>
      <w:r>
        <w:rPr>
          <w:b/>
          <w:sz w:val="21"/>
        </w:rPr>
        <w:t>no incluye 2015-2016 ni otros cinco periodos</w:t>
      </w:r>
      <w:r>
        <w:rPr>
          <w:sz w:val="21"/>
        </w:rPr>
        <w:t xml:space="preserve">. Por eso el área que suma el Visor es </w:t>
      </w:r>
      <w:r>
        <w:rPr>
          <w:b/>
          <w:sz w:val="21"/>
        </w:rPr>
        <w:t>menor</w:t>
      </w:r>
      <w:r>
        <w:rPr>
          <w:sz w:val="21"/>
        </w:rPr>
        <w:t xml:space="preserve"> que el total del Dashboard.</w:t>
      </w:r>
    </w:p>
    <w:p>
      <w:pPr>
        <w:pStyle w:val="ListBullet"/>
        <w:spacing w:after="40"/>
        <w:ind w:left="360"/>
      </w:pPr>
      <w:r>
        <w:rPr>
          <w:b/>
          <w:sz w:val="21"/>
        </w:rPr>
        <w:t>Regla práctica:</w:t>
      </w:r>
      <w:r>
        <w:rPr>
          <w:sz w:val="21"/>
        </w:rPr>
        <w:t xml:space="preserve"> para cifras oficiales y totales, consulte el </w:t>
      </w:r>
      <w:r>
        <w:rPr>
          <w:b/>
          <w:sz w:val="21"/>
        </w:rPr>
        <w:t>Dashboard</w:t>
      </w:r>
      <w:r>
        <w:rPr>
          <w:sz w:val="21"/>
        </w:rPr>
        <w:t xml:space="preserve"> o el </w:t>
      </w:r>
      <w:r>
        <w:rPr>
          <w:b/>
          <w:sz w:val="21"/>
        </w:rPr>
        <w:t>Centro de descargas</w:t>
      </w:r>
      <w:r>
        <w:rPr>
          <w:sz w:val="21"/>
        </w:rPr>
        <w:t xml:space="preserve">; use el </w:t>
      </w:r>
      <w:r>
        <w:rPr>
          <w:b/>
          <w:sz w:val="21"/>
        </w:rPr>
        <w:t>Visor</w:t>
      </w:r>
      <w:r>
        <w:rPr>
          <w:sz w:val="21"/>
        </w:rPr>
        <w:t xml:space="preserve"> para ver </w:t>
      </w:r>
      <w:r>
        <w:rPr>
          <w:i/>
          <w:sz w:val="21"/>
        </w:rPr>
        <w:t>dónde</w:t>
      </w:r>
      <w:r>
        <w:rPr>
          <w:sz w:val="21"/>
        </w:rPr>
        <w:t xml:space="preserve"> ocurrió la deforestación, no </w:t>
      </w:r>
      <w:r>
        <w:rPr>
          <w:i/>
          <w:sz w:val="21"/>
        </w:rPr>
        <w:t>cuánta</w:t>
      </w:r>
      <w:r>
        <w:rPr>
          <w:sz w:val="21"/>
        </w:rPr>
        <w:t xml:space="preserve"> en total.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4. Cifra de referencia del observatorio</w:t>
      </w:r>
    </w:p>
    <w:p>
      <w:pPr>
        <w:spacing w:after="120"/>
      </w:pPr>
      <w:r>
        <w:rPr>
          <w:color w:val="222A25"/>
          <w:sz w:val="21"/>
        </w:rPr>
        <w:t xml:space="preserve">La deforestación acumulada 2000–2024 en la jurisdicción es de </w:t>
      </w:r>
      <w:r>
        <w:rPr>
          <w:b/>
          <w:color w:val="222A25"/>
          <w:sz w:val="21"/>
        </w:rPr>
        <w:t>≈ 46.846 ha</w:t>
      </w:r>
      <w:r>
        <w:rPr>
          <w:color w:val="222A25"/>
          <w:sz w:val="21"/>
        </w:rPr>
        <w:t xml:space="preserve">. El periodo más crítico medido es </w:t>
      </w:r>
      <w:r>
        <w:rPr>
          <w:b/>
          <w:color w:val="222A25"/>
          <w:sz w:val="21"/>
        </w:rPr>
        <w:t>2015-2016 (5.771 ha)</w:t>
      </w:r>
      <w:r>
        <w:rPr>
          <w:color w:val="222A25"/>
          <w:sz w:val="21"/>
        </w:rPr>
        <w:t>; los de menor pérdida están al inicio de la serie (2000-2002, con 1.590 ha).</w:t>
      </w:r>
    </w:p>
    <w:p>
      <w:pPr>
        <w:spacing w:before="280" w:after="80"/>
      </w:pPr>
      <w:r>
        <w:rPr>
          <w:rFonts w:ascii="Calibri" w:hAnsi="Calibri"/>
          <w:b/>
          <w:color w:val="0B3D25"/>
          <w:sz w:val="27"/>
        </w:rPr>
        <w:t>Casos de uso de ejemplo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Caso 1 — Un funcionario prepara un informe sobre un municipio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Entre a </w:t>
      </w:r>
      <w:r>
        <w:rPr>
          <w:b/>
          <w:sz w:val="21"/>
        </w:rPr>
        <w:t>Mapa</w:t>
      </w:r>
      <w:r>
        <w:rPr>
          <w:sz w:val="21"/>
        </w:rPr>
        <w:t xml:space="preserve"> y haga clic en el municipio de interés para ver su ficha (posición regional y total 2000–2024).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Pulse </w:t>
      </w:r>
      <w:r>
        <w:rPr>
          <w:b/>
          <w:sz w:val="21"/>
        </w:rPr>
        <w:t>«Ver en el dashboard»</w:t>
      </w:r>
      <w:r>
        <w:rPr>
          <w:sz w:val="21"/>
        </w:rPr>
        <w:t>: el Dashboard se abre con ese municipio ya filtrado.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Revise la serie temporal y descargue el </w:t>
      </w:r>
      <w:r>
        <w:rPr>
          <w:b/>
          <w:sz w:val="21"/>
        </w:rPr>
        <w:t>CSV del municipio</w:t>
      </w:r>
      <w:r>
        <w:rPr>
          <w:sz w:val="21"/>
        </w:rPr>
        <w:t xml:space="preserve"> desde la ficha del mapa, o use el </w:t>
      </w:r>
      <w:r>
        <w:rPr>
          <w:b/>
          <w:sz w:val="21"/>
        </w:rPr>
        <w:t>Generador de extractos</w:t>
      </w:r>
      <w:r>
        <w:rPr>
          <w:sz w:val="21"/>
        </w:rPr>
        <w:t xml:space="preserve"> del Centro de datos para acotar por periodo y clase.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Caso 2 — Un docente prepara una clase de PRAES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Entre a </w:t>
      </w:r>
      <w:r>
        <w:rPr>
          <w:b/>
          <w:sz w:val="21"/>
        </w:rPr>
        <w:t>Aprende</w:t>
      </w:r>
      <w:r>
        <w:rPr>
          <w:sz w:val="21"/>
        </w:rPr>
        <w:t xml:space="preserve"> y elija el nivel según su grado (Explorador, Guardián o Científico).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Recorra el storytelling, aplique el </w:t>
      </w:r>
      <w:r>
        <w:rPr>
          <w:b/>
          <w:sz w:val="21"/>
        </w:rPr>
        <w:t>quiz</w:t>
      </w:r>
      <w:r>
        <w:rPr>
          <w:sz w:val="21"/>
        </w:rPr>
        <w:t xml:space="preserve"> y use el juego </w:t>
      </w:r>
      <w:r>
        <w:rPr>
          <w:b/>
          <w:sz w:val="21"/>
        </w:rPr>
        <w:t>«Salva el Bosque»</w:t>
      </w:r>
      <w:r>
        <w:rPr>
          <w:sz w:val="21"/>
        </w:rPr>
        <w:t xml:space="preserve"> con los estudiantes.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Muestre la </w:t>
      </w:r>
      <w:r>
        <w:rPr>
          <w:b/>
          <w:sz w:val="21"/>
        </w:rPr>
        <w:t>historia local</w:t>
      </w:r>
      <w:r>
        <w:rPr>
          <w:sz w:val="21"/>
        </w:rPr>
        <w:t xml:space="preserve"> del municipio más cercano y, desde la </w:t>
      </w:r>
      <w:r>
        <w:rPr>
          <w:b/>
          <w:sz w:val="21"/>
        </w:rPr>
        <w:t>Guía docente</w:t>
      </w:r>
      <w:r>
        <w:rPr>
          <w:sz w:val="21"/>
        </w:rPr>
        <w:t>, descargue en el Centro de datos las series reales para trabajar en clase.</w:t>
      </w:r>
    </w:p>
    <w:p>
      <w:pPr>
        <w:spacing w:before="160" w:after="80"/>
      </w:pPr>
      <w:r>
        <w:rPr>
          <w:rFonts w:ascii="Calibri" w:hAnsi="Calibri"/>
          <w:b/>
          <w:color w:val="1F7347"/>
          <w:sz w:val="23"/>
        </w:rPr>
        <w:t>Caso 3 — Comparar varios municipios y ver dónde deforestan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En el </w:t>
      </w:r>
      <w:r>
        <w:rPr>
          <w:b/>
          <w:sz w:val="21"/>
        </w:rPr>
        <w:t>Dashboard</w:t>
      </w:r>
      <w:r>
        <w:rPr>
          <w:sz w:val="21"/>
        </w:rPr>
        <w:t xml:space="preserve">, seleccione entre 2 y 6 municipios (con sus fichas o el ranking clicable) y observe el </w:t>
      </w:r>
      <w:r>
        <w:rPr>
          <w:b/>
          <w:sz w:val="21"/>
        </w:rPr>
        <w:t>Comparador</w:t>
      </w:r>
      <w:r>
        <w:rPr>
          <w:sz w:val="21"/>
        </w:rPr>
        <w:t xml:space="preserve"> (ha/año).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Fije un </w:t>
      </w:r>
      <w:r>
        <w:rPr>
          <w:b/>
          <w:sz w:val="21"/>
        </w:rPr>
        <w:t>rango de años</w:t>
      </w:r>
      <w:r>
        <w:rPr>
          <w:sz w:val="21"/>
        </w:rPr>
        <w:t xml:space="preserve"> para centrarse en un periodo de interés.</w:t>
      </w:r>
    </w:p>
    <w:p>
      <w:pPr>
        <w:pStyle w:val="ListNumber"/>
        <w:spacing w:after="40"/>
        <w:ind w:left="360"/>
      </w:pPr>
      <w:r>
        <w:rPr>
          <w:sz w:val="21"/>
        </w:rPr>
        <w:t xml:space="preserve">Pase al </w:t>
      </w:r>
      <w:r>
        <w:rPr>
          <w:b/>
          <w:sz w:val="21"/>
        </w:rPr>
        <w:t>Visor</w:t>
      </w:r>
      <w:r>
        <w:rPr>
          <w:sz w:val="21"/>
        </w:rPr>
        <w:t xml:space="preserve">, elija el modo </w:t>
      </w:r>
      <w:r>
        <w:rPr>
          <w:b/>
          <w:sz w:val="21"/>
        </w:rPr>
        <w:t>«Un año a la vez»</w:t>
      </w:r>
      <w:r>
        <w:rPr>
          <w:sz w:val="21"/>
        </w:rPr>
        <w:t xml:space="preserve">, use la </w:t>
      </w:r>
      <w:r>
        <w:rPr>
          <w:b/>
          <w:sz w:val="21"/>
        </w:rPr>
        <w:t>línea de tiempo de barras</w:t>
      </w:r>
      <w:r>
        <w:rPr>
          <w:sz w:val="21"/>
        </w:rPr>
        <w:t xml:space="preserve"> para ubicar el año más crítico y encienda capas oficiales (por ejemplo, Áreas protegidas o Resguardos indígenas) para ver si la deforestación ocurre dentro de ellas. Descargue el </w:t>
      </w:r>
      <w:r>
        <w:rPr>
          <w:b/>
          <w:sz w:val="21"/>
        </w:rPr>
        <w:t>GeoJSON del periodo</w:t>
      </w:r>
      <w:r>
        <w:rPr>
          <w:sz w:val="21"/>
        </w:rPr>
        <w:t xml:space="preserve"> si necesita los polígonos.</w:t>
      </w:r>
    </w:p>
    <w:p>
      <w:pPr>
        <w:spacing w:after="120"/>
      </w:pPr>
      <w:r>
        <w:rPr>
          <w:i/>
          <w:color w:val="222A25"/>
          <w:sz w:val="21"/>
        </w:rPr>
        <w:t>Observatorio de Deforestación CORPOURABA · Monitoreo de bosques 2000–2024. Datos abiertos con fines de gestión ambiental y educación. Plataforma creada por Alberto Vivas y Carlos Zuluaga.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>Soporte documental · Observatorio de Deforestación CORPOURABA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