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70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rpoura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0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color w:val="6B7280"/>
          <w:sz w:val="21"/>
        </w:rPr>
        <w:t>OBSERVATORIO DE DEFORESTACIÓN CORPOURABA</w:t>
      </w:r>
    </w:p>
    <w:p>
      <w:pPr>
        <w:spacing w:after="80"/>
        <w:pBdr>
          <w:bottom w:val="single" w:sz="6" w:space="2" w:color="1F7347"/>
        </w:pBdr>
      </w:pPr>
      <w:r>
        <w:rPr>
          <w:b/>
          <w:color w:val="0B3D25"/>
          <w:sz w:val="48"/>
        </w:rPr>
        <w:t>Documentación Técnica (Manual del Sistema)</w:t>
      </w:r>
    </w:p>
    <w:p>
      <w:pPr>
        <w:spacing w:after="200"/>
      </w:pPr>
      <w:r>
        <w:rPr>
          <w:color w:val="6B7280"/>
          <w:sz w:val="20"/>
        </w:rPr>
        <w:t>CORPOURABA — Corporación para el Desarrollo Sostenible del Urabá</w:t>
        <w:br/>
        <w:t>Soporte documental de la plataforma web · Deforestación 2000–2024</w:t>
        <w:br/>
        <w:t>Plataforma creada por Alberto Vivas y Carlos Zuluaga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Observatorio de Deforestación CORPOURABA 2000–2024</w:t>
      </w:r>
    </w:p>
    <w:p>
      <w:pPr>
        <w:spacing w:after="120"/>
      </w:pPr>
      <w:r>
        <w:rPr>
          <w:color w:val="222A25"/>
          <w:sz w:val="21"/>
        </w:rPr>
        <w:t>Este manual está dirigido a ingenieros y desarrolladores encargados del mantenimiento, la regeneración de datos y el despliegue de la plataforma. Describe la arquitectura, el stack, la estructura del repositorio, las rutas de la API, los procedimientos de ejecución local, la regeneración de datos y entregables, y el despliegue en Vercel. Todas las cifras, rutas y campos citados se han verificado contra el código y los datos reales del proyecto.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1. Arquitectura general</w:t>
      </w:r>
    </w:p>
    <w:p>
      <w:pPr>
        <w:spacing w:after="120"/>
      </w:pPr>
      <w:r>
        <w:rPr>
          <w:color w:val="222A25"/>
          <w:sz w:val="21"/>
        </w:rPr>
        <w:t xml:space="preserve">El Observatorio es una </w:t>
      </w:r>
      <w:r>
        <w:rPr>
          <w:b/>
          <w:color w:val="222A25"/>
          <w:sz w:val="21"/>
        </w:rPr>
        <w:t>aplicación Next.js 14 de proyecto único</w:t>
      </w:r>
      <w:r>
        <w:rPr>
          <w:color w:val="222A25"/>
          <w:sz w:val="21"/>
        </w:rPr>
        <w:t xml:space="preserve"> que integra frontend y backend en un mismo despliegue, usando el </w:t>
      </w:r>
      <w:r>
        <w:rPr>
          <w:b/>
          <w:color w:val="222A25"/>
          <w:sz w:val="21"/>
        </w:rPr>
        <w:t>App Router</w:t>
      </w:r>
      <w:r>
        <w:rPr>
          <w:color w:val="222A25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sz w:val="21"/>
        </w:rPr>
        <w:t>Backend nativo en Next.js.</w:t>
      </w:r>
      <w:r>
        <w:rPr>
          <w:sz w:val="21"/>
        </w:rPr>
        <w:t xml:space="preserve"> El backend original estaba escrito en </w:t>
      </w:r>
      <w:r>
        <w:rPr>
          <w:b/>
          <w:sz w:val="21"/>
        </w:rPr>
        <w:t>FastAPI</w:t>
      </w:r>
      <w:r>
        <w:rPr>
          <w:sz w:val="21"/>
        </w:rPr>
        <w:t xml:space="preserve"> (Python), y todavía se conserva como referencia bajo </w:t>
      </w:r>
      <w:r>
        <w:rPr>
          <w:rFonts w:ascii="Consolas" w:hAnsi="Consolas"/>
          <w:color w:val="9F1239"/>
          <w:sz w:val="19"/>
        </w:rPr>
        <w:t>backend/</w:t>
      </w:r>
      <w:r>
        <w:rPr>
          <w:sz w:val="21"/>
        </w:rPr>
        <w:t xml:space="preserve"> (ver sección 3). Para desplegar todo-en-uno en Vercel, esa API se portó a </w:t>
      </w:r>
      <w:r>
        <w:rPr>
          <w:b/>
          <w:sz w:val="21"/>
        </w:rPr>
        <w:t>route handlers nativos de Next.js</w:t>
      </w:r>
      <w:r>
        <w:rPr>
          <w:sz w:val="21"/>
        </w:rPr>
        <w:t xml:space="preserve"> ubicados en </w:t>
      </w:r>
      <w:r>
        <w:rPr>
          <w:rFonts w:ascii="Consolas" w:hAnsi="Consolas"/>
          <w:color w:val="9F1239"/>
          <w:sz w:val="19"/>
        </w:rPr>
        <w:t>frontend/src/app/api/v1/**</w:t>
      </w:r>
      <w:r>
        <w:rPr>
          <w:sz w:val="21"/>
        </w:rPr>
        <w:t xml:space="preserve">. Cada handler es una función </w:t>
      </w:r>
      <w:r>
        <w:rPr>
          <w:rFonts w:ascii="Consolas" w:hAnsi="Consolas"/>
          <w:color w:val="9F1239"/>
          <w:sz w:val="19"/>
        </w:rPr>
        <w:t>GET</w:t>
      </w:r>
      <w:r>
        <w:rPr>
          <w:sz w:val="21"/>
        </w:rPr>
        <w:t xml:space="preserve"> (con </w:t>
      </w:r>
      <w:r>
        <w:rPr>
          <w:rFonts w:ascii="Consolas" w:hAnsi="Consolas"/>
          <w:color w:val="9F1239"/>
          <w:sz w:val="19"/>
        </w:rPr>
        <w:t>export const runtime = 'nodejs'</w:t>
      </w:r>
      <w:r>
        <w:rPr>
          <w:sz w:val="21"/>
        </w:rPr>
        <w:t xml:space="preserve"> y </w:t>
      </w:r>
      <w:r>
        <w:rPr>
          <w:rFonts w:ascii="Consolas" w:hAnsi="Consolas"/>
          <w:color w:val="9F1239"/>
          <w:sz w:val="19"/>
        </w:rPr>
        <w:t>export const dynamic = 'force-dynamic'</w:t>
      </w:r>
      <w:r>
        <w:rPr>
          <w:sz w:val="21"/>
        </w:rPr>
        <w:t xml:space="preserve">) que delega la lógica en los módulos de </w:t>
      </w:r>
      <w:r>
        <w:rPr>
          <w:rFonts w:ascii="Consolas" w:hAnsi="Consolas"/>
          <w:color w:val="9F1239"/>
          <w:sz w:val="19"/>
        </w:rPr>
        <w:t>frontend/src/server/*.ts</w:t>
      </w:r>
      <w:r>
        <w:rPr>
          <w:sz w:val="21"/>
        </w:rPr>
        <w:t>.</w:t>
      </w:r>
    </w:p>
    <w:p>
      <w:pPr>
        <w:pStyle w:val="ListBullet"/>
        <w:spacing w:after="40"/>
        <w:ind w:left="360"/>
      </w:pPr>
      <w:r>
        <w:rPr>
          <w:sz w:val="21"/>
        </w:rPr>
        <w:t>*</w:t>
      </w:r>
      <w:r>
        <w:rPr>
          <w:i/>
          <w:sz w:val="21"/>
        </w:rPr>
        <w:t>Lógica de datos en `server/</w:t>
      </w:r>
      <w:r>
        <w:rPr>
          <w:sz w:val="21"/>
        </w:rPr>
        <w:t>.ts</w:t>
      </w:r>
      <w:r>
        <w:rPr>
          <w:rFonts w:ascii="Consolas" w:hAnsi="Consolas"/>
          <w:color w:val="9F1239"/>
          <w:sz w:val="19"/>
        </w:rPr>
        <w:t xml:space="preserve">.** El módulo </w:t>
      </w:r>
      <w:r>
        <w:rPr>
          <w:sz w:val="21"/>
        </w:rPr>
        <w:t>server/datos.ts</w:t>
      </w:r>
      <w:r>
        <w:rPr>
          <w:rFonts w:ascii="Consolas" w:hAnsi="Consolas"/>
          <w:color w:val="9F1239"/>
          <w:sz w:val="19"/>
        </w:rPr>
        <w:t xml:space="preserve"> es una réplica en TypeScript del repositorio de datos de FastAPI: carga en memoria los CSV, GeoJSON y </w:t>
      </w:r>
      <w:r>
        <w:rPr>
          <w:sz w:val="21"/>
        </w:rPr>
        <w:t>metadata.json</w:t>
      </w:r>
      <w:r>
        <w:rPr>
          <w:rFonts w:ascii="Consolas" w:hAnsi="Consolas"/>
          <w:color w:val="9F1239"/>
          <w:sz w:val="19"/>
        </w:rPr>
        <w:t xml:space="preserve"> desde </w:t>
      </w:r>
      <w:r>
        <w:rPr>
          <w:sz w:val="21"/>
        </w:rPr>
        <w:t>data/processed</w:t>
      </w:r>
      <w:r>
        <w:rPr>
          <w:rFonts w:ascii="Consolas" w:hAnsi="Consolas"/>
          <w:color w:val="9F1239"/>
          <w:sz w:val="19"/>
        </w:rPr>
        <w:t xml:space="preserve">, y expone helpers de filtrado, validación y caché (el objeto </w:t>
      </w:r>
      <w:r>
        <w:rPr>
          <w:sz w:val="21"/>
        </w:rPr>
        <w:t>_cache</w:t>
      </w:r>
      <w:r>
        <w:rPr>
          <w:rFonts w:ascii="Consolas" w:hAnsi="Consolas"/>
          <w:color w:val="9F1239"/>
          <w:sz w:val="19"/>
        </w:rPr>
        <w:t xml:space="preserve"> se comparte entre invocaciones del módulo). Los módulos </w:t>
      </w:r>
      <w:r>
        <w:rPr>
          <w:sz w:val="21"/>
        </w:rPr>
        <w:t>analitica.ts</w:t>
      </w:r>
      <w:r>
        <w:rPr>
          <w:rFonts w:ascii="Consolas" w:hAnsi="Consolas"/>
          <w:color w:val="9F1239"/>
          <w:sz w:val="19"/>
        </w:rPr>
        <w:t xml:space="preserve">, </w:t>
      </w:r>
      <w:r>
        <w:rPr>
          <w:sz w:val="21"/>
        </w:rPr>
        <w:t>analisis.ts</w:t>
      </w:r>
      <w:r>
        <w:rPr>
          <w:rFonts w:ascii="Consolas" w:hAnsi="Consolas"/>
          <w:color w:val="9F1239"/>
          <w:sz w:val="19"/>
        </w:rPr>
        <w:t xml:space="preserve"> y </w:t>
      </w:r>
      <w:r>
        <w:rPr>
          <w:sz w:val="21"/>
        </w:rPr>
        <w:t>descargas.ts` implementan los cálculos de KPIs, análisis temático y generación de descargas.</w:t>
      </w:r>
    </w:p>
    <w:p>
      <w:pPr>
        <w:pStyle w:val="ListBullet"/>
        <w:spacing w:after="40"/>
        <w:ind w:left="360"/>
      </w:pPr>
      <w:r>
        <w:rPr>
          <w:b/>
          <w:sz w:val="21"/>
        </w:rPr>
        <w:t>Empaquetado de datos con `outputFileTracingIncludes`.</w:t>
      </w:r>
      <w:r>
        <w:rPr>
          <w:sz w:val="21"/>
        </w:rPr>
        <w:t xml:space="preserve"> Los datasets procesados viven en </w:t>
      </w:r>
      <w:r>
        <w:rPr>
          <w:rFonts w:ascii="Consolas" w:hAnsi="Consolas"/>
          <w:color w:val="9F1239"/>
          <w:sz w:val="19"/>
        </w:rPr>
        <w:t>data/processed</w:t>
      </w:r>
      <w:r>
        <w:rPr>
          <w:sz w:val="21"/>
        </w:rPr>
        <w:t xml:space="preserve">. Para que las funciones serverless de Vercel incluyan esos archivos, </w:t>
      </w:r>
      <w:r>
        <w:rPr>
          <w:rFonts w:ascii="Consolas" w:hAnsi="Consolas"/>
          <w:color w:val="9F1239"/>
          <w:sz w:val="19"/>
        </w:rPr>
        <w:t>next.config.mjs</w:t>
      </w:r>
      <w:r>
        <w:rPr>
          <w:sz w:val="21"/>
        </w:rPr>
        <w:t xml:space="preserve"> declara: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experimental: {</w:t>
      </w:r>
    </w:p>
    <w:p>
      <w:pPr>
        <w:spacing w:after="120"/>
      </w:pPr>
      <w:r>
        <w:rPr>
          <w:color w:val="222A25"/>
          <w:sz w:val="21"/>
        </w:rPr>
        <w:t>outputFileTracingIncludes: {</w:t>
      </w:r>
    </w:p>
    <w:p>
      <w:pPr>
        <w:spacing w:after="120"/>
      </w:pPr>
      <w:r>
        <w:rPr>
          <w:color w:val="222A25"/>
          <w:sz w:val="21"/>
        </w:rPr>
        <w:t>'/api/</w:t>
      </w:r>
      <w:r>
        <w:rPr>
          <w:b/>
          <w:color w:val="222A25"/>
          <w:sz w:val="21"/>
        </w:rPr>
        <w:t>': ['./data/processed/</w:t>
      </w:r>
      <w:r>
        <w:rPr>
          <w:color w:val="222A25"/>
          <w:sz w:val="21"/>
        </w:rPr>
        <w:t>/*'],</w:t>
      </w:r>
    </w:p>
    <w:p>
      <w:pPr>
        <w:spacing w:after="120"/>
      </w:pPr>
      <w:r>
        <w:rPr>
          <w:color w:val="222A25"/>
          <w:sz w:val="21"/>
        </w:rPr>
        <w:t>},</w:t>
      </w:r>
    </w:p>
    <w:p>
      <w:pPr>
        <w:spacing w:after="120"/>
      </w:pPr>
      <w:r>
        <w:rPr>
          <w:color w:val="222A25"/>
          <w:sz w:val="21"/>
        </w:rPr>
        <w:t>}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Como el Root Directory de Vercel es </w:t>
      </w:r>
      <w:r>
        <w:rPr>
          <w:rFonts w:ascii="Consolas" w:hAnsi="Consolas"/>
          <w:color w:val="9F1239"/>
          <w:sz w:val="19"/>
        </w:rPr>
        <w:t>frontend/</w:t>
      </w:r>
      <w:r>
        <w:rPr>
          <w:color w:val="222A25"/>
          <w:sz w:val="21"/>
        </w:rPr>
        <w:t xml:space="preserve"> (ver sección 9), existe una copia de los datos en </w:t>
      </w:r>
      <w:r>
        <w:rPr>
          <w:b/>
          <w:color w:val="222A25"/>
          <w:sz w:val="21"/>
        </w:rPr>
        <w:t>`frontend/data/processed`</w:t>
      </w:r>
      <w:r>
        <w:rPr>
          <w:color w:val="222A25"/>
          <w:sz w:val="21"/>
        </w:rPr>
        <w:t xml:space="preserve">, que es la ruta que los handlers resuelven en tiempo de ejecución mediante </w:t>
      </w:r>
      <w:r>
        <w:rPr>
          <w:rFonts w:ascii="Consolas" w:hAnsi="Consolas"/>
          <w:color w:val="9F1239"/>
          <w:sz w:val="19"/>
        </w:rPr>
        <w:t>path.join(process.cwd(), 'data', 'processed')</w:t>
      </w:r>
      <w:r>
        <w:rPr>
          <w:color w:val="222A25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sz w:val="21"/>
        </w:rPr>
        <w:t>Sin dependencias de CDN en runtime.</w:t>
      </w:r>
      <w:r>
        <w:rPr>
          <w:sz w:val="21"/>
        </w:rPr>
        <w:t xml:space="preserve"> Las fuentes se autoalojan vía </w:t>
      </w:r>
      <w:r>
        <w:rPr>
          <w:rFonts w:ascii="Consolas" w:hAnsi="Consolas"/>
          <w:color w:val="9F1239"/>
          <w:sz w:val="19"/>
        </w:rPr>
        <w:t>next/font</w:t>
      </w:r>
      <w:r>
        <w:rPr>
          <w:sz w:val="21"/>
        </w:rPr>
        <w:t>; no hay llamadas a CDN externos en tiempo de ejecución.</w:t>
      </w:r>
    </w:p>
    <w:p>
      <w:pPr>
        <w:pStyle w:val="ListBullet"/>
        <w:spacing w:after="40"/>
        <w:ind w:left="360"/>
      </w:pPr>
      <w:r>
        <w:rPr>
          <w:b/>
          <w:sz w:val="21"/>
        </w:rPr>
        <w:t>Frontend.</w:t>
      </w:r>
      <w:r>
        <w:rPr>
          <w:sz w:val="21"/>
        </w:rPr>
        <w:t xml:space="preserve"> Las páginas (</w:t>
      </w:r>
      <w:r>
        <w:rPr>
          <w:rFonts w:ascii="Consolas" w:hAnsi="Consolas"/>
          <w:color w:val="9F1239"/>
          <w:sz w:val="19"/>
        </w:rPr>
        <w:t>app/page.tsx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dashboard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mapa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parches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aprende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datos</w:t>
      </w:r>
      <w:r>
        <w:rPr>
          <w:sz w:val="21"/>
        </w:rPr>
        <w:t xml:space="preserve">) consumen la API interna </w:t>
      </w:r>
      <w:r>
        <w:rPr>
          <w:rFonts w:ascii="Consolas" w:hAnsi="Consolas"/>
          <w:color w:val="9F1239"/>
          <w:sz w:val="19"/>
        </w:rPr>
        <w:t>/api/v1/**</w:t>
      </w:r>
      <w:r>
        <w:rPr>
          <w:sz w:val="21"/>
        </w:rPr>
        <w:t xml:space="preserve">. El mapa y el visor usan </w:t>
      </w:r>
      <w:r>
        <w:rPr>
          <w:rFonts w:ascii="Consolas" w:hAnsi="Consolas"/>
          <w:color w:val="9F1239"/>
          <w:sz w:val="19"/>
        </w:rPr>
        <w:t>react-leaflet</w:t>
      </w:r>
      <w:r>
        <w:rPr>
          <w:sz w:val="21"/>
        </w:rPr>
        <w:t xml:space="preserve">; las gráficas usan </w:t>
      </w:r>
      <w:r>
        <w:rPr>
          <w:rFonts w:ascii="Consolas" w:hAnsi="Consolas"/>
          <w:color w:val="9F1239"/>
          <w:sz w:val="19"/>
        </w:rPr>
        <w:t>Recharts</w:t>
      </w:r>
      <w:r>
        <w:rPr>
          <w:sz w:val="21"/>
        </w:rPr>
        <w:t xml:space="preserve">; el estado de cliente usa </w:t>
      </w:r>
      <w:r>
        <w:rPr>
          <w:rFonts w:ascii="Consolas" w:hAnsi="Consolas"/>
          <w:color w:val="9F1239"/>
          <w:sz w:val="19"/>
        </w:rPr>
        <w:t>zustand</w:t>
      </w:r>
      <w:r>
        <w:rPr>
          <w:sz w:val="21"/>
        </w:rPr>
        <w:t xml:space="preserve">; los estilos usan </w:t>
      </w:r>
      <w:r>
        <w:rPr>
          <w:rFonts w:ascii="Consolas" w:hAnsi="Consolas"/>
          <w:color w:val="9F1239"/>
          <w:sz w:val="19"/>
        </w:rPr>
        <w:t>Tailwind CSS</w:t>
      </w:r>
      <w:r>
        <w:rPr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2. Stack y versiones</w:t>
      </w:r>
    </w:p>
    <w:p>
      <w:pPr>
        <w:spacing w:after="120"/>
      </w:pPr>
      <w:r>
        <w:rPr>
          <w:color w:val="222A25"/>
          <w:sz w:val="21"/>
        </w:rPr>
        <w:t xml:space="preserve">Versiones tomadas de </w:t>
      </w:r>
      <w:r>
        <w:rPr>
          <w:rFonts w:ascii="Consolas" w:hAnsi="Consolas"/>
          <w:color w:val="9F1239"/>
          <w:sz w:val="19"/>
        </w:rPr>
        <w:t>frontend/package.json</w:t>
      </w:r>
      <w:r>
        <w:rPr>
          <w:color w:val="222A25"/>
          <w:sz w:val="21"/>
        </w:rPr>
        <w:t xml:space="preserve"> (frontend) y de </w:t>
      </w:r>
      <w:r>
        <w:rPr>
          <w:rFonts w:ascii="Consolas" w:hAnsi="Consolas"/>
          <w:color w:val="9F1239"/>
          <w:sz w:val="19"/>
        </w:rPr>
        <w:t>backend/requirements.txt</w:t>
      </w:r>
      <w:r>
        <w:rPr>
          <w:color w:val="222A25"/>
          <w:sz w:val="21"/>
        </w:rPr>
        <w:t xml:space="preserve"> (backend legacy).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Frontend (`frontend/package.json`)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Dependencia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Versión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next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14.2.15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react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18.3.1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react-dom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18.3.1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react-leaflet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4.2.1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leaflet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1.9.4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recharts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2.12.7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zustand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~4.5.5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framer-motion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^11.11.9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lucide-react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^0.454.0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^2.1.1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jszip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^3.10.1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xlsx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^0.18.5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html-to-image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~1.11.11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Frontend — herramientas de desarrollo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Dependencia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Versión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typescript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^5.4.5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tailwindcss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~3.4.14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postcss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^8.4.47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autoprefixer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^10.4.20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eslint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^8.57.1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eslint-config-next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14.2.15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@types/node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^20.14.15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@types/react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^18.3.11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@types/leaflet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^1.9.12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@types/geojson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^7946.0.14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Backend legacy (`backend/requirements.txt`)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Dependencia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Versión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fastapi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&gt;=0.110,&lt;1.0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uvicorn[standard]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&gt;=0.29,&lt;1.0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pandas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&gt;=2.0,&lt;3.0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openpyxl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&gt;=3.1,&lt;4.0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pytest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&gt;=8.0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httpx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&gt;=0.27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ETL (Python)</w:t>
      </w:r>
    </w:p>
    <w:p>
      <w:pPr>
        <w:spacing w:after="120"/>
      </w:pPr>
      <w:r>
        <w:rPr>
          <w:color w:val="222A25"/>
          <w:sz w:val="21"/>
        </w:rPr>
        <w:t xml:space="preserve">El ETL requiere pila geoespacial: </w:t>
      </w:r>
      <w:r>
        <w:rPr>
          <w:rFonts w:ascii="Consolas" w:hAnsi="Consolas"/>
          <w:color w:val="9F1239"/>
          <w:sz w:val="19"/>
        </w:rPr>
        <w:t>geopandas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pyogrio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rasterio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numpy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pandas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shapely</w:t>
      </w:r>
      <w:r>
        <w:rPr>
          <w:color w:val="222A25"/>
          <w:sz w:val="21"/>
        </w:rPr>
        <w:t xml:space="preserve">. Los entregables Word usan Node.js con el módulo </w:t>
      </w:r>
      <w:r>
        <w:rPr>
          <w:rFonts w:ascii="Consolas" w:hAnsi="Consolas"/>
          <w:color w:val="9F1239"/>
          <w:sz w:val="19"/>
        </w:rPr>
        <w:t>docx</w:t>
      </w:r>
      <w:r>
        <w:rPr>
          <w:color w:val="222A25"/>
          <w:sz w:val="21"/>
        </w:rPr>
        <w:t xml:space="preserve">, y el dashboard Excel usa </w:t>
      </w:r>
      <w:r>
        <w:rPr>
          <w:rFonts w:ascii="Consolas" w:hAnsi="Consolas"/>
          <w:color w:val="9F1239"/>
          <w:sz w:val="19"/>
        </w:rPr>
        <w:t>openpyxl</w:t>
      </w:r>
      <w:r>
        <w:rPr>
          <w:color w:val="222A25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3. Estructura de carpetas</w:t>
      </w:r>
    </w:p>
    <w:p>
      <w:pPr>
        <w:spacing w:after="120"/>
      </w:pPr>
      <w:r>
        <w:rPr>
          <w:color w:val="222A25"/>
          <w:sz w:val="21"/>
        </w:rPr>
        <w:t xml:space="preserve">Árbol comentado de la raíz </w:t>
      </w:r>
      <w:r>
        <w:rPr>
          <w:rFonts w:ascii="Consolas" w:hAnsi="Consolas"/>
          <w:color w:val="9F1239"/>
          <w:sz w:val="19"/>
        </w:rPr>
        <w:t>E:\drive-download-20260703T192518Z-3-001\observatorio-deforestacion</w:t>
      </w:r>
      <w:r>
        <w:rPr>
          <w:color w:val="222A25"/>
          <w:sz w:val="21"/>
        </w:rPr>
        <w:t>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observatorio-deforestacion/</w:t>
      </w:r>
    </w:p>
    <w:p>
      <w:pPr>
        <w:spacing w:after="120"/>
      </w:pPr>
      <w:r>
        <w:rPr>
          <w:color w:val="222A25"/>
          <w:sz w:val="21"/>
        </w:rPr>
        <w:t>├── README.md</w:t>
      </w:r>
    </w:p>
    <w:p>
      <w:pPr>
        <w:spacing w:after="120"/>
      </w:pPr>
      <w:r>
        <w:rPr>
          <w:color w:val="222A25"/>
          <w:sz w:val="21"/>
        </w:rPr>
        <w:t>├── SPEC.md                         Contrato API + diseño + estructura acordados</w:t>
      </w:r>
    </w:p>
    <w:p>
      <w:pPr>
        <w:spacing w:after="120"/>
      </w:pPr>
      <w:r>
        <w:rPr>
          <w:color w:val="222A25"/>
          <w:sz w:val="21"/>
        </w:rPr>
        <w:t>├── docs/                           Documentación complementaria</w:t>
      </w:r>
    </w:p>
    <w:p>
      <w:pPr>
        <w:spacing w:after="120"/>
      </w:pPr>
      <w:r>
        <w:rPr>
          <w:color w:val="222A25"/>
          <w:sz w:val="21"/>
        </w:rPr>
        <w:t>│</w:t>
      </w:r>
    </w:p>
    <w:p>
      <w:pPr>
        <w:spacing w:after="120"/>
      </w:pPr>
      <w:r>
        <w:rPr>
          <w:color w:val="222A25"/>
          <w:sz w:val="21"/>
        </w:rPr>
        <w:t>├── frontend/                       Aplicación Next.js 14 (App Router) — raíz de despliegue</w:t>
      </w:r>
    </w:p>
    <w:p>
      <w:pPr>
        <w:spacing w:after="120"/>
      </w:pPr>
      <w:r>
        <w:rPr>
          <w:color w:val="222A25"/>
          <w:sz w:val="21"/>
        </w:rPr>
        <w:t>│   ├── package.json</w:t>
      </w:r>
    </w:p>
    <w:p>
      <w:pPr>
        <w:spacing w:after="120"/>
      </w:pPr>
      <w:r>
        <w:rPr>
          <w:color w:val="222A25"/>
          <w:sz w:val="21"/>
        </w:rPr>
        <w:t>│   ├── next.config.mjs             outputFileTracingIncludes de data/processed</w:t>
      </w:r>
    </w:p>
    <w:p>
      <w:pPr>
        <w:spacing w:after="120"/>
      </w:pPr>
      <w:r>
        <w:rPr>
          <w:color w:val="222A25"/>
          <w:sz w:val="21"/>
        </w:rPr>
        <w:t>│   ├── data/processed/             Copia empaquetada de los datos (leída en runtime)</w:t>
      </w:r>
    </w:p>
    <w:p>
      <w:pPr>
        <w:spacing w:after="120"/>
      </w:pPr>
      <w:r>
        <w:rPr>
          <w:color w:val="222A25"/>
          <w:sz w:val="21"/>
        </w:rPr>
        <w:t>│   ├── public/                     Estáticos (logo-corpouraba.png, etc.)</w:t>
      </w:r>
    </w:p>
    <w:p>
      <w:pPr>
        <w:spacing w:after="120"/>
      </w:pPr>
      <w:r>
        <w:rPr>
          <w:color w:val="222A25"/>
          <w:sz w:val="21"/>
        </w:rPr>
        <w:t>│   └── src/</w:t>
      </w:r>
    </w:p>
    <w:p>
      <w:pPr>
        <w:spacing w:after="120"/>
      </w:pPr>
      <w:r>
        <w:rPr>
          <w:color w:val="222A25"/>
          <w:sz w:val="21"/>
        </w:rPr>
        <w:t>│       ├── app/</w:t>
      </w:r>
    </w:p>
    <w:p>
      <w:pPr>
        <w:spacing w:after="120"/>
      </w:pPr>
      <w:r>
        <w:rPr>
          <w:color w:val="222A25"/>
          <w:sz w:val="21"/>
        </w:rPr>
        <w:t>│       │   ├── layout.tsx, page.tsx, globals.css, icon.png</w:t>
      </w:r>
    </w:p>
    <w:p>
      <w:pPr>
        <w:spacing w:after="120"/>
      </w:pPr>
      <w:r>
        <w:rPr>
          <w:color w:val="222A25"/>
          <w:sz w:val="21"/>
        </w:rPr>
        <w:t>│       │   ├── dashboard/page.tsx      Módulo Dashboard</w:t>
      </w:r>
    </w:p>
    <w:p>
      <w:pPr>
        <w:spacing w:after="120"/>
      </w:pPr>
      <w:r>
        <w:rPr>
          <w:color w:val="222A25"/>
          <w:sz w:val="21"/>
        </w:rPr>
        <w:t>│       │   ├── mapa/page.tsx           Módulo Mapa (react-leaflet)</w:t>
      </w:r>
    </w:p>
    <w:p>
      <w:pPr>
        <w:spacing w:after="120"/>
      </w:pPr>
      <w:r>
        <w:rPr>
          <w:color w:val="222A25"/>
          <w:sz w:val="21"/>
        </w:rPr>
        <w:t>│       │   ├── parches/page.tsx        Visor de deforestación (línea de tiempo)</w:t>
      </w:r>
    </w:p>
    <w:p>
      <w:pPr>
        <w:spacing w:after="120"/>
      </w:pPr>
      <w:r>
        <w:rPr>
          <w:color w:val="222A25"/>
          <w:sz w:val="21"/>
        </w:rPr>
        <w:t>│       │   ├── aprende/page.tsx        Módulo Aprende (PRAES)</w:t>
      </w:r>
    </w:p>
    <w:p>
      <w:pPr>
        <w:spacing w:after="120"/>
      </w:pPr>
      <w:r>
        <w:rPr>
          <w:color w:val="222A25"/>
          <w:sz w:val="21"/>
        </w:rPr>
        <w:t>│       │   ├── datos/page.tsx          Centro de descargas</w:t>
      </w:r>
    </w:p>
    <w:p>
      <w:pPr>
        <w:spacing w:after="120"/>
      </w:pPr>
      <w:r>
        <w:rPr>
          <w:color w:val="222A25"/>
          <w:sz w:val="21"/>
        </w:rPr>
        <w:t>│       │   └── api/v1/                 Route handlers (backend nativo Next.js)</w:t>
      </w:r>
    </w:p>
    <w:p>
      <w:pPr>
        <w:spacing w:after="120"/>
      </w:pPr>
      <w:r>
        <w:rPr>
          <w:color w:val="222A25"/>
          <w:sz w:val="21"/>
        </w:rPr>
        <w:t>│       ├── components/                 dashboard/ mapa/ parches/ aprende/ datos/ ui/</w:t>
      </w:r>
    </w:p>
    <w:p>
      <w:pPr>
        <w:spacing w:after="120"/>
      </w:pPr>
      <w:r>
        <w:rPr>
          <w:color w:val="222A25"/>
          <w:sz w:val="21"/>
        </w:rPr>
        <w:t>│       ├── server/                     Lógica de backend en TypeScript</w:t>
      </w:r>
    </w:p>
    <w:p>
      <w:pPr>
        <w:spacing w:after="120"/>
      </w:pPr>
      <w:r>
        <w:rPr>
          <w:color w:val="222A25"/>
          <w:sz w:val="21"/>
        </w:rPr>
        <w:t>│       │   ├── datos.ts                Carga/caché de CSV+GeoJSON+metadata, validaciones</w:t>
      </w:r>
    </w:p>
    <w:p>
      <w:pPr>
        <w:spacing w:after="120"/>
      </w:pPr>
      <w:r>
        <w:rPr>
          <w:color w:val="222A25"/>
          <w:sz w:val="21"/>
        </w:rPr>
        <w:t>│       │   ├── analitica.ts            KPIs y agregados</w:t>
      </w:r>
    </w:p>
    <w:p>
      <w:pPr>
        <w:spacing w:after="120"/>
      </w:pPr>
      <w:r>
        <w:rPr>
          <w:color w:val="222A25"/>
          <w:sz w:val="21"/>
        </w:rPr>
        <w:t>│       │   ├── analisis.ts             Análisis temático (territorios, hallazgos)</w:t>
      </w:r>
    </w:p>
    <w:p>
      <w:pPr>
        <w:spacing w:after="120"/>
      </w:pPr>
      <w:r>
        <w:rPr>
          <w:color w:val="222A25"/>
          <w:sz w:val="21"/>
        </w:rPr>
        <w:t>│       │   └── descargas.ts            Generación de descargas (CSV, XLSX, ZIP)</w:t>
      </w:r>
    </w:p>
    <w:p>
      <w:pPr>
        <w:spacing w:after="120"/>
      </w:pPr>
      <w:r>
        <w:rPr>
          <w:color w:val="222A25"/>
          <w:sz w:val="21"/>
        </w:rPr>
        <w:t>│       └── lib/                        api.ts, colores.ts, format.ts, types.ts</w:t>
      </w:r>
    </w:p>
    <w:p>
      <w:pPr>
        <w:spacing w:after="120"/>
      </w:pPr>
      <w:r>
        <w:rPr>
          <w:color w:val="222A25"/>
          <w:sz w:val="21"/>
        </w:rPr>
        <w:t>│</w:t>
      </w:r>
    </w:p>
    <w:p>
      <w:pPr>
        <w:spacing w:after="120"/>
      </w:pPr>
      <w:r>
        <w:rPr>
          <w:color w:val="222A25"/>
          <w:sz w:val="21"/>
        </w:rPr>
        <w:t>├── etl/                            Pipeline de datos y generación de entregables</w:t>
      </w:r>
    </w:p>
    <w:p>
      <w:pPr>
        <w:spacing w:after="120"/>
      </w:pPr>
      <w:r>
        <w:rPr>
          <w:color w:val="222A25"/>
          <w:sz w:val="21"/>
        </w:rPr>
        <w:t>│   ├── run_etl.py                  ETL principal (crudo → data/processed)</w:t>
      </w:r>
    </w:p>
    <w:p>
      <w:pPr>
        <w:spacing w:after="120"/>
      </w:pPr>
      <w:r>
        <w:rPr>
          <w:color w:val="222A25"/>
          <w:sz w:val="21"/>
        </w:rPr>
        <w:t>│   ├── build_excel_dashboard.py   Dashboard Excel autónomo (openpyxl)</w:t>
      </w:r>
    </w:p>
    <w:p>
      <w:pPr>
        <w:spacing w:after="120"/>
      </w:pPr>
      <w:r>
        <w:rPr>
          <w:color w:val="222A25"/>
          <w:sz w:val="21"/>
        </w:rPr>
        <w:t>│   ├── consolidar_informe.py      Consolida análisis en entregables/informe_datos.json</w:t>
      </w:r>
    </w:p>
    <w:p>
      <w:pPr>
        <w:spacing w:after="120"/>
      </w:pPr>
      <w:r>
        <w:rPr>
          <w:color w:val="222A25"/>
          <w:sz w:val="21"/>
        </w:rPr>
        <w:t>│   ├── generar_informe.js         Genera el Informe Word (módulo docx)</w:t>
      </w:r>
    </w:p>
    <w:p>
      <w:pPr>
        <w:spacing w:after="120"/>
      </w:pPr>
      <w:r>
        <w:rPr>
          <w:color w:val="222A25"/>
          <w:sz w:val="21"/>
        </w:rPr>
        <w:t>│   ├── load_postgis.py            Carga opcional a PostGIS</w:t>
      </w:r>
    </w:p>
    <w:p>
      <w:pPr>
        <w:spacing w:after="120"/>
      </w:pPr>
      <w:r>
        <w:rPr>
          <w:color w:val="222A25"/>
          <w:sz w:val="21"/>
        </w:rPr>
        <w:t>│   ├── analisis/                  Scripts de análisis temático</w:t>
      </w:r>
    </w:p>
    <w:p>
      <w:pPr>
        <w:spacing w:after="120"/>
      </w:pPr>
      <w:r>
        <w:rPr>
          <w:color w:val="222A25"/>
          <w:sz w:val="21"/>
        </w:rPr>
        <w:t>│   └── sql/                       SQL de apoyo (PostGIS)</w:t>
      </w:r>
    </w:p>
    <w:p>
      <w:pPr>
        <w:spacing w:after="120"/>
      </w:pPr>
      <w:r>
        <w:rPr>
          <w:color w:val="222A25"/>
          <w:sz w:val="21"/>
        </w:rPr>
        <w:t>│</w:t>
      </w:r>
    </w:p>
    <w:p>
      <w:pPr>
        <w:spacing w:after="120"/>
      </w:pPr>
      <w:r>
        <w:rPr>
          <w:color w:val="222A25"/>
          <w:sz w:val="21"/>
        </w:rPr>
        <w:t>├── data/processed/                Datos canónicos generados por el ETL</w:t>
      </w:r>
    </w:p>
    <w:p>
      <w:pPr>
        <w:spacing w:after="120"/>
      </w:pPr>
      <w:r>
        <w:rPr>
          <w:color w:val="222A25"/>
          <w:sz w:val="21"/>
        </w:rPr>
        <w:t>│   ├── serie_municipal.csv        Municipio × periodo × clase (ha, fuente, estimado)</w:t>
      </w:r>
    </w:p>
    <w:p>
      <w:pPr>
        <w:spacing w:after="120"/>
      </w:pPr>
      <w:r>
        <w:rPr>
          <w:color w:val="222A25"/>
          <w:sz w:val="21"/>
        </w:rPr>
        <w:t>│   ├── serie_regional.csv         Agregado regional por periodo × clase</w:t>
      </w:r>
    </w:p>
    <w:p>
      <w:pPr>
        <w:spacing w:after="120"/>
      </w:pPr>
      <w:r>
        <w:rPr>
          <w:color w:val="222A25"/>
          <w:sz w:val="21"/>
        </w:rPr>
        <w:t>│   ├── metadata.json              Diccionario de datos, fuentes por periodo, QA, log</w:t>
      </w:r>
    </w:p>
    <w:p>
      <w:pPr>
        <w:spacing w:after="120"/>
      </w:pPr>
      <w:r>
        <w:rPr>
          <w:color w:val="222A25"/>
          <w:sz w:val="21"/>
        </w:rPr>
        <w:t>│   ├── municipios.geojson         Límites de los 19 municipios (WGS84)</w:t>
      </w:r>
    </w:p>
    <w:p>
      <w:pPr>
        <w:spacing w:after="120"/>
      </w:pPr>
      <w:r>
        <w:rPr>
          <w:color w:val="222A25"/>
          <w:sz w:val="21"/>
        </w:rPr>
        <w:t>│   ├── subregiones.geojson        5 territoriales CORPOURABA</w:t>
      </w:r>
    </w:p>
    <w:p>
      <w:pPr>
        <w:spacing w:after="120"/>
      </w:pPr>
      <w:r>
        <w:rPr>
          <w:color w:val="222A25"/>
          <w:sz w:val="21"/>
        </w:rPr>
        <w:t>│   ├── hotspots/&lt;periodo&gt;.geojson Polígonos de deforestación de deforestación (incluidos los de menos de 1 ha) por periodo</w:t>
      </w:r>
    </w:p>
    <w:p>
      <w:pPr>
        <w:spacing w:after="120"/>
      </w:pPr>
      <w:r>
        <w:rPr>
          <w:color w:val="222A25"/>
          <w:sz w:val="21"/>
        </w:rPr>
        <w:t>│   ├── capas/*.geojson            Capas de contexto y cartografía oficial</w:t>
      </w:r>
    </w:p>
    <w:p>
      <w:pPr>
        <w:spacing w:after="120"/>
      </w:pPr>
      <w:r>
        <w:rPr>
          <w:color w:val="222A25"/>
          <w:sz w:val="21"/>
        </w:rPr>
        <w:t>│   └── analisis/                  Salidas del análisis temático (series, resúmenes,</w:t>
      </w:r>
    </w:p>
    <w:p>
      <w:pPr>
        <w:spacing w:after="120"/>
      </w:pPr>
      <w:r>
        <w:rPr>
          <w:color w:val="222A25"/>
          <w:sz w:val="21"/>
        </w:rPr>
        <w:t>│                                  hallazgos.json, recurrencia.geojson, cartografia/)</w:t>
      </w:r>
    </w:p>
    <w:p>
      <w:pPr>
        <w:spacing w:after="120"/>
      </w:pPr>
      <w:r>
        <w:rPr>
          <w:color w:val="222A25"/>
          <w:sz w:val="21"/>
        </w:rPr>
        <w:t>│</w:t>
      </w:r>
    </w:p>
    <w:p>
      <w:pPr>
        <w:spacing w:after="120"/>
      </w:pPr>
      <w:r>
        <w:rPr>
          <w:color w:val="222A25"/>
          <w:sz w:val="21"/>
        </w:rPr>
        <w:t>├── entregables/                   Productos finales</w:t>
      </w:r>
    </w:p>
    <w:p>
      <w:pPr>
        <w:spacing w:after="120"/>
      </w:pPr>
      <w:r>
        <w:rPr>
          <w:color w:val="222A25"/>
          <w:sz w:val="21"/>
        </w:rPr>
        <w:t>│   ├── Dashboard_Deforestacion_CORPOURABA_2000-2024.xlsx</w:t>
      </w:r>
    </w:p>
    <w:p>
      <w:pPr>
        <w:spacing w:after="120"/>
      </w:pPr>
      <w:r>
        <w:rPr>
          <w:color w:val="222A25"/>
          <w:sz w:val="21"/>
        </w:rPr>
        <w:t>│   ├── Informe_Deforestacion_CORPOURABA_2000-2024.docx</w:t>
      </w:r>
    </w:p>
    <w:p>
      <w:pPr>
        <w:spacing w:after="120"/>
      </w:pPr>
      <w:r>
        <w:rPr>
          <w:color w:val="222A25"/>
          <w:sz w:val="21"/>
        </w:rPr>
        <w:t>│   └── informe_datos.json         Fuente de datos consolidada del informe</w:t>
      </w:r>
    </w:p>
    <w:p>
      <w:pPr>
        <w:spacing w:after="120"/>
      </w:pPr>
      <w:r>
        <w:rPr>
          <w:color w:val="222A25"/>
          <w:sz w:val="21"/>
        </w:rPr>
        <w:t>│</w:t>
      </w:r>
    </w:p>
    <w:p>
      <w:pPr>
        <w:spacing w:after="120"/>
      </w:pPr>
      <w:r>
        <w:rPr>
          <w:color w:val="222A25"/>
          <w:sz w:val="21"/>
        </w:rPr>
        <w:t>└── backend/                       API FastAPI original (legacy, referencia)</w:t>
      </w:r>
    </w:p>
    <w:p>
      <w:pPr>
        <w:spacing w:after="120"/>
      </w:pPr>
      <w:r>
        <w:rPr>
          <w:color w:val="222A25"/>
          <w:sz w:val="21"/>
        </w:rPr>
        <w:t>├── requirements.txt, requirements-postgis.txt</w:t>
      </w:r>
    </w:p>
    <w:p>
      <w:pPr>
        <w:spacing w:after="120"/>
      </w:pPr>
      <w:r>
        <w:rPr>
          <w:color w:val="222A25"/>
          <w:sz w:val="21"/>
        </w:rPr>
        <w:t>├── app/                        main.py, config.py, repository.py,</w:t>
      </w:r>
    </w:p>
    <w:p>
      <w:pPr>
        <w:spacing w:after="120"/>
      </w:pPr>
      <w:r>
        <w:rPr>
          <w:color w:val="222A25"/>
          <w:sz w:val="21"/>
        </w:rPr>
        <w:t>│                               repository_postgis.py, analytics.py,</w:t>
      </w:r>
    </w:p>
    <w:p>
      <w:pPr>
        <w:spacing w:after="120"/>
      </w:pPr>
      <w:r>
        <w:rPr>
          <w:color w:val="222A25"/>
          <w:sz w:val="21"/>
        </w:rPr>
        <w:t>│                               downloads.py, schemas.py, routers/</w:t>
      </w:r>
    </w:p>
    <w:p>
      <w:pPr>
        <w:spacing w:after="120"/>
      </w:pPr>
      <w:r>
        <w:rPr>
          <w:color w:val="222A25"/>
          <w:sz w:val="21"/>
        </w:rPr>
        <w:t>└── tests/                      test_api.py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b/>
          <w:color w:val="222A25"/>
          <w:sz w:val="21"/>
        </w:rPr>
        <w:t>Nota sobre `backend/`.</w:t>
      </w:r>
      <w:r>
        <w:rPr>
          <w:color w:val="222A25"/>
          <w:sz w:val="21"/>
        </w:rPr>
        <w:t xml:space="preserve"> El backend FastAPI ya no participa en el despliegue web (que ahora corre íntegramente sobre las rutas Next.js). Se conserva como referencia y como implementación equivalente para escenarios con base de datos (</w:t>
      </w:r>
      <w:r>
        <w:rPr>
          <w:rFonts w:ascii="Consolas" w:hAnsi="Consolas"/>
          <w:color w:val="9F1239"/>
          <w:sz w:val="19"/>
        </w:rPr>
        <w:t>repository_postgis.py</w:t>
      </w:r>
      <w:r>
        <w:rPr>
          <w:color w:val="222A25"/>
          <w:sz w:val="21"/>
        </w:rPr>
        <w:t xml:space="preserve">). El módulo </w:t>
      </w:r>
      <w:r>
        <w:rPr>
          <w:rFonts w:ascii="Consolas" w:hAnsi="Consolas"/>
          <w:color w:val="9F1239"/>
          <w:sz w:val="19"/>
        </w:rPr>
        <w:t>server/datos.ts</w:t>
      </w:r>
      <w:r>
        <w:rPr>
          <w:color w:val="222A25"/>
          <w:sz w:val="21"/>
        </w:rPr>
        <w:t xml:space="preserve"> es la réplica funcional en TypeScript de </w:t>
      </w:r>
      <w:r>
        <w:rPr>
          <w:rFonts w:ascii="Consolas" w:hAnsi="Consolas"/>
          <w:color w:val="9F1239"/>
          <w:sz w:val="19"/>
        </w:rPr>
        <w:t>app/repository.py</w:t>
      </w:r>
      <w:r>
        <w:rPr>
          <w:color w:val="222A25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4. Rutas de la API</w:t>
      </w:r>
    </w:p>
    <w:p>
      <w:pPr>
        <w:spacing w:after="120"/>
      </w:pPr>
      <w:r>
        <w:rPr>
          <w:color w:val="222A25"/>
          <w:sz w:val="21"/>
        </w:rPr>
        <w:t xml:space="preserve">Todas las rutas cuelgan de </w:t>
      </w:r>
      <w:r>
        <w:rPr>
          <w:rFonts w:ascii="Consolas" w:hAnsi="Consolas"/>
          <w:color w:val="9F1239"/>
          <w:sz w:val="19"/>
        </w:rPr>
        <w:t>frontend/src/app/api/v1/</w:t>
      </w:r>
      <w:r>
        <w:rPr>
          <w:color w:val="222A25"/>
          <w:sz w:val="21"/>
        </w:rPr>
        <w:t xml:space="preserve">. Son handlers </w:t>
      </w:r>
      <w:r>
        <w:rPr>
          <w:rFonts w:ascii="Consolas" w:hAnsi="Consolas"/>
          <w:color w:val="9F1239"/>
          <w:sz w:val="19"/>
        </w:rPr>
        <w:t>GET</w:t>
      </w:r>
      <w:r>
        <w:rPr>
          <w:color w:val="222A25"/>
          <w:sz w:val="21"/>
        </w:rPr>
        <w:t xml:space="preserve"> con </w:t>
      </w:r>
      <w:r>
        <w:rPr>
          <w:rFonts w:ascii="Consolas" w:hAnsi="Consolas"/>
          <w:color w:val="9F1239"/>
          <w:sz w:val="19"/>
        </w:rPr>
        <w:t>runtime = 'nodejs'</w:t>
      </w:r>
      <w:r>
        <w:rPr>
          <w:color w:val="222A25"/>
          <w:sz w:val="21"/>
        </w:rPr>
        <w:t xml:space="preserve"> y </w:t>
      </w:r>
      <w:r>
        <w:rPr>
          <w:rFonts w:ascii="Consolas" w:hAnsi="Consolas"/>
          <w:color w:val="9F1239"/>
          <w:sz w:val="19"/>
        </w:rPr>
        <w:t>dynamic = 'force-dynamic'</w:t>
      </w:r>
      <w:r>
        <w:rPr>
          <w:color w:val="222A25"/>
          <w:sz w:val="21"/>
        </w:rPr>
        <w:t>. Lista real de rutas y lo que devuelve cada grupo: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Salud y metadatos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Devuelve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/api/v1/salud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Estado del servicio: </w:t>
            </w:r>
            <w:r>
              <w:rPr>
                <w:rFonts w:ascii="Consolas" w:hAnsi="Consolas"/>
                <w:color w:val="9F1239"/>
                <w:sz w:val="19"/>
              </w:rPr>
              <w:t>{ estado: 'ok', version, modo_datos: 'archivos' }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/api/v1/metadata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Diccionario de datos completo (</w:t>
            </w:r>
            <w:r>
              <w:rPr>
                <w:rFonts w:ascii="Consolas" w:hAnsi="Consolas"/>
                <w:color w:val="9F1239"/>
                <w:sz w:val="19"/>
              </w:rPr>
              <w:t>metadata.json</w:t>
            </w:r>
            <w:r>
              <w:rPr>
                <w:sz w:val="19"/>
              </w:rPr>
              <w:t>): clases, gridcode, periodos y fuentes, municipios, notas de estimados, QA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/api/v1/periodos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Lista de periodos con la bandera </w:t>
            </w:r>
            <w:r>
              <w:rPr>
                <w:rFonts w:ascii="Consolas" w:hAnsi="Consolas"/>
                <w:color w:val="9F1239"/>
                <w:sz w:val="19"/>
              </w:rPr>
              <w:t>tiene_hotspots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/api/v1/municipios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Catálogo de los 19 municipios (código DANE, nombre, territorial)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/api/v1/subregiones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Las 5 territoriales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Series y KPIs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Devuelve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/api/v1/kpis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Indicadores agregados de deforestación (acepta </w:t>
            </w:r>
            <w:r>
              <w:rPr>
                <w:rFonts w:ascii="Consolas" w:hAnsi="Consolas"/>
                <w:color w:val="9F1239"/>
                <w:sz w:val="19"/>
              </w:rPr>
              <w:t>?incluir_estimados=false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/api/v1/serie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Serie municipal filtrable (municipios, territorial, clase, </w:t>
            </w:r>
            <w:r>
              <w:rPr>
                <w:rFonts w:ascii="Consolas" w:hAnsi="Consolas"/>
                <w:color w:val="9F1239"/>
                <w:sz w:val="19"/>
              </w:rPr>
              <w:t>desde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F1239"/>
                <w:sz w:val="19"/>
              </w:rPr>
              <w:t>hasta</w:t>
            </w:r>
            <w:r>
              <w:rPr>
                <w:sz w:val="19"/>
              </w:rPr>
              <w:t>, estimados)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/api/v1/serie/regional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Serie regional agregada por periodo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/api/v1/ranking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Ranking de municipios por deforestación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/api/v1/comparacion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Comparación entre municipios/subregiones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/api/v1/choropleth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Datos para el mapa coroplético (ha por municipio)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/api/v1/prediccion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Serie con proyección/tendencia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Geometrías y capas del visor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Devuelve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/api/v1/capas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Índice de capas de contexto/cartografía oficial disponibles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/api/v1/capas/[id]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GeoJSON de una capa concreta (áreas protegidas, resguardos, consejos, cuencas, POMCAS, Ley 2ª, títulos mineros)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/api/v1/hotspots/[periodo]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Polígonos de deforestación (incluidos los de menos de 1 ha) del periodo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/api/v1/parches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Parches de deforestación para el explorador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/api/v1/parches/resumen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Resumen agregado de parches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Análisis temático (cruces con cartografía)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Devuelve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/api/v1/analisis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Índice de análisis temáticos disponibles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/api/v1/analisis/resumen/[...dataset]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Resumen de un dataset de análisis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/api/v1/analisis/tabla/[...dataset]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Tabla de datos de un análisis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/api/v1/analisis/geo/[...dataset]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GeoJSON asociado a un análisis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/api/v1/analisis/territorios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Deforestación por tipo de territorio/unidad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/api/v1/analisis/territorios/[tipo]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Detalle por tipo (AP, POMCAS, resguardos, consejos, etc.)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/api/v1/analisis/hallazgos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Hallazgos clave (</w:t>
            </w:r>
            <w:r>
              <w:rPr>
                <w:rFonts w:ascii="Consolas" w:hAnsi="Consolas"/>
                <w:color w:val="9F1239"/>
                <w:sz w:val="19"/>
              </w:rPr>
              <w:t>analisis/hallazgos.json</w:t>
            </w:r>
            <w:r>
              <w:rPr>
                <w:sz w:val="19"/>
              </w:rPr>
              <w:t>)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Descargas (Centro de descargas)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Devuelve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/api/v1/descargas/serie.csv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Serie municipal en CSV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/api/v1/descargas/serie.xlsx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Serie en Excel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/api/v1/descargas/municipios.geojson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Límites municipales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/api/v1/descargas/hotspots/[archivo]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Archivo de hotspots por periodo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F1239"/>
                <w:sz w:val="19"/>
              </w:rPr>
              <w:t>GET /api/v1/descargas/paquete.zip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Paquete completo comprimido</w:t>
            </w:r>
          </w:p>
        </w:tc>
      </w:tr>
    </w:tbl>
    <w:p>
      <w:pPr>
        <w:spacing w:after="120"/>
      </w:pPr>
      <w:r>
        <w:rPr>
          <w:color w:val="222A25"/>
          <w:sz w:val="21"/>
        </w:rPr>
        <w:t xml:space="preserve">Los errores se serializan con </w:t>
      </w:r>
      <w:r>
        <w:rPr>
          <w:rFonts w:ascii="Consolas" w:hAnsi="Consolas"/>
          <w:color w:val="9F1239"/>
          <w:sz w:val="19"/>
        </w:rPr>
        <w:t>errorJson</w:t>
      </w:r>
      <w:r>
        <w:rPr>
          <w:color w:val="222A25"/>
          <w:sz w:val="21"/>
        </w:rPr>
        <w:t xml:space="preserve">, que traduce </w:t>
      </w:r>
      <w:r>
        <w:rPr>
          <w:rFonts w:ascii="Consolas" w:hAnsi="Consolas"/>
          <w:color w:val="9F1239"/>
          <w:sz w:val="19"/>
        </w:rPr>
        <w:t>ErrorDatos</w:t>
      </w:r>
      <w:r>
        <w:rPr>
          <w:color w:val="222A25"/>
          <w:sz w:val="21"/>
        </w:rPr>
        <w:t xml:space="preserve"> a su código HTTP sugerido (404 para recursos desconocidos, 422 para parámetros inválidos, 500 para errores internos).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5. Requisitos previos</w:t>
      </w:r>
    </w:p>
    <w:p>
      <w:pPr>
        <w:pStyle w:val="ListBullet"/>
        <w:spacing w:after="40"/>
        <w:ind w:left="360"/>
      </w:pPr>
      <w:r>
        <w:rPr>
          <w:b/>
          <w:sz w:val="21"/>
        </w:rPr>
        <w:t>Node.js</w:t>
      </w:r>
      <w:r>
        <w:rPr>
          <w:sz w:val="21"/>
        </w:rPr>
        <w:t xml:space="preserve"> ≥ 18.17 (recomendado 20.x, alineado con </w:t>
      </w:r>
      <w:r>
        <w:rPr>
          <w:rFonts w:ascii="Consolas" w:hAnsi="Consolas"/>
          <w:color w:val="9F1239"/>
          <w:sz w:val="19"/>
        </w:rPr>
        <w:t>@types/node</w:t>
      </w:r>
      <w:r>
        <w:rPr>
          <w:sz w:val="21"/>
        </w:rPr>
        <w:t xml:space="preserve"> ^20). Incluye npm.</w:t>
      </w:r>
    </w:p>
    <w:p>
      <w:pPr>
        <w:pStyle w:val="ListBullet"/>
        <w:spacing w:after="40"/>
        <w:ind w:left="360"/>
      </w:pPr>
      <w:r>
        <w:rPr>
          <w:b/>
          <w:sz w:val="21"/>
        </w:rPr>
        <w:t>Python</w:t>
      </w:r>
      <w:r>
        <w:rPr>
          <w:sz w:val="21"/>
        </w:rPr>
        <w:t xml:space="preserve"> 3.10 o superior para el ETL y los scripts de entregables.</w:t>
      </w:r>
    </w:p>
    <w:p>
      <w:pPr>
        <w:pStyle w:val="ListBullet"/>
        <w:spacing w:after="40"/>
        <w:ind w:left="360"/>
      </w:pPr>
      <w:r>
        <w:rPr>
          <w:b/>
          <w:sz w:val="21"/>
        </w:rPr>
        <w:t>Pila geoespacial de Python</w:t>
      </w:r>
      <w:r>
        <w:rPr>
          <w:sz w:val="21"/>
        </w:rPr>
        <w:t xml:space="preserve"> para el ETL: </w:t>
      </w:r>
      <w:r>
        <w:rPr>
          <w:rFonts w:ascii="Consolas" w:hAnsi="Consolas"/>
          <w:color w:val="9F1239"/>
          <w:sz w:val="19"/>
        </w:rPr>
        <w:t>geopandas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pyogrio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rasterio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numpy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pandas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shapely</w:t>
      </w:r>
      <w:r>
        <w:rPr>
          <w:sz w:val="21"/>
        </w:rPr>
        <w:t xml:space="preserve">. En Windows se recomienda instalarlos con </w:t>
      </w:r>
      <w:r>
        <w:rPr>
          <w:rFonts w:ascii="Consolas" w:hAnsi="Consolas"/>
          <w:color w:val="9F1239"/>
          <w:sz w:val="19"/>
        </w:rPr>
        <w:t>pip</w:t>
      </w:r>
      <w:r>
        <w:rPr>
          <w:sz w:val="21"/>
        </w:rPr>
        <w:t xml:space="preserve"> sobre wheels precompilados o vía </w:t>
      </w:r>
      <w:r>
        <w:rPr>
          <w:rFonts w:ascii="Consolas" w:hAnsi="Consolas"/>
          <w:color w:val="9F1239"/>
          <w:sz w:val="19"/>
        </w:rPr>
        <w:t>conda</w:t>
      </w:r>
      <w:r>
        <w:rPr>
          <w:sz w:val="21"/>
        </w:rPr>
        <w:t xml:space="preserve">, dado que </w:t>
      </w:r>
      <w:r>
        <w:rPr>
          <w:rFonts w:ascii="Consolas" w:hAnsi="Consolas"/>
          <w:color w:val="9F1239"/>
          <w:sz w:val="19"/>
        </w:rPr>
        <w:t>rasterio</w:t>
      </w:r>
      <w:r>
        <w:rPr>
          <w:sz w:val="21"/>
        </w:rPr>
        <w:t>/</w:t>
      </w:r>
      <w:r>
        <w:rPr>
          <w:rFonts w:ascii="Consolas" w:hAnsi="Consolas"/>
          <w:color w:val="9F1239"/>
          <w:sz w:val="19"/>
        </w:rPr>
        <w:t>pyogrio</w:t>
      </w:r>
      <w:r>
        <w:rPr>
          <w:sz w:val="21"/>
        </w:rPr>
        <w:t xml:space="preserve"> dependen de GDAL.</w:t>
      </w:r>
    </w:p>
    <w:p>
      <w:pPr>
        <w:pStyle w:val="ListBullet"/>
        <w:spacing w:after="40"/>
        <w:ind w:left="360"/>
      </w:pPr>
      <w:r>
        <w:rPr>
          <w:b/>
          <w:sz w:val="21"/>
        </w:rPr>
        <w:t>Módulo Node `docx`</w:t>
      </w:r>
      <w:r>
        <w:rPr>
          <w:sz w:val="21"/>
        </w:rPr>
        <w:t xml:space="preserve"> (global) para generar el Informe Word.</w:t>
      </w:r>
    </w:p>
    <w:p>
      <w:pPr>
        <w:pStyle w:val="ListBullet"/>
        <w:spacing w:after="40"/>
        <w:ind w:left="360"/>
      </w:pPr>
      <w:r>
        <w:rPr>
          <w:b/>
          <w:sz w:val="21"/>
        </w:rPr>
        <w:t>Git</w:t>
      </w:r>
      <w:r>
        <w:rPr>
          <w:sz w:val="21"/>
        </w:rPr>
        <w:t xml:space="preserve"> y una cuenta con acceso al repositorio GitHub </w:t>
      </w:r>
      <w:r>
        <w:rPr>
          <w:rFonts w:ascii="Consolas" w:hAnsi="Consolas"/>
          <w:color w:val="9F1239"/>
          <w:sz w:val="19"/>
        </w:rPr>
        <w:t>sinetrasolutions-spec/deforestacion-corpouraba</w:t>
      </w:r>
      <w:r>
        <w:rPr>
          <w:sz w:val="21"/>
        </w:rPr>
        <w:t>.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Datos crudos del paquete de monitoreo (shapefiles, Excel y rásters por periodo) si se va a regenerar el ETL; por defecto el ETL los busca en </w:t>
      </w:r>
      <w:r>
        <w:rPr>
          <w:rFonts w:ascii="Consolas" w:hAnsi="Consolas"/>
          <w:color w:val="9F1239"/>
          <w:sz w:val="19"/>
        </w:rPr>
        <w:t>E:\drive-download-20260703T192518Z-3-001</w:t>
      </w:r>
      <w:r>
        <w:rPr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6. Cómo ejecutar en local</w:t>
      </w:r>
    </w:p>
    <w:p>
      <w:pPr>
        <w:spacing w:after="120"/>
      </w:pPr>
      <w:r>
        <w:rPr>
          <w:color w:val="222A25"/>
          <w:sz w:val="21"/>
        </w:rPr>
        <w:t xml:space="preserve">La aplicación web corre desde </w:t>
      </w:r>
      <w:r>
        <w:rPr>
          <w:rFonts w:ascii="Consolas" w:hAnsi="Consolas"/>
          <w:color w:val="9F1239"/>
          <w:sz w:val="19"/>
        </w:rPr>
        <w:t>frontend/</w:t>
      </w:r>
      <w:r>
        <w:rPr>
          <w:color w:val="222A25"/>
          <w:sz w:val="21"/>
        </w:rPr>
        <w:t>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cd frontend</w:t>
      </w:r>
    </w:p>
    <w:p>
      <w:pPr>
        <w:spacing w:after="120"/>
      </w:pPr>
      <w:r>
        <w:rPr>
          <w:color w:val="222A25"/>
          <w:sz w:val="21"/>
        </w:rPr>
        <w:t>npm install</w:t>
      </w:r>
    </w:p>
    <w:p>
      <w:pPr>
        <w:spacing w:after="120"/>
      </w:pPr>
      <w:r>
        <w:rPr>
          <w:color w:val="222A25"/>
          <w:sz w:val="21"/>
        </w:rPr>
        <w:t>npm run dev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El servidor de desarrollo escucha en el </w:t>
      </w:r>
      <w:r>
        <w:rPr>
          <w:b/>
          <w:color w:val="222A25"/>
          <w:sz w:val="21"/>
        </w:rPr>
        <w:t>puerto 3000</w:t>
      </w:r>
      <w:r>
        <w:rPr>
          <w:color w:val="222A25"/>
          <w:sz w:val="21"/>
        </w:rPr>
        <w:t xml:space="preserve"> (</w:t>
      </w:r>
      <w:r>
        <w:rPr>
          <w:rFonts w:ascii="Consolas" w:hAnsi="Consolas"/>
          <w:color w:val="9F1239"/>
          <w:sz w:val="19"/>
        </w:rPr>
        <w:t>next dev -p 3000</w:t>
      </w:r>
      <w:r>
        <w:rPr>
          <w:color w:val="222A25"/>
          <w:sz w:val="21"/>
        </w:rPr>
        <w:t xml:space="preserve"> en </w:t>
      </w:r>
      <w:r>
        <w:rPr>
          <w:rFonts w:ascii="Consolas" w:hAnsi="Consolas"/>
          <w:color w:val="9F1239"/>
          <w:sz w:val="19"/>
        </w:rPr>
        <w:t>package.json</w:t>
      </w:r>
      <w:r>
        <w:rPr>
          <w:color w:val="222A25"/>
          <w:sz w:val="21"/>
        </w:rPr>
        <w:t xml:space="preserve">). Abrir </w:t>
      </w:r>
      <w:r>
        <w:rPr>
          <w:rFonts w:ascii="Consolas" w:hAnsi="Consolas"/>
          <w:color w:val="9F1239"/>
          <w:sz w:val="19"/>
        </w:rPr>
        <w:t>http://localhost:3000</w:t>
      </w:r>
      <w:r>
        <w:rPr>
          <w:color w:val="222A25"/>
          <w:sz w:val="21"/>
        </w:rPr>
        <w:t>.</w:t>
      </w:r>
    </w:p>
    <w:p>
      <w:pPr>
        <w:spacing w:after="120"/>
      </w:pPr>
      <w:r>
        <w:rPr>
          <w:color w:val="222A25"/>
          <w:sz w:val="21"/>
        </w:rPr>
        <w:t>Para una build de producción local: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npm run build</w:t>
      </w:r>
    </w:p>
    <w:p>
      <w:pPr>
        <w:spacing w:after="120"/>
      </w:pPr>
      <w:r>
        <w:rPr>
          <w:color w:val="222A25"/>
          <w:sz w:val="21"/>
        </w:rPr>
        <w:t>npm run start   # sirve en el puerto 3000 (next start -p 3000)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La aplicación lee los datos desde </w:t>
      </w:r>
      <w:r>
        <w:rPr>
          <w:rFonts w:ascii="Consolas" w:hAnsi="Consolas"/>
          <w:color w:val="9F1239"/>
          <w:sz w:val="19"/>
        </w:rPr>
        <w:t>frontend/data/processed</w:t>
      </w:r>
      <w:r>
        <w:rPr>
          <w:color w:val="222A25"/>
          <w:sz w:val="21"/>
        </w:rPr>
        <w:t xml:space="preserve">. Si esa carpeta no está sincronizada con </w:t>
      </w:r>
      <w:r>
        <w:rPr>
          <w:rFonts w:ascii="Consolas" w:hAnsi="Consolas"/>
          <w:color w:val="9F1239"/>
          <w:sz w:val="19"/>
        </w:rPr>
        <w:t>data/processed</w:t>
      </w:r>
      <w:r>
        <w:rPr>
          <w:color w:val="222A25"/>
          <w:sz w:val="21"/>
        </w:rPr>
        <w:t xml:space="preserve"> (raíz), copie el contenido antes de arrancar, o vuelva a ejecutar el ETL (sección 7), que escribe la copia empaquetada.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7. Cómo regenerar los datos (ETL)</w:t>
      </w:r>
    </w:p>
    <w:p>
      <w:pPr>
        <w:spacing w:after="120"/>
      </w:pPr>
      <w:r>
        <w:rPr>
          <w:color w:val="222A25"/>
          <w:sz w:val="21"/>
        </w:rPr>
        <w:t xml:space="preserve">El pipeline </w:t>
      </w:r>
      <w:r>
        <w:rPr>
          <w:rFonts w:ascii="Consolas" w:hAnsi="Consolas"/>
          <w:color w:val="9F1239"/>
          <w:sz w:val="19"/>
        </w:rPr>
        <w:t>etl/run_etl.py</w:t>
      </w:r>
      <w:r>
        <w:rPr>
          <w:color w:val="222A25"/>
          <w:sz w:val="21"/>
        </w:rPr>
        <w:t xml:space="preserve"> consolida el paquete crudo (shapefiles, Excel y rásters por periodo) en los datasets de </w:t>
      </w:r>
      <w:r>
        <w:rPr>
          <w:rFonts w:ascii="Consolas" w:hAnsi="Consolas"/>
          <w:color w:val="9F1239"/>
          <w:sz w:val="19"/>
        </w:rPr>
        <w:t>data/processed</w:t>
      </w:r>
      <w:r>
        <w:rPr>
          <w:color w:val="222A25"/>
          <w:sz w:val="21"/>
        </w:rPr>
        <w:t>.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python etl/run_etl.py [--raw RUTA_DATOS_CRUDOS] [--out RUTA_SALIDA]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9F1239"/>
          <w:sz w:val="19"/>
        </w:rPr>
        <w:t>--raw</w:t>
      </w:r>
      <w:r>
        <w:rPr>
          <w:sz w:val="21"/>
        </w:rPr>
        <w:t xml:space="preserve">: carpeta de datos crudos (por defecto </w:t>
      </w:r>
      <w:r>
        <w:rPr>
          <w:rFonts w:ascii="Consolas" w:hAnsi="Consolas"/>
          <w:color w:val="9F1239"/>
          <w:sz w:val="19"/>
        </w:rPr>
        <w:t>E:\drive-download-20260703T192518Z-3-001</w:t>
      </w:r>
      <w:r>
        <w:rPr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Consolas" w:hAnsi="Consolas"/>
          <w:color w:val="9F1239"/>
          <w:sz w:val="19"/>
        </w:rPr>
        <w:t>--out</w:t>
      </w:r>
      <w:r>
        <w:rPr>
          <w:sz w:val="21"/>
        </w:rPr>
        <w:t xml:space="preserve">: carpeta de salida (por defecto </w:t>
      </w:r>
      <w:r>
        <w:rPr>
          <w:rFonts w:ascii="Consolas" w:hAnsi="Consolas"/>
          <w:color w:val="9F1239"/>
          <w:sz w:val="19"/>
        </w:rPr>
        <w:t>data/processed</w:t>
      </w:r>
      <w:r>
        <w:rPr>
          <w:sz w:val="21"/>
        </w:rPr>
        <w:t xml:space="preserve"> en la raíz del proyecto).</w:t>
      </w:r>
    </w:p>
    <w:p>
      <w:pPr>
        <w:spacing w:after="120"/>
      </w:pPr>
      <w:r>
        <w:rPr>
          <w:b/>
          <w:color w:val="222A25"/>
          <w:sz w:val="21"/>
        </w:rPr>
        <w:t>Qué produce:</w:t>
      </w:r>
      <w:r>
        <w:rPr>
          <w:color w:val="222A25"/>
          <w:sz w:val="21"/>
        </w:rPr>
        <w:t xml:space="preserve"> </w:t>
      </w:r>
      <w:r>
        <w:rPr>
          <w:rFonts w:ascii="Consolas" w:hAnsi="Consolas"/>
          <w:color w:val="9F1239"/>
          <w:sz w:val="19"/>
        </w:rPr>
        <w:t>municipios.geojson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subregiones.geojson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serie_municipal.csv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serie_regional.csv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hotspots/&lt;periodo&gt;.geojson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capas/*.geojson</w:t>
      </w:r>
      <w:r>
        <w:rPr>
          <w:color w:val="222A25"/>
          <w:sz w:val="21"/>
        </w:rPr>
        <w:t xml:space="preserve"> y </w:t>
      </w:r>
      <w:r>
        <w:rPr>
          <w:rFonts w:ascii="Consolas" w:hAnsi="Consolas"/>
          <w:color w:val="9F1239"/>
          <w:sz w:val="19"/>
        </w:rPr>
        <w:t>metadata.json</w:t>
      </w:r>
      <w:r>
        <w:rPr>
          <w:color w:val="222A25"/>
          <w:sz w:val="21"/>
        </w:rPr>
        <w:t>.</w:t>
      </w:r>
    </w:p>
    <w:p>
      <w:pPr>
        <w:spacing w:after="120"/>
      </w:pPr>
      <w:r>
        <w:rPr>
          <w:b/>
          <w:color w:val="222A25"/>
          <w:sz w:val="21"/>
        </w:rPr>
        <w:t>Jerarquía de fuentes por periodo</w:t>
      </w:r>
      <w:r>
        <w:rPr>
          <w:color w:val="222A25"/>
          <w:sz w:val="21"/>
        </w:rPr>
        <w:t xml:space="preserve"> (de mejor a peor), tal como la implementa el ETL:</w:t>
      </w:r>
    </w:p>
    <w:p>
      <w:pPr>
        <w:pStyle w:val="ListNumber"/>
        <w:spacing w:after="40"/>
        <w:ind w:left="360"/>
      </w:pPr>
      <w:r>
        <w:rPr>
          <w:b/>
          <w:sz w:val="21"/>
        </w:rPr>
        <w:t>shapefile</w:t>
      </w:r>
      <w:r>
        <w:rPr>
          <w:sz w:val="21"/>
        </w:rPr>
        <w:t xml:space="preserve"> de municipios (polígonos con </w:t>
      </w:r>
      <w:r>
        <w:rPr>
          <w:rFonts w:ascii="Consolas" w:hAnsi="Consolas"/>
          <w:color w:val="9F1239"/>
          <w:sz w:val="19"/>
        </w:rPr>
        <w:t>NOM_MUNICI</w:t>
      </w:r>
      <w:r>
        <w:rPr>
          <w:sz w:val="21"/>
        </w:rPr>
        <w:t xml:space="preserve"> + área por geometría).</w:t>
      </w:r>
    </w:p>
    <w:p>
      <w:pPr>
        <w:pStyle w:val="ListNumber"/>
        <w:spacing w:after="40"/>
        <w:ind w:left="360"/>
      </w:pPr>
      <w:r>
        <w:rPr>
          <w:b/>
          <w:sz w:val="21"/>
        </w:rPr>
        <w:t>excel</w:t>
      </w:r>
      <w:r>
        <w:rPr>
          <w:sz w:val="21"/>
        </w:rPr>
        <w:t xml:space="preserve"> (tabla de atributos exportada, </w:t>
      </w:r>
      <w:r>
        <w:rPr>
          <w:rFonts w:ascii="Consolas" w:hAnsi="Consolas"/>
          <w:color w:val="9F1239"/>
          <w:sz w:val="19"/>
        </w:rPr>
        <w:t>*_Mpios_Dat.xls[x]</w:t>
      </w:r>
      <w:r>
        <w:rPr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sz w:val="21"/>
        </w:rPr>
        <w:t>cuencas</w:t>
      </w:r>
      <w:r>
        <w:rPr>
          <w:sz w:val="21"/>
        </w:rPr>
        <w:t xml:space="preserve"> (Excel/dbf con </w:t>
      </w:r>
      <w:r>
        <w:rPr>
          <w:rFonts w:ascii="Consolas" w:hAnsi="Consolas"/>
          <w:color w:val="9F1239"/>
          <w:sz w:val="19"/>
        </w:rPr>
        <w:t>NOM_MUNICI</w:t>
      </w:r>
      <w:r>
        <w:rPr>
          <w:sz w:val="21"/>
        </w:rPr>
        <w:t xml:space="preserve"> + </w:t>
      </w:r>
      <w:r>
        <w:rPr>
          <w:rFonts w:ascii="Consolas" w:hAnsi="Consolas"/>
          <w:color w:val="9F1239"/>
          <w:sz w:val="19"/>
        </w:rPr>
        <w:t>AREA HA</w:t>
      </w:r>
      <w:r>
        <w:rPr>
          <w:sz w:val="21"/>
        </w:rPr>
        <w:t>, cobertura parcial).</w:t>
      </w:r>
    </w:p>
    <w:p>
      <w:pPr>
        <w:pStyle w:val="ListNumber"/>
        <w:spacing w:after="40"/>
        <w:ind w:left="360"/>
      </w:pPr>
      <w:r>
        <w:rPr>
          <w:b/>
          <w:sz w:val="21"/>
        </w:rPr>
        <w:t>raster</w:t>
      </w:r>
      <w:r>
        <w:rPr>
          <w:sz w:val="21"/>
        </w:rPr>
        <w:t xml:space="preserve"> (zonal stats del ráster, vía </w:t>
      </w:r>
      <w:r>
        <w:rPr>
          <w:rFonts w:ascii="Consolas" w:hAnsi="Consolas"/>
          <w:color w:val="9F1239"/>
          <w:sz w:val="19"/>
        </w:rPr>
        <w:t>rasterio</w:t>
      </w:r>
      <w:r>
        <w:rPr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sz w:val="21"/>
        </w:rPr>
        <w:t>estimado</w:t>
      </w:r>
      <w:r>
        <w:rPr>
          <w:sz w:val="21"/>
        </w:rPr>
        <w:t xml:space="preserve"> (interpolación/tendencia lineal; </w:t>
      </w:r>
      <w:r>
        <w:rPr>
          <w:b/>
          <w:sz w:val="21"/>
        </w:rPr>
        <w:t>siempre</w:t>
      </w:r>
      <w:r>
        <w:rPr>
          <w:sz w:val="21"/>
        </w:rPr>
        <w:t xml:space="preserve"> marcado con </w:t>
      </w:r>
      <w:r>
        <w:rPr>
          <w:rFonts w:ascii="Consolas" w:hAnsi="Consolas"/>
          <w:color w:val="9F1239"/>
          <w:sz w:val="19"/>
        </w:rPr>
        <w:t>estimado=True</w:t>
      </w:r>
      <w:r>
        <w:rPr>
          <w:sz w:val="21"/>
        </w:rPr>
        <w:t>).</w:t>
      </w:r>
    </w:p>
    <w:p>
      <w:pPr>
        <w:spacing w:after="120"/>
      </w:pPr>
      <w:r>
        <w:rPr>
          <w:b/>
          <w:color w:val="222A25"/>
          <w:sz w:val="21"/>
        </w:rPr>
        <w:t>Dependencias geoespaciales.</w:t>
      </w:r>
      <w:r>
        <w:rPr>
          <w:color w:val="222A25"/>
          <w:sz w:val="21"/>
        </w:rPr>
        <w:t xml:space="preserve"> El ETL importa </w:t>
      </w:r>
      <w:r>
        <w:rPr>
          <w:rFonts w:ascii="Consolas" w:hAnsi="Consolas"/>
          <w:color w:val="9F1239"/>
          <w:sz w:val="19"/>
        </w:rPr>
        <w:t>geopandas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numpy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pandas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shapely</w:t>
      </w:r>
      <w:r>
        <w:rPr>
          <w:color w:val="222A25"/>
          <w:sz w:val="21"/>
        </w:rPr>
        <w:t xml:space="preserve"> a nivel de módulo, y usa el motor </w:t>
      </w:r>
      <w:r>
        <w:rPr>
          <w:b/>
          <w:color w:val="222A25"/>
          <w:sz w:val="21"/>
        </w:rPr>
        <w:t>`pyogrio`</w:t>
      </w:r>
      <w:r>
        <w:rPr>
          <w:color w:val="222A25"/>
          <w:sz w:val="21"/>
        </w:rPr>
        <w:t xml:space="preserve"> para leer vectoriales (</w:t>
      </w:r>
      <w:r>
        <w:rPr>
          <w:rFonts w:ascii="Consolas" w:hAnsi="Consolas"/>
          <w:color w:val="9F1239"/>
          <w:sz w:val="19"/>
        </w:rPr>
        <w:t>gpd.read_file(..., engine="pyogrio")</w:t>
      </w:r>
      <w:r>
        <w:rPr>
          <w:color w:val="222A25"/>
          <w:sz w:val="21"/>
        </w:rPr>
        <w:t xml:space="preserve">, con reintento en </w:t>
      </w:r>
      <w:r>
        <w:rPr>
          <w:rFonts w:ascii="Consolas" w:hAnsi="Consolas"/>
          <w:color w:val="9F1239"/>
          <w:sz w:val="19"/>
        </w:rPr>
        <w:t>latin-1</w:t>
      </w:r>
      <w:r>
        <w:rPr>
          <w:color w:val="222A25"/>
          <w:sz w:val="21"/>
        </w:rPr>
        <w:t xml:space="preserve">) y </w:t>
      </w:r>
      <w:r>
        <w:rPr>
          <w:b/>
          <w:color w:val="222A25"/>
          <w:sz w:val="21"/>
        </w:rPr>
        <w:t>`rasterio`</w:t>
      </w:r>
      <w:r>
        <w:rPr>
          <w:color w:val="222A25"/>
          <w:sz w:val="21"/>
        </w:rPr>
        <w:t xml:space="preserve"> para las estadísticas zonales del ráster.</w:t>
      </w:r>
    </w:p>
    <w:p>
      <w:pPr>
        <w:spacing w:after="120"/>
      </w:pPr>
      <w:r>
        <w:rPr>
          <w:b/>
          <w:color w:val="222A25"/>
          <w:sz w:val="21"/>
        </w:rPr>
        <w:t>CRS.</w:t>
      </w:r>
      <w:r>
        <w:rPr>
          <w:color w:val="222A25"/>
          <w:sz w:val="21"/>
        </w:rPr>
        <w:t xml:space="preserve"> El paquete crudo está mayoritariamente en </w:t>
      </w:r>
      <w:r>
        <w:rPr>
          <w:b/>
          <w:color w:val="222A25"/>
          <w:sz w:val="21"/>
        </w:rPr>
        <w:t>EPSG:3115</w:t>
      </w:r>
      <w:r>
        <w:rPr>
          <w:color w:val="222A25"/>
          <w:sz w:val="21"/>
        </w:rPr>
        <w:t xml:space="preserve"> (MAGNA-SIRGAS Bogotá / Colombia West, métrico), usado como fallback métrico; toda la salida web se reproyecta a </w:t>
      </w:r>
      <w:r>
        <w:rPr>
          <w:b/>
          <w:color w:val="222A25"/>
          <w:sz w:val="21"/>
        </w:rPr>
        <w:t>EPSG:4326</w:t>
      </w:r>
      <w:r>
        <w:rPr>
          <w:color w:val="222A25"/>
          <w:sz w:val="21"/>
        </w:rPr>
        <w:t xml:space="preserve"> (WGS84).</w:t>
      </w:r>
    </w:p>
    <w:p>
      <w:pPr>
        <w:spacing w:after="120"/>
      </w:pPr>
      <w:r>
        <w:rPr>
          <w:b/>
          <w:color w:val="222A25"/>
          <w:sz w:val="21"/>
        </w:rPr>
        <w:t>QA automático.</w:t>
      </w:r>
      <w:r>
        <w:rPr>
          <w:color w:val="222A25"/>
          <w:sz w:val="21"/>
        </w:rPr>
        <w:t xml:space="preserve"> El último paso del ETL valida los totales calculados contra las hojas «Cálculos» de los Excel originales y registra la diferencia porcentual en </w:t>
      </w:r>
      <w:r>
        <w:rPr>
          <w:rFonts w:ascii="Consolas" w:hAnsi="Consolas"/>
          <w:color w:val="9F1239"/>
          <w:sz w:val="19"/>
        </w:rPr>
        <w:t>metadata.json</w:t>
      </w:r>
      <w:r>
        <w:rPr>
          <w:color w:val="222A25"/>
          <w:sz w:val="21"/>
        </w:rPr>
        <w:t xml:space="preserve"> (campo </w:t>
      </w:r>
      <w:r>
        <w:rPr>
          <w:rFonts w:ascii="Consolas" w:hAnsi="Consolas"/>
          <w:color w:val="9F1239"/>
          <w:sz w:val="19"/>
        </w:rPr>
        <w:t>qa_calculos</w:t>
      </w:r>
      <w:r>
        <w:rPr>
          <w:color w:val="222A25"/>
          <w:sz w:val="21"/>
        </w:rPr>
        <w:t xml:space="preserve"> y </w:t>
      </w:r>
      <w:r>
        <w:rPr>
          <w:rFonts w:ascii="Consolas" w:hAnsi="Consolas"/>
          <w:color w:val="9F1239"/>
          <w:sz w:val="19"/>
        </w:rPr>
        <w:t>log</w:t>
      </w:r>
      <w:r>
        <w:rPr>
          <w:color w:val="222A25"/>
          <w:sz w:val="21"/>
        </w:rPr>
        <w:t xml:space="preserve">). En la corrida actual las diferencias por periodo están todas por debajo del 0,3 % (p. ej. 2000-2002 y 2014-2015 con 0,00 %; 2016-2017 con 0,29 %). El total consolidado de deforestación (clase «Deforestación») es </w:t>
      </w:r>
      <w:r>
        <w:rPr>
          <w:b/>
          <w:color w:val="222A25"/>
          <w:sz w:val="21"/>
        </w:rPr>
        <w:t>46.845,5 ha</w:t>
      </w:r>
      <w:r>
        <w:rPr>
          <w:color w:val="222A25"/>
          <w:sz w:val="21"/>
        </w:rPr>
        <w:t>.</w:t>
      </w:r>
    </w:p>
    <w:p>
      <w:pPr>
        <w:spacing w:after="120"/>
      </w:pPr>
      <w:r>
        <w:rPr>
          <w:b/>
          <w:color w:val="222A25"/>
          <w:sz w:val="21"/>
        </w:rPr>
        <w:t>Periodos.</w:t>
      </w:r>
      <w:r>
        <w:rPr>
          <w:color w:val="222A25"/>
          <w:sz w:val="21"/>
        </w:rPr>
        <w:t xml:space="preserve"> 18 periodos entre 2000 y 2024. El periodo </w:t>
      </w:r>
      <w:r>
        <w:rPr>
          <w:b/>
          <w:color w:val="222A25"/>
          <w:sz w:val="21"/>
        </w:rPr>
        <w:t>2015-2016</w:t>
      </w:r>
      <w:r>
        <w:rPr>
          <w:color w:val="222A25"/>
          <w:sz w:val="21"/>
        </w:rPr>
        <w:t xml:space="preserve"> se recupera como </w:t>
      </w:r>
      <w:r>
        <w:rPr>
          <w:b/>
          <w:color w:val="222A25"/>
          <w:sz w:val="21"/>
        </w:rPr>
        <w:t>dato MEDIDO</w:t>
      </w:r>
      <w:r>
        <w:rPr>
          <w:color w:val="222A25"/>
          <w:sz w:val="21"/>
        </w:rPr>
        <w:t xml:space="preserve"> desde la tabla municipal </w:t>
      </w:r>
      <w:r>
        <w:rPr>
          <w:rFonts w:ascii="Consolas" w:hAnsi="Consolas"/>
          <w:color w:val="9F1239"/>
          <w:sz w:val="19"/>
        </w:rPr>
        <w:t>.dbf</w:t>
      </w:r>
      <w:r>
        <w:rPr>
          <w:color w:val="222A25"/>
          <w:sz w:val="21"/>
        </w:rPr>
        <w:t xml:space="preserve"> (</w:t>
      </w:r>
      <w:r>
        <w:rPr>
          <w:rFonts w:ascii="Consolas" w:hAnsi="Consolas"/>
          <w:color w:val="9F1239"/>
          <w:sz w:val="19"/>
        </w:rPr>
        <w:t>Defor2015_2016_Mpios_Proj_Correg.dbf</w:t>
      </w:r>
      <w:r>
        <w:rPr>
          <w:color w:val="222A25"/>
          <w:sz w:val="21"/>
        </w:rPr>
        <w:t xml:space="preserve">), con </w:t>
      </w:r>
      <w:r>
        <w:rPr>
          <w:rFonts w:ascii="Consolas" w:hAnsi="Consolas"/>
          <w:color w:val="9F1239"/>
          <w:sz w:val="19"/>
        </w:rPr>
        <w:t>estimado=false</w:t>
      </w:r>
      <w:r>
        <w:rPr>
          <w:color w:val="222A25"/>
          <w:sz w:val="21"/>
        </w:rPr>
        <w:t xml:space="preserve">; su geometría </w:t>
      </w:r>
      <w:r>
        <w:rPr>
          <w:rFonts w:ascii="Consolas" w:hAnsi="Consolas"/>
          <w:color w:val="9F1239"/>
          <w:sz w:val="19"/>
        </w:rPr>
        <w:t>.shp</w:t>
      </w:r>
      <w:r>
        <w:rPr>
          <w:color w:val="222A25"/>
          <w:sz w:val="21"/>
        </w:rPr>
        <w:t xml:space="preserve"> no se conservó, por lo que no aparece en el visor de polígonos, pero sus cifras en dashboard y serie son reales. Solo quedan </w:t>
      </w:r>
      <w:r>
        <w:rPr>
          <w:b/>
          <w:color w:val="222A25"/>
          <w:sz w:val="21"/>
        </w:rPr>
        <w:t>3 periodos estimados</w:t>
      </w:r>
      <w:r>
        <w:rPr>
          <w:color w:val="222A25"/>
          <w:sz w:val="21"/>
        </w:rPr>
        <w:t xml:space="preserve">: </w:t>
      </w:r>
      <w:r>
        <w:rPr>
          <w:rFonts w:ascii="Consolas" w:hAnsi="Consolas"/>
          <w:color w:val="9F1239"/>
          <w:sz w:val="19"/>
        </w:rPr>
        <w:t>2010-2012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2018-2019</w:t>
      </w:r>
      <w:r>
        <w:rPr>
          <w:color w:val="222A25"/>
          <w:sz w:val="21"/>
        </w:rPr>
        <w:t xml:space="preserve"> y </w:t>
      </w:r>
      <w:r>
        <w:rPr>
          <w:rFonts w:ascii="Consolas" w:hAnsi="Consolas"/>
          <w:color w:val="9F1239"/>
          <w:sz w:val="19"/>
        </w:rPr>
        <w:t>2023-2024</w:t>
      </w:r>
      <w:r>
        <w:rPr>
          <w:color w:val="222A25"/>
          <w:sz w:val="21"/>
        </w:rPr>
        <w:t xml:space="preserve"> (campo </w:t>
      </w:r>
      <w:r>
        <w:rPr>
          <w:rFonts w:ascii="Consolas" w:hAnsi="Consolas"/>
          <w:color w:val="9F1239"/>
          <w:sz w:val="19"/>
        </w:rPr>
        <w:t>vacios_estimados</w:t>
      </w:r>
      <w:r>
        <w:rPr>
          <w:color w:val="222A25"/>
          <w:sz w:val="21"/>
        </w:rPr>
        <w:t xml:space="preserve"> en </w:t>
      </w:r>
      <w:r>
        <w:rPr>
          <w:rFonts w:ascii="Consolas" w:hAnsi="Consolas"/>
          <w:color w:val="9F1239"/>
          <w:sz w:val="19"/>
        </w:rPr>
        <w:t>metadata.json</w:t>
      </w:r>
      <w:r>
        <w:rPr>
          <w:color w:val="222A25"/>
          <w:sz w:val="21"/>
        </w:rPr>
        <w:t>).</w:t>
      </w:r>
    </w:p>
    <w:p>
      <w:pPr>
        <w:spacing w:after="120"/>
      </w:pPr>
      <w:r>
        <w:rPr>
          <w:color w:val="222A25"/>
          <w:sz w:val="21"/>
        </w:rPr>
        <w:t>Tras la corrida, sincronice la salida con la copia empaquetada del frontend (</w:t>
      </w:r>
      <w:r>
        <w:rPr>
          <w:rFonts w:ascii="Consolas" w:hAnsi="Consolas"/>
          <w:color w:val="9F1239"/>
          <w:sz w:val="19"/>
        </w:rPr>
        <w:t>frontend/data/processed</w:t>
      </w:r>
      <w:r>
        <w:rPr>
          <w:color w:val="222A25"/>
          <w:sz w:val="21"/>
        </w:rPr>
        <w:t>) para que la web sirva los datos actualizados.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8. Cómo regenerar los entregables</w:t>
      </w:r>
    </w:p>
    <w:p>
      <w:pPr>
        <w:spacing w:after="120"/>
      </w:pPr>
      <w:r>
        <w:rPr>
          <w:color w:val="222A25"/>
          <w:sz w:val="21"/>
        </w:rPr>
        <w:t xml:space="preserve">Los entregables viven en </w:t>
      </w:r>
      <w:r>
        <w:rPr>
          <w:rFonts w:ascii="Consolas" w:hAnsi="Consolas"/>
          <w:color w:val="9F1239"/>
          <w:sz w:val="19"/>
        </w:rPr>
        <w:t>entregables/</w:t>
      </w:r>
      <w:r>
        <w:rPr>
          <w:color w:val="222A25"/>
          <w:sz w:val="21"/>
        </w:rPr>
        <w:t xml:space="preserve">: el </w:t>
      </w:r>
      <w:r>
        <w:rPr>
          <w:b/>
          <w:color w:val="222A25"/>
          <w:sz w:val="21"/>
        </w:rPr>
        <w:t>Dashboard Excel</w:t>
      </w:r>
      <w:r>
        <w:rPr>
          <w:color w:val="222A25"/>
          <w:sz w:val="21"/>
        </w:rPr>
        <w:t xml:space="preserve"> y el </w:t>
      </w:r>
      <w:r>
        <w:rPr>
          <w:b/>
          <w:color w:val="222A25"/>
          <w:sz w:val="21"/>
        </w:rPr>
        <w:t>Informe Word</w:t>
      </w:r>
      <w:r>
        <w:rPr>
          <w:color w:val="222A25"/>
          <w:sz w:val="21"/>
        </w:rPr>
        <w:t>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Dashboard Excel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python etl/build_excel_dashboard.py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Genera </w:t>
      </w:r>
      <w:r>
        <w:rPr>
          <w:rFonts w:ascii="Consolas" w:hAnsi="Consolas"/>
          <w:color w:val="9F1239"/>
          <w:sz w:val="19"/>
        </w:rPr>
        <w:t>entregables/Dashboard_Deforestacion_CORPOURABA_2000-2024.xlsx</w:t>
      </w:r>
      <w:r>
        <w:rPr>
          <w:color w:val="222A25"/>
          <w:sz w:val="21"/>
        </w:rPr>
        <w:t xml:space="preserve">: un libro autónomo y dinámico con fórmulas nativas (sin macros) — Portada, Dashboard (KPIs + gráficos), Consulta por municipio (desplegable), matriz municipio × periodo, serie regional, serie municipal, hoja auxiliar de cálculos y diccionario/metodología. Todos los agregados son fórmulas de Excel sobre la hoja de datos, de modo que el libro sea auditable y extensible. Requiere </w:t>
      </w:r>
      <w:r>
        <w:rPr>
          <w:rFonts w:ascii="Consolas" w:hAnsi="Consolas"/>
          <w:color w:val="9F1239"/>
          <w:sz w:val="19"/>
        </w:rPr>
        <w:t>openpyxl</w:t>
      </w:r>
      <w:r>
        <w:rPr>
          <w:color w:val="222A25"/>
          <w:sz w:val="21"/>
        </w:rPr>
        <w:t xml:space="preserve">. Debe ejecutarse </w:t>
      </w:r>
      <w:r>
        <w:rPr>
          <w:b/>
          <w:color w:val="222A25"/>
          <w:sz w:val="21"/>
        </w:rPr>
        <w:t>después</w:t>
      </w:r>
      <w:r>
        <w:rPr>
          <w:color w:val="222A25"/>
          <w:sz w:val="21"/>
        </w:rPr>
        <w:t xml:space="preserve"> del ETL (o de cualquier recálculo de la serie) para reflejar cifras actualizadas.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Informe Word</w:t>
      </w:r>
    </w:p>
    <w:p>
      <w:pPr>
        <w:spacing w:after="120"/>
      </w:pPr>
      <w:r>
        <w:rPr>
          <w:color w:val="222A25"/>
          <w:sz w:val="21"/>
        </w:rPr>
        <w:t>Es un proceso de dos pasos:</w:t>
      </w:r>
    </w:p>
    <w:p>
      <w:pPr>
        <w:pStyle w:val="ListNumber"/>
        <w:spacing w:after="40"/>
        <w:ind w:left="360"/>
      </w:pPr>
      <w:r>
        <w:rPr>
          <w:b/>
          <w:sz w:val="21"/>
        </w:rPr>
        <w:t>Consolidación de datos (Python):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python etl/consolidar_informe.py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Lee </w:t>
      </w:r>
      <w:r>
        <w:rPr>
          <w:rFonts w:ascii="Consolas" w:hAnsi="Consolas"/>
          <w:color w:val="9F1239"/>
          <w:sz w:val="19"/>
        </w:rPr>
        <w:t>data/processed</w:t>
      </w:r>
      <w:r>
        <w:rPr>
          <w:color w:val="222A25"/>
          <w:sz w:val="21"/>
        </w:rPr>
        <w:t xml:space="preserve"> y </w:t>
      </w:r>
      <w:r>
        <w:rPr>
          <w:rFonts w:ascii="Consolas" w:hAnsi="Consolas"/>
          <w:color w:val="9F1239"/>
          <w:sz w:val="19"/>
        </w:rPr>
        <w:t>data/processed/analisis</w:t>
      </w:r>
      <w:r>
        <w:rPr>
          <w:color w:val="222A25"/>
          <w:sz w:val="21"/>
        </w:rPr>
        <w:t xml:space="preserve"> (incluida la subcarpeta </w:t>
      </w:r>
      <w:r>
        <w:rPr>
          <w:rFonts w:ascii="Consolas" w:hAnsi="Consolas"/>
          <w:color w:val="9F1239"/>
          <w:sz w:val="19"/>
        </w:rPr>
        <w:t>cartografia/</w:t>
      </w:r>
      <w:r>
        <w:rPr>
          <w:color w:val="222A25"/>
          <w:sz w:val="21"/>
        </w:rPr>
        <w:t xml:space="preserve">) y escribe la fuente de datos consolidada </w:t>
      </w:r>
      <w:r>
        <w:rPr>
          <w:rFonts w:ascii="Consolas" w:hAnsi="Consolas"/>
          <w:color w:val="9F1239"/>
          <w:sz w:val="19"/>
        </w:rPr>
        <w:t>entregables/informe_datos.json</w:t>
      </w:r>
      <w:r>
        <w:rPr>
          <w:color w:val="222A25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sz w:val="21"/>
        </w:rPr>
        <w:t>Generación del documento (Node.js):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node etl/generar_informe.js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Lee </w:t>
      </w:r>
      <w:r>
        <w:rPr>
          <w:rFonts w:ascii="Consolas" w:hAnsi="Consolas"/>
          <w:color w:val="9F1239"/>
          <w:sz w:val="19"/>
        </w:rPr>
        <w:t>entregables/informe_datos.json</w:t>
      </w:r>
      <w:r>
        <w:rPr>
          <w:color w:val="222A25"/>
          <w:sz w:val="21"/>
        </w:rPr>
        <w:t xml:space="preserve"> y el logo </w:t>
      </w:r>
      <w:r>
        <w:rPr>
          <w:rFonts w:ascii="Consolas" w:hAnsi="Consolas"/>
          <w:color w:val="9F1239"/>
          <w:sz w:val="19"/>
        </w:rPr>
        <w:t>frontend/public/logo-corpouraba.png</w:t>
      </w:r>
      <w:r>
        <w:rPr>
          <w:color w:val="222A25"/>
          <w:sz w:val="21"/>
        </w:rPr>
        <w:t xml:space="preserve">, y escribe </w:t>
      </w:r>
      <w:r>
        <w:rPr>
          <w:rFonts w:ascii="Consolas" w:hAnsi="Consolas"/>
          <w:color w:val="9F1239"/>
          <w:sz w:val="19"/>
        </w:rPr>
        <w:t>entregables/Informe_Deforestacion_CORPOURABA_2000-2024.docx</w:t>
      </w:r>
      <w:r>
        <w:rPr>
          <w:color w:val="222A25"/>
          <w:sz w:val="21"/>
        </w:rPr>
        <w:t xml:space="preserve"> usando el módulo </w:t>
      </w:r>
      <w:r>
        <w:rPr>
          <w:b/>
          <w:color w:val="222A25"/>
          <w:sz w:val="21"/>
        </w:rPr>
        <w:t>`docx`</w:t>
      </w:r>
      <w:r>
        <w:rPr>
          <w:color w:val="222A25"/>
          <w:sz w:val="21"/>
        </w:rPr>
        <w:t>.</w:t>
      </w:r>
    </w:p>
    <w:p>
      <w:pPr>
        <w:spacing w:after="120"/>
      </w:pPr>
      <w:r>
        <w:rPr>
          <w:color w:val="222A25"/>
          <w:sz w:val="21"/>
        </w:rPr>
        <w:t xml:space="preserve">El generador </w:t>
      </w:r>
      <w:r>
        <w:rPr>
          <w:b/>
          <w:color w:val="222A25"/>
          <w:sz w:val="21"/>
        </w:rPr>
        <w:t>requiere el módulo `docx`</w:t>
      </w:r>
      <w:r>
        <w:rPr>
          <w:color w:val="222A25"/>
          <w:sz w:val="21"/>
        </w:rPr>
        <w:t xml:space="preserve">. Si no está en las dependencias locales del proyecto, instálelo de forma global y apunte </w:t>
      </w:r>
      <w:r>
        <w:rPr>
          <w:rFonts w:ascii="Consolas" w:hAnsi="Consolas"/>
          <w:color w:val="9F1239"/>
          <w:sz w:val="19"/>
        </w:rPr>
        <w:t>NODE_PATH</w:t>
      </w:r>
      <w:r>
        <w:rPr>
          <w:color w:val="222A25"/>
          <w:sz w:val="21"/>
        </w:rPr>
        <w:t xml:space="preserve"> a la carpeta de módulos globales de npm antes de ejecutar el script, por ejemplo: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npm install -g docx</w:t>
      </w:r>
    </w:p>
    <w:p>
      <w:pPr>
        <w:spacing w:before="280" w:after="80"/>
        <w:pBdr>
          <w:bottom w:val="single" w:sz="6" w:space="2" w:color="1F7347"/>
        </w:pBdr>
      </w:pPr>
      <w:r>
        <w:rPr>
          <w:rFonts w:ascii="Calibri" w:hAnsi="Calibri"/>
          <w:b/>
          <w:color w:val="0B3D25"/>
          <w:sz w:val="34"/>
        </w:rPr>
        <w:t>Windows (PowerShell): $env:NODE_PATH = "$(npm root -g)"; node etl/generar_informe.js</w:t>
      </w:r>
    </w:p>
    <w:p>
      <w:pPr>
        <w:spacing w:before="280" w:after="80"/>
        <w:pBdr>
          <w:bottom w:val="single" w:sz="6" w:space="2" w:color="1F7347"/>
        </w:pBdr>
      </w:pPr>
      <w:r>
        <w:rPr>
          <w:rFonts w:ascii="Calibri" w:hAnsi="Calibri"/>
          <w:b/>
          <w:color w:val="0B3D25"/>
          <w:sz w:val="34"/>
        </w:rPr>
        <w:t>Bash:                 NODE_PATH="$(npm root -g)" node etl/generar_informe.js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Así el </w:t>
      </w:r>
      <w:r>
        <w:rPr>
          <w:rFonts w:ascii="Consolas" w:hAnsi="Consolas"/>
          <w:color w:val="9F1239"/>
          <w:sz w:val="19"/>
        </w:rPr>
        <w:t>require('docx')</w:t>
      </w:r>
      <w:r>
        <w:rPr>
          <w:color w:val="222A25"/>
          <w:sz w:val="21"/>
        </w:rPr>
        <w:t xml:space="preserve"> del script resuelve el módulo desde la instalación global.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9. Despliegue en Vercel</w:t>
      </w:r>
    </w:p>
    <w:p>
      <w:pPr>
        <w:spacing w:after="120"/>
      </w:pPr>
      <w:r>
        <w:rPr>
          <w:color w:val="222A25"/>
          <w:sz w:val="21"/>
        </w:rPr>
        <w:t>El proyecto se despliega en Vercel con configuración de subcarpeta:</w:t>
      </w:r>
    </w:p>
    <w:p>
      <w:pPr>
        <w:pStyle w:val="ListNumber"/>
        <w:spacing w:after="40"/>
        <w:ind w:left="360"/>
      </w:pPr>
      <w:r>
        <w:rPr>
          <w:b/>
          <w:sz w:val="21"/>
        </w:rPr>
        <w:t>Root Directory = `frontend`.</w:t>
      </w:r>
      <w:r>
        <w:rPr>
          <w:sz w:val="21"/>
        </w:rPr>
        <w:t xml:space="preserve"> El repositorio contiene varias carpetas (ETL, backend, datos); la app Next.js está en </w:t>
      </w:r>
      <w:r>
        <w:rPr>
          <w:rFonts w:ascii="Consolas" w:hAnsi="Consolas"/>
          <w:color w:val="9F1239"/>
          <w:sz w:val="19"/>
        </w:rPr>
        <w:t>frontend/</w:t>
      </w:r>
      <w:r>
        <w:rPr>
          <w:sz w:val="21"/>
        </w:rPr>
        <w:t>, y ese debe ser el Root Directory del proyecto Vercel.</w:t>
      </w:r>
    </w:p>
    <w:p>
      <w:pPr>
        <w:pStyle w:val="ListNumber"/>
        <w:spacing w:after="40"/>
        <w:ind w:left="360"/>
      </w:pPr>
      <w:r>
        <w:rPr>
          <w:b/>
          <w:sz w:val="21"/>
        </w:rPr>
        <w:t>Framework Preset = Next.js.</w:t>
      </w:r>
      <w:r>
        <w:rPr>
          <w:sz w:val="21"/>
        </w:rPr>
        <w:t xml:space="preserve"> Debe quedar explícitamente en «Next.js».</w:t>
      </w:r>
    </w:p>
    <w:p>
      <w:pPr>
        <w:pStyle w:val="ListNumber"/>
        <w:spacing w:after="40"/>
        <w:ind w:left="360"/>
      </w:pPr>
      <w:r>
        <w:rPr>
          <w:b/>
          <w:sz w:val="21"/>
        </w:rPr>
        <w:t>Redeploy</w:t>
      </w:r>
      <w:r>
        <w:rPr>
          <w:sz w:val="21"/>
        </w:rPr>
        <w:t xml:space="preserve"> tras confirmar ambos ajustes.</w:t>
      </w:r>
    </w:p>
    <w:p>
      <w:pPr>
        <w:spacing w:after="120"/>
      </w:pPr>
      <w:r>
        <w:rPr>
          <w:b/>
          <w:color w:val="222A25"/>
          <w:sz w:val="21"/>
        </w:rPr>
        <w:t>Fallo conocido — Framework Preset en «Other».</w:t>
      </w:r>
      <w:r>
        <w:rPr>
          <w:color w:val="222A25"/>
          <w:sz w:val="21"/>
        </w:rPr>
        <w:t xml:space="preserve"> Cuando el Root Directory es </w:t>
      </w:r>
      <w:r>
        <w:rPr>
          <w:rFonts w:ascii="Consolas" w:hAnsi="Consolas"/>
          <w:color w:val="9F1239"/>
          <w:sz w:val="19"/>
        </w:rPr>
        <w:t>frontend</w:t>
      </w:r>
      <w:r>
        <w:rPr>
          <w:color w:val="222A25"/>
          <w:sz w:val="21"/>
        </w:rPr>
        <w:t xml:space="preserve">, Vercel a veces </w:t>
      </w:r>
      <w:r>
        <w:rPr>
          <w:b/>
          <w:color w:val="222A25"/>
          <w:sz w:val="21"/>
        </w:rPr>
        <w:t>no autodetecta</w:t>
      </w:r>
      <w:r>
        <w:rPr>
          <w:color w:val="222A25"/>
          <w:sz w:val="21"/>
        </w:rPr>
        <w:t xml:space="preserve"> el framework y deja el Framework Preset en </w:t>
      </w:r>
      <w:r>
        <w:rPr>
          <w:b/>
          <w:color w:val="222A25"/>
          <w:sz w:val="21"/>
        </w:rPr>
        <w:t>«Other»</w:t>
      </w:r>
      <w:r>
        <w:rPr>
          <w:color w:val="222A25"/>
          <w:sz w:val="21"/>
        </w:rPr>
        <w:t xml:space="preserve">. En ese caso el sitio devuelve </w:t>
      </w:r>
      <w:r>
        <w:rPr>
          <w:b/>
          <w:color w:val="222A25"/>
          <w:sz w:val="21"/>
        </w:rPr>
        <w:t>404</w:t>
      </w:r>
      <w:r>
        <w:rPr>
          <w:color w:val="222A25"/>
          <w:sz w:val="21"/>
        </w:rPr>
        <w:t xml:space="preserve"> (no se aplican el App Router ni las funciones serverless). La corrección es entrar a </w:t>
      </w:r>
      <w:r>
        <w:rPr>
          <w:i/>
          <w:color w:val="222A25"/>
          <w:sz w:val="21"/>
        </w:rPr>
        <w:t>Project Settings → General</w:t>
      </w:r>
      <w:r>
        <w:rPr>
          <w:color w:val="222A25"/>
          <w:sz w:val="21"/>
        </w:rPr>
        <w:t xml:space="preserve">, fijar manualmente </w:t>
      </w:r>
      <w:r>
        <w:rPr>
          <w:b/>
          <w:color w:val="222A25"/>
          <w:sz w:val="21"/>
        </w:rPr>
        <w:t>Framework Preset = Next.js</w:t>
      </w:r>
      <w:r>
        <w:rPr>
          <w:color w:val="222A25"/>
          <w:sz w:val="21"/>
        </w:rPr>
        <w:t xml:space="preserve">, guardar y </w:t>
      </w:r>
      <w:r>
        <w:rPr>
          <w:b/>
          <w:color w:val="222A25"/>
          <w:sz w:val="21"/>
        </w:rPr>
        <w:t>volver a desplegar (Redeploy)</w:t>
      </w:r>
      <w:r>
        <w:rPr>
          <w:color w:val="222A25"/>
          <w:sz w:val="21"/>
        </w:rPr>
        <w:t>. Verifíquelo tras el primer despliegue.</w:t>
      </w:r>
    </w:p>
    <w:p>
      <w:pPr>
        <w:spacing w:after="120"/>
      </w:pPr>
      <w:r>
        <w:rPr>
          <w:b/>
          <w:color w:val="222A25"/>
          <w:sz w:val="21"/>
        </w:rPr>
        <w:t>Empaquetado de datos.</w:t>
      </w:r>
      <w:r>
        <w:rPr>
          <w:color w:val="222A25"/>
          <w:sz w:val="21"/>
        </w:rPr>
        <w:t xml:space="preserve"> El </w:t>
      </w:r>
      <w:r>
        <w:rPr>
          <w:rFonts w:ascii="Consolas" w:hAnsi="Consolas"/>
          <w:color w:val="9F1239"/>
          <w:sz w:val="19"/>
        </w:rPr>
        <w:t>outputFileTracingIncludes</w:t>
      </w:r>
      <w:r>
        <w:rPr>
          <w:color w:val="222A25"/>
          <w:sz w:val="21"/>
        </w:rPr>
        <w:t xml:space="preserve"> de </w:t>
      </w:r>
      <w:r>
        <w:rPr>
          <w:rFonts w:ascii="Consolas" w:hAnsi="Consolas"/>
          <w:color w:val="9F1239"/>
          <w:sz w:val="19"/>
        </w:rPr>
        <w:t>next.config.mjs</w:t>
      </w:r>
      <w:r>
        <w:rPr>
          <w:color w:val="222A25"/>
          <w:sz w:val="21"/>
        </w:rPr>
        <w:t xml:space="preserve"> garantiza que </w:t>
      </w:r>
      <w:r>
        <w:rPr>
          <w:rFonts w:ascii="Consolas" w:hAnsi="Consolas"/>
          <w:color w:val="9F1239"/>
          <w:sz w:val="19"/>
        </w:rPr>
        <w:t>frontend/data/processed/**/*</w:t>
      </w:r>
      <w:r>
        <w:rPr>
          <w:color w:val="222A25"/>
          <w:sz w:val="21"/>
        </w:rPr>
        <w:t xml:space="preserve"> se incluya en las funciones </w:t>
      </w:r>
      <w:r>
        <w:rPr>
          <w:rFonts w:ascii="Consolas" w:hAnsi="Consolas"/>
          <w:color w:val="9F1239"/>
          <w:sz w:val="19"/>
        </w:rPr>
        <w:t>/api/**</w:t>
      </w:r>
      <w:r>
        <w:rPr>
          <w:color w:val="222A25"/>
          <w:sz w:val="21"/>
        </w:rPr>
        <w:t>. Si se cambia la ubicación de los datos, ajuste ese patrón en consecuencia.</w:t>
      </w:r>
    </w:p>
    <w:p>
      <w:pPr>
        <w:spacing w:after="120"/>
      </w:pPr>
      <w:r>
        <w:rPr>
          <w:b/>
          <w:color w:val="222A25"/>
          <w:sz w:val="21"/>
        </w:rPr>
        <w:t>Comprobación posdespliegue.</w:t>
      </w:r>
      <w:r>
        <w:rPr>
          <w:color w:val="222A25"/>
          <w:sz w:val="21"/>
        </w:rPr>
        <w:t xml:space="preserve"> Consulte </w:t>
      </w:r>
      <w:r>
        <w:rPr>
          <w:rFonts w:ascii="Consolas" w:hAnsi="Consolas"/>
          <w:color w:val="9F1239"/>
          <w:sz w:val="19"/>
        </w:rPr>
        <w:t>GET /api/v1/salud</w:t>
      </w:r>
      <w:r>
        <w:rPr>
          <w:color w:val="222A25"/>
          <w:sz w:val="21"/>
        </w:rPr>
        <w:t xml:space="preserve"> (debe responder </w:t>
      </w:r>
      <w:r>
        <w:rPr>
          <w:rFonts w:ascii="Consolas" w:hAnsi="Consolas"/>
          <w:color w:val="9F1239"/>
          <w:sz w:val="19"/>
        </w:rPr>
        <w:t>{ estado: 'ok', modo_datos: 'archivos' }</w:t>
      </w:r>
      <w:r>
        <w:rPr>
          <w:color w:val="222A25"/>
          <w:sz w:val="21"/>
        </w:rPr>
        <w:t xml:space="preserve">) y </w:t>
      </w:r>
      <w:r>
        <w:rPr>
          <w:rFonts w:ascii="Consolas" w:hAnsi="Consolas"/>
          <w:color w:val="9F1239"/>
          <w:sz w:val="19"/>
        </w:rPr>
        <w:t>GET /api/v1/kpis</w:t>
      </w:r>
      <w:r>
        <w:rPr>
          <w:color w:val="222A25"/>
          <w:sz w:val="21"/>
        </w:rPr>
        <w:t xml:space="preserve"> para confirmar que los datos están empaquetados y accesibles.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10. Cómo incorporar un periodo nuevo o datos reales de los estimados</w:t>
      </w:r>
    </w:p>
    <w:p>
      <w:pPr>
        <w:spacing w:after="120"/>
      </w:pPr>
      <w:r>
        <w:rPr>
          <w:color w:val="222A25"/>
          <w:sz w:val="21"/>
        </w:rPr>
        <w:t>Para añadir un periodo nuevo o sustituir uno de los 3 periodos estimados (</w:t>
      </w:r>
      <w:r>
        <w:rPr>
          <w:rFonts w:ascii="Consolas" w:hAnsi="Consolas"/>
          <w:color w:val="9F1239"/>
          <w:sz w:val="19"/>
        </w:rPr>
        <w:t>2010-2012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2018-2019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2023-2024</w:t>
      </w:r>
      <w:r>
        <w:rPr>
          <w:color w:val="222A25"/>
          <w:sz w:val="21"/>
        </w:rPr>
        <w:t>) por su dato real:</w:t>
      </w:r>
    </w:p>
    <w:p>
      <w:pPr>
        <w:pStyle w:val="ListNumber"/>
        <w:spacing w:after="40"/>
        <w:ind w:left="360"/>
      </w:pPr>
      <w:r>
        <w:rPr>
          <w:b/>
          <w:sz w:val="21"/>
        </w:rPr>
        <w:t>Coloque los archivos</w:t>
      </w:r>
      <w:r>
        <w:rPr>
          <w:sz w:val="21"/>
        </w:rPr>
        <w:t xml:space="preserve"> del periodo en la carpeta de datos crudos (la que se pasa con </w:t>
      </w:r>
      <w:r>
        <w:rPr>
          <w:rFonts w:ascii="Consolas" w:hAnsi="Consolas"/>
          <w:color w:val="9F1239"/>
          <w:sz w:val="19"/>
        </w:rPr>
        <w:t>--raw</w:t>
      </w:r>
      <w:r>
        <w:rPr>
          <w:sz w:val="21"/>
        </w:rPr>
        <w:t xml:space="preserve">, por defecto </w:t>
      </w:r>
      <w:r>
        <w:rPr>
          <w:rFonts w:ascii="Consolas" w:hAnsi="Consolas"/>
          <w:color w:val="9F1239"/>
          <w:sz w:val="19"/>
        </w:rPr>
        <w:t>E:\drive-download-20260703T192518Z-3-001</w:t>
      </w:r>
      <w:r>
        <w:rPr>
          <w:sz w:val="21"/>
        </w:rPr>
        <w:t xml:space="preserve">), siguiendo la convención de nombres del paquete original (shapefile de municipios </w:t>
      </w:r>
      <w:r>
        <w:rPr>
          <w:rFonts w:ascii="Consolas" w:hAnsi="Consolas"/>
          <w:color w:val="9F1239"/>
          <w:sz w:val="19"/>
        </w:rPr>
        <w:t>Defor&lt;AAAA&gt;_&lt;AAAA&gt;_Mpios_Proj*.shp</w:t>
      </w:r>
      <w:r>
        <w:rPr>
          <w:sz w:val="21"/>
        </w:rPr>
        <w:t xml:space="preserve">, o la tabla de atributos </w:t>
      </w:r>
      <w:r>
        <w:rPr>
          <w:rFonts w:ascii="Consolas" w:hAnsi="Consolas"/>
          <w:color w:val="9F1239"/>
          <w:sz w:val="19"/>
        </w:rPr>
        <w:t>.xls</w:t>
      </w:r>
      <w:r>
        <w:rPr>
          <w:sz w:val="21"/>
        </w:rPr>
        <w:t>/</w:t>
      </w:r>
      <w:r>
        <w:rPr>
          <w:rFonts w:ascii="Consolas" w:hAnsi="Consolas"/>
          <w:color w:val="9F1239"/>
          <w:sz w:val="19"/>
        </w:rPr>
        <w:t>.dbf</w:t>
      </w:r>
      <w:r>
        <w:rPr>
          <w:sz w:val="21"/>
        </w:rPr>
        <w:t xml:space="preserve"> con </w:t>
      </w:r>
      <w:r>
        <w:rPr>
          <w:rFonts w:ascii="Consolas" w:hAnsi="Consolas"/>
          <w:color w:val="9F1239"/>
          <w:sz w:val="19"/>
        </w:rPr>
        <w:t>NOM_MUNICI</w:t>
      </w:r>
      <w:r>
        <w:rPr>
          <w:sz w:val="21"/>
        </w:rPr>
        <w:t xml:space="preserve"> + área por clase). El ETL selecciona la mejor fuente disponible según la jerarquía de la sección 7; un shapefile o una tabla municipal real desplaza automáticamente a la estimación.</w:t>
      </w:r>
    </w:p>
    <w:p>
      <w:pPr>
        <w:pStyle w:val="ListNumber"/>
        <w:spacing w:after="40"/>
        <w:ind w:left="360"/>
      </w:pPr>
      <w:r>
        <w:rPr>
          <w:b/>
          <w:sz w:val="21"/>
        </w:rPr>
        <w:t>Ejecute el ETL: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>python etl/run_etl.py</w:t>
      </w:r>
    </w:p>
    <w:p>
      <w:pPr>
        <w:spacing w:after="120"/>
      </w:pPr>
      <w:r>
        <w:rPr>
          <w:rFonts w:ascii="Consolas" w:hAnsi="Consolas"/>
          <w:color w:val="9F1239"/>
          <w:sz w:val="19"/>
        </w:rPr>
        <w:t>`</w:t>
      </w:r>
    </w:p>
    <w:p>
      <w:pPr>
        <w:spacing w:after="120"/>
      </w:pPr>
      <w:r>
        <w:rPr>
          <w:color w:val="222A25"/>
          <w:sz w:val="21"/>
        </w:rPr>
        <w:t xml:space="preserve">El pipeline recalculará la serie, regenerará hotspots (si hay geometría del periodo), actualizará </w:t>
      </w:r>
      <w:r>
        <w:rPr>
          <w:rFonts w:ascii="Consolas" w:hAnsi="Consolas"/>
          <w:color w:val="9F1239"/>
          <w:sz w:val="19"/>
        </w:rPr>
        <w:t>metadata.json</w:t>
      </w:r>
      <w:r>
        <w:rPr>
          <w:color w:val="222A25"/>
          <w:sz w:val="21"/>
        </w:rPr>
        <w:t xml:space="preserve"> (fuentes por periodo, </w:t>
      </w:r>
      <w:r>
        <w:rPr>
          <w:rFonts w:ascii="Consolas" w:hAnsi="Consolas"/>
          <w:color w:val="9F1239"/>
          <w:sz w:val="19"/>
        </w:rPr>
        <w:t>vacios_estimados</w:t>
      </w:r>
      <w:r>
        <w:rPr>
          <w:color w:val="222A25"/>
          <w:sz w:val="21"/>
        </w:rPr>
        <w:t xml:space="preserve">, QA) y marcará el periodo como </w:t>
      </w:r>
      <w:r>
        <w:rPr>
          <w:rFonts w:ascii="Consolas" w:hAnsi="Consolas"/>
          <w:color w:val="9F1239"/>
          <w:sz w:val="19"/>
        </w:rPr>
        <w:t>estimado=false</w:t>
      </w:r>
      <w:r>
        <w:rPr>
          <w:color w:val="222A25"/>
          <w:sz w:val="21"/>
        </w:rPr>
        <w:t xml:space="preserve"> cuando provenga de dato medido.</w:t>
      </w:r>
    </w:p>
    <w:p>
      <w:pPr>
        <w:pStyle w:val="ListNumber"/>
        <w:spacing w:after="40"/>
        <w:ind w:left="360"/>
      </w:pPr>
      <w:r>
        <w:rPr>
          <w:b/>
          <w:sz w:val="21"/>
        </w:rPr>
        <w:t>Regenere los entregables</w:t>
      </w:r>
      <w:r>
        <w:rPr>
          <w:sz w:val="21"/>
        </w:rPr>
        <w:t xml:space="preserve"> afectados (sección 8): </w:t>
      </w:r>
      <w:r>
        <w:rPr>
          <w:rFonts w:ascii="Consolas" w:hAnsi="Consolas"/>
          <w:color w:val="9F1239"/>
          <w:sz w:val="19"/>
        </w:rPr>
        <w:t>build_excel_dashboard.py</w:t>
      </w:r>
      <w:r>
        <w:rPr>
          <w:sz w:val="21"/>
        </w:rPr>
        <w:t xml:space="preserve">, y </w:t>
      </w:r>
      <w:r>
        <w:rPr>
          <w:rFonts w:ascii="Consolas" w:hAnsi="Consolas"/>
          <w:color w:val="9F1239"/>
          <w:sz w:val="19"/>
        </w:rPr>
        <w:t>consolidar_informe.py</w:t>
      </w:r>
      <w:r>
        <w:rPr>
          <w:sz w:val="21"/>
        </w:rPr>
        <w:t xml:space="preserve"> + </w:t>
      </w:r>
      <w:r>
        <w:rPr>
          <w:rFonts w:ascii="Consolas" w:hAnsi="Consolas"/>
          <w:color w:val="9F1239"/>
          <w:sz w:val="19"/>
        </w:rPr>
        <w:t>generar_informe.js</w:t>
      </w:r>
      <w:r>
        <w:rPr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sz w:val="21"/>
        </w:rPr>
        <w:t>Sincronice</w:t>
      </w:r>
      <w:r>
        <w:rPr>
          <w:sz w:val="21"/>
        </w:rPr>
        <w:t xml:space="preserve"> </w:t>
      </w:r>
      <w:r>
        <w:rPr>
          <w:rFonts w:ascii="Consolas" w:hAnsi="Consolas"/>
          <w:color w:val="9F1239"/>
          <w:sz w:val="19"/>
        </w:rPr>
        <w:t>data/processed</w:t>
      </w:r>
      <w:r>
        <w:rPr>
          <w:sz w:val="21"/>
        </w:rPr>
        <w:t xml:space="preserve"> → </w:t>
      </w:r>
      <w:r>
        <w:rPr>
          <w:rFonts w:ascii="Consolas" w:hAnsi="Consolas"/>
          <w:color w:val="9F1239"/>
          <w:sz w:val="19"/>
        </w:rPr>
        <w:t>frontend/data/processed</w:t>
      </w:r>
      <w:r>
        <w:rPr>
          <w:sz w:val="21"/>
        </w:rPr>
        <w:t xml:space="preserve"> y </w:t>
      </w:r>
      <w:r>
        <w:rPr>
          <w:b/>
          <w:sz w:val="21"/>
        </w:rPr>
        <w:t>haga commit + push</w:t>
      </w:r>
      <w:r>
        <w:rPr>
          <w:sz w:val="21"/>
        </w:rPr>
        <w:t xml:space="preserve"> para disparar el redeploy en Vercel.</w:t>
      </w:r>
    </w:p>
    <w:p>
      <w:pPr>
        <w:spacing w:after="120"/>
      </w:pPr>
      <w:r>
        <w:rPr>
          <w:color w:val="222A25"/>
          <w:sz w:val="21"/>
        </w:rPr>
        <w:t xml:space="preserve">Para un periodo </w:t>
      </w:r>
      <w:r>
        <w:rPr>
          <w:b/>
          <w:color w:val="222A25"/>
          <w:sz w:val="21"/>
        </w:rPr>
        <w:t>completamente nuevo</w:t>
      </w:r>
      <w:r>
        <w:rPr>
          <w:color w:val="222A25"/>
          <w:sz w:val="21"/>
        </w:rPr>
        <w:t xml:space="preserve"> (posterior a 2024), añada además su definición al bloque </w:t>
      </w:r>
      <w:r>
        <w:rPr>
          <w:rFonts w:ascii="Consolas" w:hAnsi="Consolas"/>
          <w:color w:val="9F1239"/>
          <w:sz w:val="19"/>
        </w:rPr>
        <w:t>periodos</w:t>
      </w:r>
      <w:r>
        <w:rPr>
          <w:color w:val="222A25"/>
          <w:sz w:val="21"/>
        </w:rPr>
        <w:t xml:space="preserve"> que produce el ETL, de modo que aparezca en </w:t>
      </w:r>
      <w:r>
        <w:rPr>
          <w:rFonts w:ascii="Consolas" w:hAnsi="Consolas"/>
          <w:color w:val="9F1239"/>
          <w:sz w:val="19"/>
        </w:rPr>
        <w:t>metadata.json</w:t>
      </w:r>
      <w:r>
        <w:rPr>
          <w:color w:val="222A25"/>
          <w:sz w:val="21"/>
        </w:rPr>
        <w:t xml:space="preserve"> y, por tanto, en </w:t>
      </w:r>
      <w:r>
        <w:rPr>
          <w:rFonts w:ascii="Consolas" w:hAnsi="Consolas"/>
          <w:color w:val="9F1239"/>
          <w:sz w:val="19"/>
        </w:rPr>
        <w:t>/api/v1/periodos</w:t>
      </w:r>
      <w:r>
        <w:rPr>
          <w:color w:val="222A25"/>
          <w:sz w:val="21"/>
        </w:rPr>
        <w:t xml:space="preserve"> y en el visor.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11. Repositorio y credenciales</w:t>
      </w:r>
    </w:p>
    <w:p>
      <w:pPr>
        <w:pStyle w:val="ListBullet"/>
        <w:spacing w:after="40"/>
        <w:ind w:left="360"/>
      </w:pPr>
      <w:r>
        <w:rPr>
          <w:b/>
          <w:sz w:val="21"/>
        </w:rPr>
        <w:t>Repositorio:</w:t>
      </w:r>
      <w:r>
        <w:rPr>
          <w:sz w:val="21"/>
        </w:rPr>
        <w:t xml:space="preserve"> GitHub </w:t>
      </w:r>
      <w:r>
        <w:rPr>
          <w:rFonts w:ascii="Consolas" w:hAnsi="Consolas"/>
          <w:color w:val="9F1239"/>
          <w:sz w:val="19"/>
        </w:rPr>
        <w:t>sinetrasolutions-spec/deforestacion-corpouraba</w:t>
      </w:r>
      <w:r>
        <w:rPr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sz w:val="21"/>
        </w:rPr>
        <w:t>Despliegue:</w:t>
      </w:r>
      <w:r>
        <w:rPr>
          <w:sz w:val="21"/>
        </w:rPr>
        <w:t xml:space="preserve"> Vercel, conectado a la rama principal del repositorio (push → build automático).</w:t>
      </w:r>
    </w:p>
    <w:p>
      <w:pPr>
        <w:pStyle w:val="ListBullet"/>
        <w:spacing w:after="40"/>
        <w:ind w:left="360"/>
      </w:pPr>
      <w:r>
        <w:rPr>
          <w:b/>
          <w:sz w:val="21"/>
        </w:rPr>
        <w:t>Autores de la plataforma:</w:t>
      </w:r>
      <w:r>
        <w:rPr>
          <w:sz w:val="21"/>
        </w:rPr>
        <w:t xml:space="preserve"> Alberto Vivas y Carlos Zuluaga.</w:t>
      </w:r>
    </w:p>
    <w:p>
      <w:pPr>
        <w:pStyle w:val="ListBullet"/>
        <w:spacing w:after="40"/>
        <w:ind w:left="360"/>
      </w:pPr>
      <w:r>
        <w:rPr>
          <w:b/>
          <w:sz w:val="21"/>
        </w:rPr>
        <w:t>Entidad:</w:t>
      </w:r>
      <w:r>
        <w:rPr>
          <w:sz w:val="21"/>
        </w:rPr>
        <w:t xml:space="preserve"> CORPOURABA (Corporación para el Desarrollo Sostenible del Urabá).</w:t>
      </w:r>
    </w:p>
    <w:p>
      <w:pPr>
        <w:spacing w:after="120"/>
      </w:pPr>
      <w:r>
        <w:rPr>
          <w:b/>
          <w:color w:val="222A25"/>
          <w:sz w:val="21"/>
        </w:rPr>
        <w:t>Manejo de secretos.</w:t>
      </w:r>
      <w:r>
        <w:rPr>
          <w:color w:val="222A25"/>
          <w:sz w:val="21"/>
        </w:rPr>
        <w:t xml:space="preserve"> El despliegue en modo archivos </w:t>
      </w:r>
      <w:r>
        <w:rPr>
          <w:b/>
          <w:color w:val="222A25"/>
          <w:sz w:val="21"/>
        </w:rPr>
        <w:t>no requiere secretos ni variables de entorno</w:t>
      </w:r>
      <w:r>
        <w:rPr>
          <w:color w:val="222A25"/>
          <w:sz w:val="21"/>
        </w:rPr>
        <w:t>: los datos van empaquetados y los handlers los leen del sistema de archivos. No incluya credenciales en el repositorio. Si en el futuro se activa el backend PostGIS (</w:t>
      </w:r>
      <w:r>
        <w:rPr>
          <w:rFonts w:ascii="Consolas" w:hAnsi="Consolas"/>
          <w:color w:val="9F1239"/>
          <w:sz w:val="19"/>
        </w:rPr>
        <w:t>etl/load_postgis.py</w:t>
      </w:r>
      <w:r>
        <w:rPr>
          <w:color w:val="222A25"/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backend/app/repository_postgis.py</w:t>
      </w:r>
      <w:r>
        <w:rPr>
          <w:color w:val="222A25"/>
          <w:sz w:val="21"/>
        </w:rPr>
        <w:t>), configure la cadena de conexión mediante variables de entorno del entorno de despliegue (nunca versionadas), y gestione los tokens de GitHub/Vercel exclusivamente en la configuración de cada plataforma.</w:t>
      </w:r>
    </w:p>
    <w:p>
      <w:pPr>
        <w:spacing w:after="120"/>
      </w:pPr>
      <w:r>
        <w:rPr>
          <w:color w:val="222A25"/>
          <w:sz w:val="21"/>
        </w:rPr>
        <w:t>Archivos de referencia (rutas absolutas):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Configuración Next.js: </w:t>
      </w:r>
      <w:r>
        <w:rPr>
          <w:rFonts w:ascii="Consolas" w:hAnsi="Consolas"/>
          <w:color w:val="9F1239"/>
          <w:sz w:val="19"/>
        </w:rPr>
        <w:t>E:\drive-download-20260703T192518Z-3-001\observatorio-deforestacion\frontend\next.config.mjs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Dependencias frontend: </w:t>
      </w:r>
      <w:r>
        <w:rPr>
          <w:rFonts w:ascii="Consolas" w:hAnsi="Consolas"/>
          <w:color w:val="9F1239"/>
          <w:sz w:val="19"/>
        </w:rPr>
        <w:t>E:\drive-download-20260703T192518Z-3-001\observatorio-deforestacion\frontend\package.json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Lógica de datos servidor: </w:t>
      </w:r>
      <w:r>
        <w:rPr>
          <w:rFonts w:ascii="Consolas" w:hAnsi="Consolas"/>
          <w:color w:val="9F1239"/>
          <w:sz w:val="19"/>
        </w:rPr>
        <w:t>E:\drive-download-20260703T192518Z-3-001\observatorio-deforestacion\frontend\src\server\datos.ts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Rutas API: </w:t>
      </w:r>
      <w:r>
        <w:rPr>
          <w:rFonts w:ascii="Consolas" w:hAnsi="Consolas"/>
          <w:color w:val="9F1239"/>
          <w:sz w:val="19"/>
        </w:rPr>
        <w:t>E:\drive-download-20260703T192518Z-3-001\observatorio-deforestacion\frontend\src\app\api\v1\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ETL: </w:t>
      </w:r>
      <w:r>
        <w:rPr>
          <w:rFonts w:ascii="Consolas" w:hAnsi="Consolas"/>
          <w:color w:val="9F1239"/>
          <w:sz w:val="19"/>
        </w:rPr>
        <w:t>E:\drive-download-20260703T192518Z-3-001\observatorio-deforestacion\etl\run_etl.py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Entregables: </w:t>
      </w:r>
      <w:r>
        <w:rPr>
          <w:rFonts w:ascii="Consolas" w:hAnsi="Consolas"/>
          <w:color w:val="9F1239"/>
          <w:sz w:val="19"/>
        </w:rPr>
        <w:t>E:\drive-download-20260703T192518Z-3-001\observatorio-deforestacion\etl\build_excel_dashboard.py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consolidar_informe.py</w:t>
      </w:r>
      <w:r>
        <w:rPr>
          <w:sz w:val="21"/>
        </w:rPr>
        <w:t xml:space="preserve">, </w:t>
      </w:r>
      <w:r>
        <w:rPr>
          <w:rFonts w:ascii="Consolas" w:hAnsi="Consolas"/>
          <w:color w:val="9F1239"/>
          <w:sz w:val="19"/>
        </w:rPr>
        <w:t>generar_informe.js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Metadatos de datos: </w:t>
      </w:r>
      <w:r>
        <w:rPr>
          <w:rFonts w:ascii="Consolas" w:hAnsi="Consolas"/>
          <w:color w:val="9F1239"/>
          <w:sz w:val="19"/>
        </w:rPr>
        <w:t>E:\drive-download-20260703T192518Z-3-001\observatorio-deforestacion\data\processed\metadata.json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>Soporte documental · Observatorio de Deforestación CORPOURABA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