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160"/>
      </w:pPr>
      <w:r>
        <w:rPr>
          <w:rFonts w:ascii="Calibri" w:hAnsi="Calibri"/>
          <w:b/>
          <w:color w:val="2563EB"/>
          <w:sz w:val="22"/>
        </w:rPr>
        <w:t>ENTERPRISE FINTECH PLATFORM</w:t>
      </w:r>
    </w:p>
    <w:p>
      <w:pPr>
        <w:spacing w:before="80" w:after="80"/>
      </w:pPr>
      <w:r>
        <w:rPr>
          <w:rFonts w:ascii="Calibri" w:hAnsi="Calibri"/>
          <w:b/>
          <w:color w:val="0F172A"/>
          <w:sz w:val="64"/>
        </w:rPr>
        <w:t>JSR FINANCE</w:t>
      </w:r>
    </w:p>
    <w:p>
      <w:pPr>
        <w:spacing w:before="0" w:after="320"/>
      </w:pPr>
      <w:r>
        <w:rPr>
          <w:rFonts w:ascii="Calibri" w:hAnsi="Calibri"/>
          <w:color w:val="475569"/>
          <w:sz w:val="30"/>
        </w:rPr>
        <w:t>System Functional Specification, Product Architecture &amp; Field User Manual</w:t>
      </w:r>
    </w:p>
    <w:p>
      <w:pPr>
        <w:spacing w:after="480"/>
      </w:pPr>
      <w:r>
        <w:rPr>
          <w:b/>
          <w:color w:val="2563EB"/>
        </w:rPr>
        <w:t>―――――――――――――――――――――――――――――――――――――――――――――――――――――――</w:t>
      </w:r>
    </w:p>
    <w:p>
      <w:pPr>
        <w:spacing w:after="560"/>
        <w:jc w:val="center"/>
      </w:pPr>
      <w:r>
        <w:drawing>
          <wp:inline xmlns:a="http://schemas.openxmlformats.org/drawingml/2006/main" xmlns:pic="http://schemas.openxmlformats.org/drawingml/2006/picture">
            <wp:extent cx="4114800" cy="3072384"/>
            <wp:docPr id="1" name="Picture 1"/>
            <wp:cNvGraphicFramePr>
              <a:graphicFrameLocks noChangeAspect="1"/>
            </wp:cNvGraphicFramePr>
            <a:graphic>
              <a:graphicData uri="http://schemas.openxmlformats.org/drawingml/2006/picture">
                <pic:pic>
                  <pic:nvPicPr>
                    <pic:cNvPr id="0" name="login-hero.jpg"/>
                    <pic:cNvPicPr/>
                  </pic:nvPicPr>
                  <pic:blipFill>
                    <a:blip r:embed="rId10"/>
                    <a:stretch>
                      <a:fillRect/>
                    </a:stretch>
                  </pic:blipFill>
                  <pic:spPr>
                    <a:xfrm>
                      <a:off x="0" y="0"/>
                      <a:ext cx="4114800" cy="3072384"/>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896"/>
        <w:gridCol w:w="4896"/>
      </w:tblGrid>
      <w:tr>
        <w:tc>
          <w:tcPr>
            <w:tcW w:type="dxa" w:w="3456"/>
            <w:shd w:fill="1E3A8A"/>
            <w:tcMar>
              <w:top w:w="120" w:type="dxa"/>
              <w:bottom w:w="120" w:type="dxa"/>
              <w:left w:w="140" w:type="dxa"/>
              <w:right w:w="140" w:type="dxa"/>
            </w:tcMar>
          </w:tcPr>
          <w:p>
            <w:pPr>
              <w:jc w:val="center"/>
            </w:pPr>
            <w:r>
              <w:rPr>
                <w:rFonts w:ascii="Calibri" w:hAnsi="Calibri"/>
                <w:b/>
                <w:color w:val="FFFFFF"/>
                <w:sz w:val="19"/>
              </w:rPr>
              <w:t>Project Metadata</w:t>
            </w:r>
          </w:p>
        </w:tc>
        <w:tc>
          <w:tcPr>
            <w:tcW w:type="dxa" w:w="5904"/>
            <w:shd w:fill="1E3A8A"/>
            <w:tcMar>
              <w:top w:w="120" w:type="dxa"/>
              <w:bottom w:w="120" w:type="dxa"/>
              <w:left w:w="140" w:type="dxa"/>
              <w:right w:w="140" w:type="dxa"/>
            </w:tcMar>
          </w:tcPr>
          <w:p>
            <w:pPr>
              <w:jc w:val="center"/>
            </w:pPr>
            <w:r>
              <w:rPr>
                <w:rFonts w:ascii="Calibri" w:hAnsi="Calibri"/>
                <w:b/>
                <w:color w:val="FFFFFF"/>
                <w:sz w:val="19"/>
              </w:rPr>
              <w:t>Specification Details</w:t>
            </w:r>
          </w:p>
        </w:tc>
      </w:tr>
      <w:tr>
        <w:tc>
          <w:tcPr>
            <w:tcW w:type="dxa" w:w="3456"/>
            <w:shd w:fill="FFFFFF"/>
            <w:tcMar>
              <w:top w:w="90" w:type="dxa"/>
              <w:bottom w:w="90" w:type="dxa"/>
              <w:left w:w="120" w:type="dxa"/>
              <w:right w:w="120" w:type="dxa"/>
            </w:tcMar>
          </w:tcPr>
          <w:p>
            <w:r>
              <w:rPr>
                <w:rFonts w:ascii="Calibri" w:hAnsi="Calibri"/>
                <w:color w:val="1E293B"/>
                <w:sz w:val="18"/>
              </w:rPr>
              <w:t>Software Application</w:t>
            </w:r>
          </w:p>
        </w:tc>
        <w:tc>
          <w:tcPr>
            <w:tcW w:type="dxa" w:w="5904"/>
            <w:shd w:fill="FFFFFF"/>
            <w:tcMar>
              <w:top w:w="90" w:type="dxa"/>
              <w:bottom w:w="90" w:type="dxa"/>
              <w:left w:w="120" w:type="dxa"/>
              <w:right w:w="120" w:type="dxa"/>
            </w:tcMar>
          </w:tcPr>
          <w:p>
            <w:r>
              <w:rPr>
                <w:rFonts w:ascii="Calibri" w:hAnsi="Calibri"/>
                <w:color w:val="1E293B"/>
                <w:sz w:val="18"/>
              </w:rPr>
              <w:t>JSR Finance Microfinance &amp; Daily/Weekly Instalment System</w:t>
            </w:r>
          </w:p>
        </w:tc>
      </w:tr>
      <w:tr>
        <w:tc>
          <w:tcPr>
            <w:tcW w:type="dxa" w:w="3456"/>
            <w:shd w:fill="F8FAFC"/>
            <w:tcMar>
              <w:top w:w="90" w:type="dxa"/>
              <w:bottom w:w="90" w:type="dxa"/>
              <w:left w:w="120" w:type="dxa"/>
              <w:right w:w="120" w:type="dxa"/>
            </w:tcMar>
          </w:tcPr>
          <w:p>
            <w:r>
              <w:rPr>
                <w:rFonts w:ascii="Calibri" w:hAnsi="Calibri"/>
                <w:color w:val="1E293B"/>
                <w:sz w:val="18"/>
              </w:rPr>
              <w:t>Platform Release</w:t>
            </w:r>
          </w:p>
        </w:tc>
        <w:tc>
          <w:tcPr>
            <w:tcW w:type="dxa" w:w="5904"/>
            <w:shd w:fill="F8FAFC"/>
            <w:tcMar>
              <w:top w:w="90" w:type="dxa"/>
              <w:bottom w:w="90" w:type="dxa"/>
              <w:left w:w="120" w:type="dxa"/>
              <w:right w:w="120" w:type="dxa"/>
            </w:tcMar>
          </w:tcPr>
          <w:p>
            <w:r>
              <w:rPr>
                <w:rFonts w:ascii="Calibri" w:hAnsi="Calibri"/>
                <w:color w:val="1E293B"/>
                <w:sz w:val="18"/>
              </w:rPr>
              <w:t>Version 2.5 Enterprise Production Suite (Zero-Drift Certified)</w:t>
            </w:r>
          </w:p>
        </w:tc>
      </w:tr>
      <w:tr>
        <w:tc>
          <w:tcPr>
            <w:tcW w:type="dxa" w:w="3456"/>
            <w:shd w:fill="FFFFFF"/>
            <w:tcMar>
              <w:top w:w="90" w:type="dxa"/>
              <w:bottom w:w="90" w:type="dxa"/>
              <w:left w:w="120" w:type="dxa"/>
              <w:right w:w="120" w:type="dxa"/>
            </w:tcMar>
          </w:tcPr>
          <w:p>
            <w:r>
              <w:rPr>
                <w:rFonts w:ascii="Calibri" w:hAnsi="Calibri"/>
                <w:color w:val="1E293B"/>
                <w:sz w:val="18"/>
              </w:rPr>
              <w:t>Target Audience</w:t>
            </w:r>
          </w:p>
        </w:tc>
        <w:tc>
          <w:tcPr>
            <w:tcW w:type="dxa" w:w="5904"/>
            <w:shd w:fill="FFFFFF"/>
            <w:tcMar>
              <w:top w:w="90" w:type="dxa"/>
              <w:bottom w:w="90" w:type="dxa"/>
              <w:left w:w="120" w:type="dxa"/>
              <w:right w:w="120" w:type="dxa"/>
            </w:tcMar>
          </w:tcPr>
          <w:p>
            <w:r>
              <w:rPr>
                <w:rFonts w:ascii="Calibri" w:hAnsi="Calibri"/>
                <w:color w:val="1E293B"/>
                <w:sz w:val="18"/>
              </w:rPr>
              <w:t>First Enterprise Customer, NBFC Owners, Field Collection Officers &amp; Auditors</w:t>
            </w:r>
          </w:p>
        </w:tc>
      </w:tr>
      <w:tr>
        <w:tc>
          <w:tcPr>
            <w:tcW w:type="dxa" w:w="3456"/>
            <w:shd w:fill="F8FAFC"/>
            <w:tcMar>
              <w:top w:w="90" w:type="dxa"/>
              <w:bottom w:w="90" w:type="dxa"/>
              <w:left w:w="120" w:type="dxa"/>
              <w:right w:w="120" w:type="dxa"/>
            </w:tcMar>
          </w:tcPr>
          <w:p>
            <w:r>
              <w:rPr>
                <w:rFonts w:ascii="Calibri" w:hAnsi="Calibri"/>
                <w:color w:val="1E293B"/>
                <w:sz w:val="18"/>
              </w:rPr>
              <w:t>Live Production URL (PWA)</w:t>
            </w:r>
          </w:p>
        </w:tc>
        <w:tc>
          <w:tcPr>
            <w:tcW w:type="dxa" w:w="5904"/>
            <w:shd w:fill="F8FAFC"/>
            <w:tcMar>
              <w:top w:w="90" w:type="dxa"/>
              <w:bottom w:w="90" w:type="dxa"/>
              <w:left w:w="120" w:type="dxa"/>
              <w:right w:w="120" w:type="dxa"/>
            </w:tcMar>
          </w:tcPr>
          <w:p>
            <w:r>
              <w:rPr>
                <w:rFonts w:ascii="Calibri" w:hAnsi="Calibri"/>
                <w:color w:val="1E293B"/>
                <w:sz w:val="18"/>
              </w:rPr>
              <w:t>https://singarisurendra-crypto.github.io/jsr-finance/</w:t>
            </w:r>
          </w:p>
        </w:tc>
      </w:tr>
      <w:tr>
        <w:tc>
          <w:tcPr>
            <w:tcW w:type="dxa" w:w="3456"/>
            <w:shd w:fill="FFFFFF"/>
            <w:tcMar>
              <w:top w:w="90" w:type="dxa"/>
              <w:bottom w:w="90" w:type="dxa"/>
              <w:left w:w="120" w:type="dxa"/>
              <w:right w:w="120" w:type="dxa"/>
            </w:tcMar>
          </w:tcPr>
          <w:p>
            <w:r>
              <w:rPr>
                <w:rFonts w:ascii="Calibri" w:hAnsi="Calibri"/>
                <w:color w:val="1E293B"/>
                <w:sz w:val="18"/>
              </w:rPr>
              <w:t>Firebase Cloud Service URL</w:t>
            </w:r>
          </w:p>
        </w:tc>
        <w:tc>
          <w:tcPr>
            <w:tcW w:type="dxa" w:w="5904"/>
            <w:shd w:fill="FFFFFF"/>
            <w:tcMar>
              <w:top w:w="90" w:type="dxa"/>
              <w:bottom w:w="90" w:type="dxa"/>
              <w:left w:w="120" w:type="dxa"/>
              <w:right w:w="120" w:type="dxa"/>
            </w:tcMar>
          </w:tcPr>
          <w:p>
            <w:r>
              <w:rPr>
                <w:rFonts w:ascii="Calibri" w:hAnsi="Calibri"/>
                <w:color w:val="1E293B"/>
                <w:sz w:val="18"/>
              </w:rPr>
              <w:t>https://jsr-finance-app-4a72e.web.app/</w:t>
            </w:r>
          </w:p>
        </w:tc>
      </w:tr>
      <w:tr>
        <w:tc>
          <w:tcPr>
            <w:tcW w:type="dxa" w:w="3456"/>
            <w:shd w:fill="F8FAFC"/>
            <w:tcMar>
              <w:top w:w="90" w:type="dxa"/>
              <w:bottom w:w="90" w:type="dxa"/>
              <w:left w:w="120" w:type="dxa"/>
              <w:right w:w="120" w:type="dxa"/>
            </w:tcMar>
          </w:tcPr>
          <w:p>
            <w:r>
              <w:rPr>
                <w:rFonts w:ascii="Calibri" w:hAnsi="Calibri"/>
                <w:color w:val="1E293B"/>
                <w:sz w:val="18"/>
              </w:rPr>
              <w:t>Compliance &amp; Architecture</w:t>
            </w:r>
          </w:p>
        </w:tc>
        <w:tc>
          <w:tcPr>
            <w:tcW w:type="dxa" w:w="5904"/>
            <w:shd w:fill="F8FAFC"/>
            <w:tcMar>
              <w:top w:w="90" w:type="dxa"/>
              <w:bottom w:w="90" w:type="dxa"/>
              <w:left w:w="120" w:type="dxa"/>
              <w:right w:w="120" w:type="dxa"/>
            </w:tcMar>
          </w:tcPr>
          <w:p>
            <w:r>
              <w:rPr>
                <w:rFonts w:ascii="Calibri" w:hAnsi="Calibri"/>
                <w:color w:val="1E293B"/>
                <w:sz w:val="18"/>
              </w:rPr>
              <w:t>Append-Only Audit Ledger, Web Bluetooth ESC/POS, Zero-Drift Math</w:t>
            </w:r>
          </w:p>
        </w:tc>
      </w:tr>
      <w:tr>
        <w:tc>
          <w:tcPr>
            <w:tcW w:type="dxa" w:w="3456"/>
            <w:shd w:fill="FFFFFF"/>
            <w:tcMar>
              <w:top w:w="90" w:type="dxa"/>
              <w:bottom w:w="90" w:type="dxa"/>
              <w:left w:w="120" w:type="dxa"/>
              <w:right w:w="120" w:type="dxa"/>
            </w:tcMar>
          </w:tcPr>
          <w:p>
            <w:r>
              <w:rPr>
                <w:rFonts w:ascii="Calibri" w:hAnsi="Calibri"/>
                <w:color w:val="1E293B"/>
                <w:sz w:val="18"/>
              </w:rPr>
              <w:t>Release Date</w:t>
            </w:r>
          </w:p>
        </w:tc>
        <w:tc>
          <w:tcPr>
            <w:tcW w:type="dxa" w:w="5904"/>
            <w:shd w:fill="FFFFFF"/>
            <w:tcMar>
              <w:top w:w="90" w:type="dxa"/>
              <w:bottom w:w="90" w:type="dxa"/>
              <w:left w:w="120" w:type="dxa"/>
              <w:right w:w="120" w:type="dxa"/>
            </w:tcMar>
          </w:tcPr>
          <w:p>
            <w:r>
              <w:rPr>
                <w:rFonts w:ascii="Calibri" w:hAnsi="Calibri"/>
                <w:color w:val="1E293B"/>
                <w:sz w:val="18"/>
              </w:rPr>
              <w:t>October 2026</w:t>
            </w:r>
          </w:p>
        </w:tc>
      </w:tr>
    </w:tbl>
    <w:p>
      <w:pPr>
        <w:spacing w:before="0" w:after="120"/>
      </w:pPr>
    </w:p>
    <w:p>
      <w:r>
        <w:br w:type="page"/>
      </w:r>
    </w:p>
    <w:p>
      <w:pPr>
        <w:pStyle w:val="Heading1"/>
        <w:keepNext/>
        <w:spacing w:before="360" w:after="120"/>
      </w:pPr>
      <w:r>
        <w:rPr>
          <w:rFonts w:ascii="Calibri" w:hAnsi="Calibri"/>
          <w:b/>
          <w:color w:val="0F172A"/>
          <w:sz w:val="32"/>
        </w:rPr>
        <w:t>Table of Contents</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c>
          <w:tcPr>
            <w:tcW w:type="dxa" w:w="1152"/>
            <w:shd w:fill="1E3A8A"/>
            <w:tcMar>
              <w:top w:w="120" w:type="dxa"/>
              <w:bottom w:w="120" w:type="dxa"/>
              <w:left w:w="140" w:type="dxa"/>
              <w:right w:w="140" w:type="dxa"/>
            </w:tcMar>
          </w:tcPr>
          <w:p>
            <w:pPr>
              <w:jc w:val="center"/>
            </w:pPr>
            <w:r>
              <w:rPr>
                <w:rFonts w:ascii="Calibri" w:hAnsi="Calibri"/>
                <w:b/>
                <w:color w:val="FFFFFF"/>
                <w:sz w:val="19"/>
              </w:rPr>
              <w:t>Section</w:t>
            </w:r>
          </w:p>
        </w:tc>
        <w:tc>
          <w:tcPr>
            <w:tcW w:type="dxa" w:w="3744"/>
            <w:shd w:fill="1E3A8A"/>
            <w:tcMar>
              <w:top w:w="120" w:type="dxa"/>
              <w:bottom w:w="120" w:type="dxa"/>
              <w:left w:w="140" w:type="dxa"/>
              <w:right w:w="140" w:type="dxa"/>
            </w:tcMar>
          </w:tcPr>
          <w:p>
            <w:pPr>
              <w:jc w:val="center"/>
            </w:pPr>
            <w:r>
              <w:rPr>
                <w:rFonts w:ascii="Calibri" w:hAnsi="Calibri"/>
                <w:b/>
                <w:color w:val="FFFFFF"/>
                <w:sz w:val="19"/>
              </w:rPr>
              <w:t>Functional Module</w:t>
            </w:r>
          </w:p>
        </w:tc>
        <w:tc>
          <w:tcPr>
            <w:tcW w:type="dxa" w:w="4464"/>
            <w:shd w:fill="1E3A8A"/>
            <w:tcMar>
              <w:top w:w="120" w:type="dxa"/>
              <w:bottom w:w="120" w:type="dxa"/>
              <w:left w:w="140" w:type="dxa"/>
              <w:right w:w="140" w:type="dxa"/>
            </w:tcMar>
          </w:tcPr>
          <w:p>
            <w:pPr>
              <w:jc w:val="center"/>
            </w:pPr>
            <w:r>
              <w:rPr>
                <w:rFonts w:ascii="Calibri" w:hAnsi="Calibri"/>
                <w:b/>
                <w:color w:val="FFFFFF"/>
                <w:sz w:val="19"/>
              </w:rPr>
              <w:t>Summary Scope</w:t>
            </w:r>
          </w:p>
        </w:tc>
      </w:tr>
      <w:tr>
        <w:tc>
          <w:tcPr>
            <w:tcW w:type="dxa" w:w="1152"/>
            <w:shd w:fill="FFFFFF"/>
            <w:tcMar>
              <w:top w:w="90" w:type="dxa"/>
              <w:bottom w:w="90" w:type="dxa"/>
              <w:left w:w="120" w:type="dxa"/>
              <w:right w:w="120" w:type="dxa"/>
            </w:tcMar>
          </w:tcPr>
          <w:p>
            <w:r>
              <w:rPr>
                <w:rFonts w:ascii="Calibri" w:hAnsi="Calibri"/>
                <w:color w:val="1E293B"/>
                <w:sz w:val="18"/>
              </w:rPr>
              <w:t>1</w:t>
            </w:r>
          </w:p>
        </w:tc>
        <w:tc>
          <w:tcPr>
            <w:tcW w:type="dxa" w:w="3744"/>
            <w:shd w:fill="FFFFFF"/>
            <w:tcMar>
              <w:top w:w="90" w:type="dxa"/>
              <w:bottom w:w="90" w:type="dxa"/>
              <w:left w:w="120" w:type="dxa"/>
              <w:right w:w="120" w:type="dxa"/>
            </w:tcMar>
          </w:tcPr>
          <w:p>
            <w:r>
              <w:rPr>
                <w:rFonts w:ascii="Calibri" w:hAnsi="Calibri"/>
                <w:color w:val="1E293B"/>
                <w:sz w:val="18"/>
              </w:rPr>
              <w:t>Executive Overview &amp; System Architecture</w:t>
            </w:r>
          </w:p>
        </w:tc>
        <w:tc>
          <w:tcPr>
            <w:tcW w:type="dxa" w:w="4464"/>
            <w:shd w:fill="FFFFFF"/>
            <w:tcMar>
              <w:top w:w="90" w:type="dxa"/>
              <w:bottom w:w="90" w:type="dxa"/>
              <w:left w:w="120" w:type="dxa"/>
              <w:right w:w="120" w:type="dxa"/>
            </w:tcMar>
          </w:tcPr>
          <w:p>
            <w:r>
              <w:rPr>
                <w:rFonts w:ascii="Calibri" w:hAnsi="Calibri"/>
                <w:color w:val="1E293B"/>
                <w:sz w:val="18"/>
              </w:rPr>
              <w:t>Core value proposition, tech stack, and zero-leakage ledger guarantee.</w:t>
            </w:r>
          </w:p>
        </w:tc>
      </w:tr>
      <w:tr>
        <w:tc>
          <w:tcPr>
            <w:tcW w:type="dxa" w:w="1152"/>
            <w:shd w:fill="F8FAFC"/>
            <w:tcMar>
              <w:top w:w="90" w:type="dxa"/>
              <w:bottom w:w="90" w:type="dxa"/>
              <w:left w:w="120" w:type="dxa"/>
              <w:right w:w="120" w:type="dxa"/>
            </w:tcMar>
          </w:tcPr>
          <w:p>
            <w:r>
              <w:rPr>
                <w:rFonts w:ascii="Calibri" w:hAnsi="Calibri"/>
                <w:color w:val="1E293B"/>
                <w:sz w:val="18"/>
              </w:rPr>
              <w:t>2</w:t>
            </w:r>
          </w:p>
        </w:tc>
        <w:tc>
          <w:tcPr>
            <w:tcW w:type="dxa" w:w="3744"/>
            <w:shd w:fill="F8FAFC"/>
            <w:tcMar>
              <w:top w:w="90" w:type="dxa"/>
              <w:bottom w:w="90" w:type="dxa"/>
              <w:left w:w="120" w:type="dxa"/>
              <w:right w:w="120" w:type="dxa"/>
            </w:tcMar>
          </w:tcPr>
          <w:p>
            <w:r>
              <w:rPr>
                <w:rFonts w:ascii="Calibri" w:hAnsi="Calibri"/>
                <w:color w:val="1E293B"/>
                <w:sz w:val="18"/>
              </w:rPr>
              <w:t>Authentication &amp; Single Sign-On (SSO)</w:t>
            </w:r>
          </w:p>
        </w:tc>
        <w:tc>
          <w:tcPr>
            <w:tcW w:type="dxa" w:w="4464"/>
            <w:shd w:fill="F8FAFC"/>
            <w:tcMar>
              <w:top w:w="90" w:type="dxa"/>
              <w:bottom w:w="90" w:type="dxa"/>
              <w:left w:w="120" w:type="dxa"/>
              <w:right w:w="120" w:type="dxa"/>
            </w:tcMar>
          </w:tcPr>
          <w:p>
            <w:r>
              <w:rPr>
                <w:rFonts w:ascii="Calibri" w:hAnsi="Calibri"/>
                <w:color w:val="1E293B"/>
                <w:sz w:val="18"/>
              </w:rPr>
              <w:t>Google OAuth 2.0 GIS, Role-Based Access Control (Admin vs Collector).</w:t>
            </w:r>
          </w:p>
        </w:tc>
      </w:tr>
      <w:tr>
        <w:tc>
          <w:tcPr>
            <w:tcW w:type="dxa" w:w="1152"/>
            <w:shd w:fill="FFFFFF"/>
            <w:tcMar>
              <w:top w:w="90" w:type="dxa"/>
              <w:bottom w:w="90" w:type="dxa"/>
              <w:left w:w="120" w:type="dxa"/>
              <w:right w:w="120" w:type="dxa"/>
            </w:tcMar>
          </w:tcPr>
          <w:p>
            <w:r>
              <w:rPr>
                <w:rFonts w:ascii="Calibri" w:hAnsi="Calibri"/>
                <w:color w:val="1E293B"/>
                <w:sz w:val="18"/>
              </w:rPr>
              <w:t>3</w:t>
            </w:r>
          </w:p>
        </w:tc>
        <w:tc>
          <w:tcPr>
            <w:tcW w:type="dxa" w:w="3744"/>
            <w:shd w:fill="FFFFFF"/>
            <w:tcMar>
              <w:top w:w="90" w:type="dxa"/>
              <w:bottom w:w="90" w:type="dxa"/>
              <w:left w:w="120" w:type="dxa"/>
              <w:right w:w="120" w:type="dxa"/>
            </w:tcMar>
          </w:tcPr>
          <w:p>
            <w:r>
              <w:rPr>
                <w:rFonts w:ascii="Calibri" w:hAnsi="Calibri"/>
                <w:color w:val="1E293B"/>
                <w:sz w:val="18"/>
              </w:rPr>
              <w:t>Instalment Collection Screen (Field Workhorse)</w:t>
            </w:r>
          </w:p>
        </w:tc>
        <w:tc>
          <w:tcPr>
            <w:tcW w:type="dxa" w:w="4464"/>
            <w:shd w:fill="FFFFFF"/>
            <w:tcMar>
              <w:top w:w="90" w:type="dxa"/>
              <w:bottom w:w="90" w:type="dxa"/>
              <w:left w:w="120" w:type="dxa"/>
              <w:right w:w="120" w:type="dxa"/>
            </w:tcMar>
          </w:tcPr>
          <w:p>
            <w:r>
              <w:rPr>
                <w:rFonts w:ascii="Calibri" w:hAnsi="Calibri"/>
                <w:color w:val="1E293B"/>
                <w:sz w:val="18"/>
              </w:rPr>
              <w:t>52-Week &amp; 100-Day matrices, 1-tap collections, partial payments, reversal guards.</w:t>
            </w:r>
          </w:p>
        </w:tc>
      </w:tr>
      <w:tr>
        <w:tc>
          <w:tcPr>
            <w:tcW w:type="dxa" w:w="1152"/>
            <w:shd w:fill="F8FAFC"/>
            <w:tcMar>
              <w:top w:w="90" w:type="dxa"/>
              <w:bottom w:w="90" w:type="dxa"/>
              <w:left w:w="120" w:type="dxa"/>
              <w:right w:w="120" w:type="dxa"/>
            </w:tcMar>
          </w:tcPr>
          <w:p>
            <w:r>
              <w:rPr>
                <w:rFonts w:ascii="Calibri" w:hAnsi="Calibri"/>
                <w:color w:val="1E293B"/>
                <w:sz w:val="18"/>
              </w:rPr>
              <w:t>4</w:t>
            </w:r>
          </w:p>
        </w:tc>
        <w:tc>
          <w:tcPr>
            <w:tcW w:type="dxa" w:w="3744"/>
            <w:shd w:fill="F8FAFC"/>
            <w:tcMar>
              <w:top w:w="90" w:type="dxa"/>
              <w:bottom w:w="90" w:type="dxa"/>
              <w:left w:w="120" w:type="dxa"/>
              <w:right w:w="120" w:type="dxa"/>
            </w:tcMar>
          </w:tcPr>
          <w:p>
            <w:r>
              <w:rPr>
                <w:rFonts w:ascii="Calibri" w:hAnsi="Calibri"/>
                <w:color w:val="1E293B"/>
                <w:sz w:val="18"/>
              </w:rPr>
              <w:t>Customer Master &amp; Multi-Loan Lifecycle</w:t>
            </w:r>
          </w:p>
        </w:tc>
        <w:tc>
          <w:tcPr>
            <w:tcW w:type="dxa" w:w="4464"/>
            <w:shd w:fill="F8FAFC"/>
            <w:tcMar>
              <w:top w:w="90" w:type="dxa"/>
              <w:bottom w:w="90" w:type="dxa"/>
              <w:left w:w="120" w:type="dxa"/>
              <w:right w:w="120" w:type="dxa"/>
            </w:tcMar>
          </w:tcPr>
          <w:p>
            <w:r>
              <w:rPr>
                <w:rFonts w:ascii="Calibri" w:hAnsi="Calibri"/>
                <w:color w:val="1E293B"/>
                <w:sz w:val="18"/>
              </w:rPr>
              <w:t>Onboarding, L1/L2/L3 multi-loan engine, proportional margin &amp; profit invariants.</w:t>
            </w:r>
          </w:p>
        </w:tc>
      </w:tr>
      <w:tr>
        <w:tc>
          <w:tcPr>
            <w:tcW w:type="dxa" w:w="1152"/>
            <w:shd w:fill="FFFFFF"/>
            <w:tcMar>
              <w:top w:w="90" w:type="dxa"/>
              <w:bottom w:w="90" w:type="dxa"/>
              <w:left w:w="120" w:type="dxa"/>
              <w:right w:w="120" w:type="dxa"/>
            </w:tcMar>
          </w:tcPr>
          <w:p>
            <w:r>
              <w:rPr>
                <w:rFonts w:ascii="Calibri" w:hAnsi="Calibri"/>
                <w:color w:val="1E293B"/>
                <w:sz w:val="18"/>
              </w:rPr>
              <w:t>5</w:t>
            </w:r>
          </w:p>
        </w:tc>
        <w:tc>
          <w:tcPr>
            <w:tcW w:type="dxa" w:w="3744"/>
            <w:shd w:fill="FFFFFF"/>
            <w:tcMar>
              <w:top w:w="90" w:type="dxa"/>
              <w:bottom w:w="90" w:type="dxa"/>
              <w:left w:w="120" w:type="dxa"/>
              <w:right w:w="120" w:type="dxa"/>
            </w:tcMar>
          </w:tcPr>
          <w:p>
            <w:r>
              <w:rPr>
                <w:rFonts w:ascii="Calibri" w:hAnsi="Calibri"/>
                <w:color w:val="1E293B"/>
                <w:sz w:val="18"/>
              </w:rPr>
              <w:t>Enterprise Microfinance Pro Suite (6 Core Modules)</w:t>
            </w:r>
          </w:p>
        </w:tc>
        <w:tc>
          <w:tcPr>
            <w:tcW w:type="dxa" w:w="4464"/>
            <w:shd w:fill="FFFFFF"/>
            <w:tcMar>
              <w:top w:w="90" w:type="dxa"/>
              <w:bottom w:w="90" w:type="dxa"/>
              <w:left w:w="120" w:type="dxa"/>
              <w:right w:w="120" w:type="dxa"/>
            </w:tcMar>
          </w:tcPr>
          <w:p>
            <w:r>
              <w:rPr>
                <w:rFonts w:ascii="Calibri" w:hAnsi="Calibri"/>
                <w:color w:val="1E293B"/>
                <w:sz w:val="18"/>
              </w:rPr>
              <w:t>KYC Vault, Guarantor recovery, Passbooks, Thermal slip, Settlement NOC, Credit ratings.</w:t>
            </w:r>
          </w:p>
        </w:tc>
      </w:tr>
      <w:tr>
        <w:tc>
          <w:tcPr>
            <w:tcW w:type="dxa" w:w="1152"/>
            <w:shd w:fill="F8FAFC"/>
            <w:tcMar>
              <w:top w:w="90" w:type="dxa"/>
              <w:bottom w:w="90" w:type="dxa"/>
              <w:left w:w="120" w:type="dxa"/>
              <w:right w:w="120" w:type="dxa"/>
            </w:tcMar>
          </w:tcPr>
          <w:p>
            <w:r>
              <w:rPr>
                <w:rFonts w:ascii="Calibri" w:hAnsi="Calibri"/>
                <w:color w:val="1E293B"/>
                <w:sz w:val="18"/>
              </w:rPr>
              <w:t>6</w:t>
            </w:r>
          </w:p>
        </w:tc>
        <w:tc>
          <w:tcPr>
            <w:tcW w:type="dxa" w:w="3744"/>
            <w:shd w:fill="F8FAFC"/>
            <w:tcMar>
              <w:top w:w="90" w:type="dxa"/>
              <w:bottom w:w="90" w:type="dxa"/>
              <w:left w:w="120" w:type="dxa"/>
              <w:right w:w="120" w:type="dxa"/>
            </w:tcMar>
          </w:tcPr>
          <w:p>
            <w:r>
              <w:rPr>
                <w:rFonts w:ascii="Calibri" w:hAnsi="Calibri"/>
                <w:color w:val="1E293B"/>
                <w:sz w:val="18"/>
              </w:rPr>
              <w:t>Executive Analytics &amp; Follow-Up Intelligence</w:t>
            </w:r>
          </w:p>
        </w:tc>
        <w:tc>
          <w:tcPr>
            <w:tcW w:type="dxa" w:w="4464"/>
            <w:shd w:fill="F8FAFC"/>
            <w:tcMar>
              <w:top w:w="90" w:type="dxa"/>
              <w:bottom w:w="90" w:type="dxa"/>
              <w:left w:w="120" w:type="dxa"/>
              <w:right w:w="120" w:type="dxa"/>
            </w:tcMar>
          </w:tcPr>
          <w:p>
            <w:r>
              <w:rPr>
                <w:rFonts w:ascii="Calibri" w:hAnsi="Calibri"/>
                <w:color w:val="1E293B"/>
                <w:sz w:val="18"/>
              </w:rPr>
              <w:t>Portfolio overview, reconciled overdue/at-risk indicators, actionable customer list.</w:t>
            </w:r>
          </w:p>
        </w:tc>
      </w:tr>
      <w:tr>
        <w:tc>
          <w:tcPr>
            <w:tcW w:type="dxa" w:w="1152"/>
            <w:shd w:fill="FFFFFF"/>
            <w:tcMar>
              <w:top w:w="90" w:type="dxa"/>
              <w:bottom w:w="90" w:type="dxa"/>
              <w:left w:w="120" w:type="dxa"/>
              <w:right w:w="120" w:type="dxa"/>
            </w:tcMar>
          </w:tcPr>
          <w:p>
            <w:r>
              <w:rPr>
                <w:rFonts w:ascii="Calibri" w:hAnsi="Calibri"/>
                <w:color w:val="1E293B"/>
                <w:sz w:val="18"/>
              </w:rPr>
              <w:t>7</w:t>
            </w:r>
          </w:p>
        </w:tc>
        <w:tc>
          <w:tcPr>
            <w:tcW w:type="dxa" w:w="3744"/>
            <w:shd w:fill="FFFFFF"/>
            <w:tcMar>
              <w:top w:w="90" w:type="dxa"/>
              <w:bottom w:w="90" w:type="dxa"/>
              <w:left w:w="120" w:type="dxa"/>
              <w:right w:w="120" w:type="dxa"/>
            </w:tcMar>
          </w:tcPr>
          <w:p>
            <w:r>
              <w:rPr>
                <w:rFonts w:ascii="Calibri" w:hAnsi="Calibri"/>
                <w:color w:val="1E293B"/>
                <w:sz w:val="18"/>
              </w:rPr>
              <w:t>Legacy Data Migration &amp; Excel Engine</w:t>
            </w:r>
          </w:p>
        </w:tc>
        <w:tc>
          <w:tcPr>
            <w:tcW w:type="dxa" w:w="4464"/>
            <w:shd w:fill="FFFFFF"/>
            <w:tcMar>
              <w:top w:w="90" w:type="dxa"/>
              <w:bottom w:w="90" w:type="dxa"/>
              <w:left w:w="120" w:type="dxa"/>
              <w:right w:w="120" w:type="dxa"/>
            </w:tcMar>
          </w:tcPr>
          <w:p>
            <w:r>
              <w:rPr>
                <w:rFonts w:ascii="Calibri" w:hAnsi="Calibri"/>
                <w:color w:val="1E293B"/>
                <w:sz w:val="18"/>
              </w:rPr>
              <w:t>0-Rupee balance drift validation, SheetJS parser, JSON disaster recovery.</w:t>
            </w:r>
          </w:p>
        </w:tc>
      </w:tr>
      <w:tr>
        <w:tc>
          <w:tcPr>
            <w:tcW w:type="dxa" w:w="1152"/>
            <w:shd w:fill="F8FAFC"/>
            <w:tcMar>
              <w:top w:w="90" w:type="dxa"/>
              <w:bottom w:w="90" w:type="dxa"/>
              <w:left w:w="120" w:type="dxa"/>
              <w:right w:w="120" w:type="dxa"/>
            </w:tcMar>
          </w:tcPr>
          <w:p>
            <w:r>
              <w:rPr>
                <w:rFonts w:ascii="Calibri" w:hAnsi="Calibri"/>
                <w:color w:val="1E293B"/>
                <w:sz w:val="18"/>
              </w:rPr>
              <w:t>8</w:t>
            </w:r>
          </w:p>
        </w:tc>
        <w:tc>
          <w:tcPr>
            <w:tcW w:type="dxa" w:w="3744"/>
            <w:shd w:fill="F8FAFC"/>
            <w:tcMar>
              <w:top w:w="90" w:type="dxa"/>
              <w:bottom w:w="90" w:type="dxa"/>
              <w:left w:w="120" w:type="dxa"/>
              <w:right w:w="120" w:type="dxa"/>
            </w:tcMar>
          </w:tcPr>
          <w:p>
            <w:r>
              <w:rPr>
                <w:rFonts w:ascii="Calibri" w:hAnsi="Calibri"/>
                <w:color w:val="1E293B"/>
                <w:sz w:val="18"/>
              </w:rPr>
              <w:t>Field Officer Daily SOP (Standard Operating Procedure)</w:t>
            </w:r>
          </w:p>
        </w:tc>
        <w:tc>
          <w:tcPr>
            <w:tcW w:type="dxa" w:w="4464"/>
            <w:shd w:fill="F8FAFC"/>
            <w:tcMar>
              <w:top w:w="90" w:type="dxa"/>
              <w:bottom w:w="90" w:type="dxa"/>
              <w:left w:w="120" w:type="dxa"/>
              <w:right w:w="120" w:type="dxa"/>
            </w:tcMar>
          </w:tcPr>
          <w:p>
            <w:r>
              <w:rPr>
                <w:rFonts w:ascii="Calibri" w:hAnsi="Calibri"/>
                <w:color w:val="1E293B"/>
                <w:sz w:val="18"/>
              </w:rPr>
              <w:t>Step-by-step field routine: Morning prep, collection routes, cash handover.</w:t>
            </w:r>
          </w:p>
        </w:tc>
      </w:tr>
      <w:tr>
        <w:tc>
          <w:tcPr>
            <w:tcW w:type="dxa" w:w="1152"/>
            <w:shd w:fill="FFFFFF"/>
            <w:tcMar>
              <w:top w:w="90" w:type="dxa"/>
              <w:bottom w:w="90" w:type="dxa"/>
              <w:left w:w="120" w:type="dxa"/>
              <w:right w:w="120" w:type="dxa"/>
            </w:tcMar>
          </w:tcPr>
          <w:p>
            <w:r>
              <w:rPr>
                <w:rFonts w:ascii="Calibri" w:hAnsi="Calibri"/>
                <w:color w:val="1E293B"/>
                <w:sz w:val="18"/>
              </w:rPr>
              <w:t>9</w:t>
            </w:r>
          </w:p>
        </w:tc>
        <w:tc>
          <w:tcPr>
            <w:tcW w:type="dxa" w:w="3744"/>
            <w:shd w:fill="FFFFFF"/>
            <w:tcMar>
              <w:top w:w="90" w:type="dxa"/>
              <w:bottom w:w="90" w:type="dxa"/>
              <w:left w:w="120" w:type="dxa"/>
              <w:right w:w="120" w:type="dxa"/>
            </w:tcMar>
          </w:tcPr>
          <w:p>
            <w:r>
              <w:rPr>
                <w:rFonts w:ascii="Calibri" w:hAnsi="Calibri"/>
                <w:color w:val="1E293B"/>
                <w:sz w:val="18"/>
              </w:rPr>
              <w:t>System Verification, Audit &amp; Compliance Certification</w:t>
            </w:r>
          </w:p>
        </w:tc>
        <w:tc>
          <w:tcPr>
            <w:tcW w:type="dxa" w:w="4464"/>
            <w:shd w:fill="FFFFFF"/>
            <w:tcMar>
              <w:top w:w="90" w:type="dxa"/>
              <w:bottom w:w="90" w:type="dxa"/>
              <w:left w:w="120" w:type="dxa"/>
              <w:right w:w="120" w:type="dxa"/>
            </w:tcMar>
          </w:tcPr>
          <w:p>
            <w:r>
              <w:rPr>
                <w:rFonts w:ascii="Calibri" w:hAnsi="Calibri"/>
                <w:color w:val="1E293B"/>
                <w:sz w:val="18"/>
              </w:rPr>
              <w:t>Master regression test suite and 100% pass certification log.</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792"/>
            <w:shd w:fill="F0FDF4"/>
            <w:tcMar>
              <w:top w:w="140" w:type="dxa"/>
              <w:bottom w:w="140" w:type="dxa"/>
              <w:left w:w="180" w:type="dxa"/>
              <w:right w:w="180" w:type="dxa"/>
            </w:tcMar>
            <w:tcBorders>
              <w:top w:val="none"/>
              <w:left w:val="single" w:sz="24" w:space="0" w:color="16A34A"/>
              <w:bottom w:val="none"/>
              <w:right w:val="none"/>
            </w:tcBorders>
          </w:tcPr>
          <w:p>
            <w:pPr>
              <w:spacing w:before="40" w:after="40"/>
            </w:pPr>
            <w:r>
              <w:rPr>
                <w:rFonts w:ascii="Calibri" w:hAnsi="Calibri"/>
                <w:b/>
                <w:color w:val="1E3A8A"/>
                <w:sz w:val="20"/>
              </w:rPr>
              <w:t xml:space="preserve">[CLIENT ONBOARDING NOTE] </w:t>
            </w:r>
            <w:r>
              <w:rPr>
                <w:rFonts w:ascii="Calibri" w:hAnsi="Calibri"/>
                <w:color w:val="1E293B"/>
                <w:sz w:val="19"/>
              </w:rPr>
              <w:t>This functional specification document serves as the formal handover guide for our first commercial client. It provides full operational clarity, screen walkthroughs, accounting equations, and technical capabilities to ensure seamless field deployment and complete trust in financial calculations.</w:t>
            </w:r>
          </w:p>
        </w:tc>
      </w:tr>
    </w:tbl>
    <w:p>
      <w:pPr>
        <w:spacing w:before="0" w:after="120"/>
      </w:pPr>
    </w:p>
    <w:p>
      <w:pPr>
        <w:pStyle w:val="Heading1"/>
        <w:keepNext/>
        <w:spacing w:before="360" w:after="120"/>
      </w:pPr>
      <w:r>
        <w:rPr>
          <w:rFonts w:ascii="Calibri" w:hAnsi="Calibri"/>
          <w:b/>
          <w:color w:val="0F172A"/>
          <w:sz w:val="32"/>
        </w:rPr>
        <w:t>1. Executive Overview &amp; System Architecture</w:t>
      </w:r>
    </w:p>
    <w:p>
      <w:pPr>
        <w:spacing w:after="160"/>
      </w:pPr>
      <w:r>
        <w:t>JSR Finance is a state-of-the-art enterprise microfinance management platform purpose-built for financial institutions, NBFCs, private micro-lenders, and field collection agents operating daily and weekly micro-instalment repayment portfolios. Traditional microfinance operations suffer heavily from manual diary bookkeeping, arithmetic errors, unauthorized field discounts, customer disputes, and balance drift when loans are settled early. JSR Finance solves these critical vulnerabilities through mathematical ledger invariants, append-only transactions, and seamless mobile-optimized collection interfaces.</w:t>
      </w:r>
    </w:p>
    <w:p>
      <w:pPr>
        <w:pStyle w:val="Heading2"/>
        <w:keepNext/>
        <w:spacing w:before="280" w:after="80"/>
      </w:pPr>
      <w:r>
        <w:rPr>
          <w:rFonts w:ascii="Calibri" w:hAnsi="Calibri"/>
          <w:b/>
          <w:color w:val="1E3A8A"/>
          <w:sz w:val="26"/>
        </w:rPr>
        <w:t>Key Platform Capabilities</w:t>
      </w:r>
    </w:p>
    <w:p>
      <w:pPr>
        <w:spacing w:after="80"/>
        <w:ind w:left="288"/>
      </w:pPr>
      <w:r>
        <w:rPr>
          <w:b/>
          <w:color w:val="1E3A8A"/>
        </w:rPr>
        <w:t xml:space="preserve">• Zero-Drift Financial Accounting: </w:t>
      </w:r>
      <w:r>
        <w:t>Eliminates rounding discrepancies between individual instalments and total principal, guaranteeing that the sum of instalments always matches the contracted loan terms down to the rupee.</w:t>
      </w:r>
    </w:p>
    <w:p>
      <w:pPr>
        <w:spacing w:after="80"/>
        <w:ind w:left="288"/>
      </w:pPr>
      <w:r>
        <w:rPr>
          <w:b/>
          <w:color w:val="1E3A8A"/>
        </w:rPr>
        <w:t xml:space="preserve">• Proportional Profit Ledger: </w:t>
      </w:r>
      <w:r>
        <w:t>Separates Principal Recovery from Realized Profit in real-time, ensuring accounting precision where profit is recognized strictly proportional to field collections.</w:t>
      </w:r>
    </w:p>
    <w:p>
      <w:pPr>
        <w:spacing w:after="80"/>
        <w:ind w:left="288"/>
      </w:pPr>
      <w:r>
        <w:rPr>
          <w:b/>
          <w:color w:val="1E3A8A"/>
        </w:rPr>
        <w:t xml:space="preserve">• Offline-First Resilience + Cloud Sync: </w:t>
      </w:r>
      <w:r>
        <w:t>Functions seamlessly in low-connectivity rural routes using LocalStorage and automatically reconciles bidirectional changes with Google Cloud Firestore when connectivity is restored.</w:t>
      </w:r>
    </w:p>
    <w:p>
      <w:pPr>
        <w:spacing w:after="80"/>
        <w:ind w:left="288"/>
      </w:pPr>
      <w:r>
        <w:rPr>
          <w:b/>
          <w:color w:val="1E3A8A"/>
        </w:rPr>
        <w:t xml:space="preserve">• Pocket Bluetooth Printing (ESC/POS): </w:t>
      </w:r>
      <w:r>
        <w:t>Connects directly via Web Bluetooth to 58mm/80mm pocket thermal printers, allowing agents to issue instant physical slips to borrowers upon cash receipt.</w:t>
      </w:r>
    </w:p>
    <w:p>
      <w:pPr>
        <w:spacing w:after="80"/>
        <w:ind w:left="288"/>
      </w:pPr>
      <w:r>
        <w:rPr>
          <w:b/>
          <w:color w:val="1E3A8A"/>
        </w:rPr>
        <w:t xml:space="preserve">• Guarantor / Surety 1-Tap Recovery: </w:t>
      </w:r>
      <w:r>
        <w:t>Empowers collection officers with pre-formatted WhatsApp payment reminders and direct phone calls to registered sureties for immediate default intervention.</w:t>
      </w:r>
    </w:p>
    <w:p>
      <w:pPr>
        <w:pStyle w:val="Heading1"/>
        <w:keepNext/>
        <w:spacing w:before="360" w:after="120"/>
      </w:pPr>
      <w:r>
        <w:rPr>
          <w:rFonts w:ascii="Calibri" w:hAnsi="Calibri"/>
          <w:b/>
          <w:color w:val="0F172A"/>
          <w:sz w:val="32"/>
        </w:rPr>
        <w:t>2. Authentication &amp; Single Sign-On (SSO)</w:t>
      </w:r>
    </w:p>
    <w:p>
      <w:pPr>
        <w:spacing w:after="160"/>
      </w:pPr>
      <w:r>
        <w:t>To deliver bank-grade security without slowing down field staff, JSR Finance utilizes Google Identity Services (GIS) OAuth 2.0 Single Sign-On. Field agents and administrators authenticate with verified corporate Google accounts. Unauthorized email addresses are immediately blocked by an enterprise whitelist filter. Crucially, upon successful login, the application automatically redirects field officers straight to the Customer Instalments screen—bypassing extra clicks so agents can commence field collections instantaneously.</w:t>
      </w:r>
    </w:p>
    <w:p>
      <w:pPr>
        <w:keepNext/>
        <w:spacing w:before="160" w:after="40"/>
        <w:jc w:val="center"/>
      </w:pPr>
      <w:r>
        <w:drawing>
          <wp:inline xmlns:a="http://schemas.openxmlformats.org/drawingml/2006/main" xmlns:pic="http://schemas.openxmlformats.org/drawingml/2006/picture">
            <wp:extent cx="5669280" cy="2826241"/>
            <wp:docPr id="2" name="Picture 2"/>
            <wp:cNvGraphicFramePr>
              <a:graphicFrameLocks noChangeAspect="1"/>
            </wp:cNvGraphicFramePr>
            <a:graphic>
              <a:graphicData uri="http://schemas.openxmlformats.org/drawingml/2006/picture">
                <pic:pic>
                  <pic:nvPicPr>
                    <pic:cNvPr id="0" name="login_to_instalments_verified.png"/>
                    <pic:cNvPicPr/>
                  </pic:nvPicPr>
                  <pic:blipFill>
                    <a:blip r:embed="rId11"/>
                    <a:stretch>
                      <a:fillRect/>
                    </a:stretch>
                  </pic:blipFill>
                  <pic:spPr>
                    <a:xfrm>
                      <a:off x="0" y="0"/>
                      <a:ext cx="5669280" cy="2826241"/>
                    </a:xfrm>
                    <a:prstGeom prst="rect"/>
                  </pic:spPr>
                </pic:pic>
              </a:graphicData>
            </a:graphic>
          </wp:inline>
        </w:drawing>
      </w:r>
    </w:p>
    <w:p>
      <w:pPr>
        <w:spacing w:before="40" w:after="200"/>
        <w:jc w:val="center"/>
      </w:pPr>
      <w:r>
        <w:rPr>
          <w:rFonts w:ascii="Calibri" w:hAnsi="Calibri"/>
          <w:i/>
          <w:color w:val="64748B"/>
          <w:sz w:val="17"/>
        </w:rPr>
        <w:t>Figure 1: High-Tech GIS Authentication &amp; Instant Redirect to Customer Instalments</w:t>
      </w:r>
    </w:p>
    <w:p>
      <w:pPr>
        <w:pStyle w:val="Heading2"/>
        <w:keepNext/>
        <w:spacing w:before="280" w:after="80"/>
      </w:pPr>
      <w:r>
        <w:rPr>
          <w:rFonts w:ascii="Calibri" w:hAnsi="Calibri"/>
          <w:b/>
          <w:color w:val="1E3A8A"/>
          <w:sz w:val="26"/>
        </w:rPr>
        <w:t>Role-Based Access Control (RBAC) Permissions Matrix</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448"/>
        <w:gridCol w:w="2448"/>
        <w:gridCol w:w="2448"/>
        <w:gridCol w:w="2448"/>
      </w:tblGrid>
      <w:tr>
        <w:tc>
          <w:tcPr>
            <w:tcW w:type="dxa" w:w="3600"/>
            <w:shd w:fill="1E3A8A"/>
            <w:tcMar>
              <w:top w:w="120" w:type="dxa"/>
              <w:bottom w:w="120" w:type="dxa"/>
              <w:left w:w="140" w:type="dxa"/>
              <w:right w:w="140" w:type="dxa"/>
            </w:tcMar>
          </w:tcPr>
          <w:p>
            <w:pPr>
              <w:jc w:val="center"/>
            </w:pPr>
            <w:r>
              <w:rPr>
                <w:rFonts w:ascii="Calibri" w:hAnsi="Calibri"/>
                <w:b/>
                <w:color w:val="FFFFFF"/>
                <w:sz w:val="19"/>
              </w:rPr>
              <w:t>Functional Action / Screen</w:t>
            </w:r>
          </w:p>
        </w:tc>
        <w:tc>
          <w:tcPr>
            <w:tcW w:type="dxa" w:w="1872"/>
            <w:shd w:fill="1E3A8A"/>
            <w:tcMar>
              <w:top w:w="120" w:type="dxa"/>
              <w:bottom w:w="120" w:type="dxa"/>
              <w:left w:w="140" w:type="dxa"/>
              <w:right w:w="140" w:type="dxa"/>
            </w:tcMar>
          </w:tcPr>
          <w:p>
            <w:pPr>
              <w:jc w:val="center"/>
            </w:pPr>
            <w:r>
              <w:rPr>
                <w:rFonts w:ascii="Calibri" w:hAnsi="Calibri"/>
                <w:b/>
                <w:color w:val="FFFFFF"/>
                <w:sz w:val="19"/>
              </w:rPr>
              <w:t>Field Collector</w:t>
            </w:r>
          </w:p>
        </w:tc>
        <w:tc>
          <w:tcPr>
            <w:tcW w:type="dxa" w:w="2016"/>
            <w:shd w:fill="1E3A8A"/>
            <w:tcMar>
              <w:top w:w="120" w:type="dxa"/>
              <w:bottom w:w="120" w:type="dxa"/>
              <w:left w:w="140" w:type="dxa"/>
              <w:right w:w="140" w:type="dxa"/>
            </w:tcMar>
          </w:tcPr>
          <w:p>
            <w:pPr>
              <w:jc w:val="center"/>
            </w:pPr>
            <w:r>
              <w:rPr>
                <w:rFonts w:ascii="Calibri" w:hAnsi="Calibri"/>
                <w:b/>
                <w:color w:val="FFFFFF"/>
                <w:sz w:val="19"/>
              </w:rPr>
              <w:t>System Administrator</w:t>
            </w:r>
          </w:p>
        </w:tc>
        <w:tc>
          <w:tcPr>
            <w:tcW w:type="dxa" w:w="1872"/>
            <w:shd w:fill="1E3A8A"/>
            <w:tcMar>
              <w:top w:w="120" w:type="dxa"/>
              <w:bottom w:w="120" w:type="dxa"/>
              <w:left w:w="140" w:type="dxa"/>
              <w:right w:w="140" w:type="dxa"/>
            </w:tcMar>
          </w:tcPr>
          <w:p>
            <w:pPr>
              <w:jc w:val="center"/>
            </w:pPr>
            <w:r>
              <w:rPr>
                <w:rFonts w:ascii="Calibri" w:hAnsi="Calibri"/>
                <w:b/>
                <w:color w:val="FFFFFF"/>
                <w:sz w:val="19"/>
              </w:rPr>
              <w:t>Auditor / Accountant</w:t>
            </w:r>
          </w:p>
        </w:tc>
      </w:tr>
      <w:tr>
        <w:tc>
          <w:tcPr>
            <w:tcW w:type="dxa" w:w="3600"/>
            <w:shd w:fill="FFFFFF"/>
            <w:tcMar>
              <w:top w:w="90" w:type="dxa"/>
              <w:bottom w:w="90" w:type="dxa"/>
              <w:left w:w="120" w:type="dxa"/>
              <w:right w:w="120" w:type="dxa"/>
            </w:tcMar>
          </w:tcPr>
          <w:p>
            <w:r>
              <w:rPr>
                <w:rFonts w:ascii="Calibri" w:hAnsi="Calibri"/>
                <w:color w:val="1E293B"/>
                <w:sz w:val="18"/>
              </w:rPr>
              <w:t>View Assigned Collection Schedules</w:t>
            </w:r>
          </w:p>
        </w:tc>
        <w:tc>
          <w:tcPr>
            <w:tcW w:type="dxa" w:w="1872"/>
            <w:shd w:fill="FFFFFF"/>
            <w:tcMar>
              <w:top w:w="90" w:type="dxa"/>
              <w:bottom w:w="90" w:type="dxa"/>
              <w:left w:w="120" w:type="dxa"/>
              <w:right w:w="120" w:type="dxa"/>
            </w:tcMar>
          </w:tcPr>
          <w:p>
            <w:r>
              <w:rPr>
                <w:rFonts w:ascii="Calibri" w:hAnsi="Calibri"/>
                <w:color w:val="1E293B"/>
                <w:sz w:val="18"/>
              </w:rPr>
              <w:t>YES (Read-Write)</w:t>
            </w:r>
          </w:p>
        </w:tc>
        <w:tc>
          <w:tcPr>
            <w:tcW w:type="dxa" w:w="2016"/>
            <w:shd w:fill="FFFFFF"/>
            <w:tcMar>
              <w:top w:w="90" w:type="dxa"/>
              <w:bottom w:w="90" w:type="dxa"/>
              <w:left w:w="120" w:type="dxa"/>
              <w:right w:w="120" w:type="dxa"/>
            </w:tcMar>
          </w:tcPr>
          <w:p>
            <w:r>
              <w:rPr>
                <w:rFonts w:ascii="Calibri" w:hAnsi="Calibri"/>
                <w:color w:val="1E293B"/>
                <w:sz w:val="18"/>
              </w:rPr>
              <w:t>YES (Full Access)</w:t>
            </w:r>
          </w:p>
        </w:tc>
        <w:tc>
          <w:tcPr>
            <w:tcW w:type="dxa" w:w="1872"/>
            <w:shd w:fill="FFFFFF"/>
            <w:tcMar>
              <w:top w:w="90" w:type="dxa"/>
              <w:bottom w:w="90" w:type="dxa"/>
              <w:left w:w="120" w:type="dxa"/>
              <w:right w:w="120" w:type="dxa"/>
            </w:tcMar>
          </w:tcPr>
          <w:p>
            <w:r>
              <w:rPr>
                <w:rFonts w:ascii="Calibri" w:hAnsi="Calibri"/>
                <w:color w:val="1E293B"/>
                <w:sz w:val="18"/>
              </w:rPr>
              <w:t>YES (Read-Only)</w:t>
            </w:r>
          </w:p>
        </w:tc>
      </w:tr>
      <w:tr>
        <w:tc>
          <w:tcPr>
            <w:tcW w:type="dxa" w:w="3600"/>
            <w:shd w:fill="F8FAFC"/>
            <w:tcMar>
              <w:top w:w="90" w:type="dxa"/>
              <w:bottom w:w="90" w:type="dxa"/>
              <w:left w:w="120" w:type="dxa"/>
              <w:right w:w="120" w:type="dxa"/>
            </w:tcMar>
          </w:tcPr>
          <w:p>
            <w:r>
              <w:rPr>
                <w:rFonts w:ascii="Calibri" w:hAnsi="Calibri"/>
                <w:color w:val="1E293B"/>
                <w:sz w:val="18"/>
              </w:rPr>
              <w:t>Mark Instalment as Paid / Partial</w:t>
            </w:r>
          </w:p>
        </w:tc>
        <w:tc>
          <w:tcPr>
            <w:tcW w:type="dxa" w:w="1872"/>
            <w:shd w:fill="F8FAFC"/>
            <w:tcMar>
              <w:top w:w="90" w:type="dxa"/>
              <w:bottom w:w="90" w:type="dxa"/>
              <w:left w:w="120" w:type="dxa"/>
              <w:right w:w="120" w:type="dxa"/>
            </w:tcMar>
          </w:tcPr>
          <w:p>
            <w:r>
              <w:rPr>
                <w:rFonts w:ascii="Calibri" w:hAnsi="Calibri"/>
                <w:color w:val="1E293B"/>
                <w:sz w:val="18"/>
              </w:rPr>
              <w:t>YES (Audited with Timestamps)</w:t>
            </w:r>
          </w:p>
        </w:tc>
        <w:tc>
          <w:tcPr>
            <w:tcW w:type="dxa" w:w="2016"/>
            <w:shd w:fill="F8FAFC"/>
            <w:tcMar>
              <w:top w:w="90" w:type="dxa"/>
              <w:bottom w:w="90" w:type="dxa"/>
              <w:left w:w="120" w:type="dxa"/>
              <w:right w:w="120" w:type="dxa"/>
            </w:tcMar>
          </w:tcPr>
          <w:p>
            <w:r>
              <w:rPr>
                <w:rFonts w:ascii="Calibri" w:hAnsi="Calibri"/>
                <w:color w:val="1E293B"/>
                <w:sz w:val="18"/>
              </w:rPr>
              <w:t>YES</w:t>
            </w:r>
          </w:p>
        </w:tc>
        <w:tc>
          <w:tcPr>
            <w:tcW w:type="dxa" w:w="1872"/>
            <w:shd w:fill="F8FAFC"/>
            <w:tcMar>
              <w:top w:w="90" w:type="dxa"/>
              <w:bottom w:w="90" w:type="dxa"/>
              <w:left w:w="120" w:type="dxa"/>
              <w:right w:w="120" w:type="dxa"/>
            </w:tcMar>
          </w:tcPr>
          <w:p>
            <w:r>
              <w:rPr>
                <w:rFonts w:ascii="Calibri" w:hAnsi="Calibri"/>
                <w:color w:val="1E293B"/>
                <w:sz w:val="18"/>
              </w:rPr>
              <w:t>NO</w:t>
            </w:r>
          </w:p>
        </w:tc>
      </w:tr>
      <w:tr>
        <w:tc>
          <w:tcPr>
            <w:tcW w:type="dxa" w:w="3600"/>
            <w:shd w:fill="FFFFFF"/>
            <w:tcMar>
              <w:top w:w="90" w:type="dxa"/>
              <w:bottom w:w="90" w:type="dxa"/>
              <w:left w:w="120" w:type="dxa"/>
              <w:right w:w="120" w:type="dxa"/>
            </w:tcMar>
          </w:tcPr>
          <w:p>
            <w:r>
              <w:rPr>
                <w:rFonts w:ascii="Calibri" w:hAnsi="Calibri"/>
                <w:color w:val="1E293B"/>
                <w:sz w:val="18"/>
              </w:rPr>
              <w:t>Issue Pocket Bluetooth Receipt Slip</w:t>
            </w:r>
          </w:p>
        </w:tc>
        <w:tc>
          <w:tcPr>
            <w:tcW w:type="dxa" w:w="1872"/>
            <w:shd w:fill="FFFFFF"/>
            <w:tcMar>
              <w:top w:w="90" w:type="dxa"/>
              <w:bottom w:w="90" w:type="dxa"/>
              <w:left w:w="120" w:type="dxa"/>
              <w:right w:w="120" w:type="dxa"/>
            </w:tcMar>
          </w:tcPr>
          <w:p>
            <w:r>
              <w:rPr>
                <w:rFonts w:ascii="Calibri" w:hAnsi="Calibri"/>
                <w:color w:val="1E293B"/>
                <w:sz w:val="18"/>
              </w:rPr>
              <w:t>YES (58mm Roll)</w:t>
            </w:r>
          </w:p>
        </w:tc>
        <w:tc>
          <w:tcPr>
            <w:tcW w:type="dxa" w:w="2016"/>
            <w:shd w:fill="FFFFFF"/>
            <w:tcMar>
              <w:top w:w="90" w:type="dxa"/>
              <w:bottom w:w="90" w:type="dxa"/>
              <w:left w:w="120" w:type="dxa"/>
              <w:right w:w="120" w:type="dxa"/>
            </w:tcMar>
          </w:tcPr>
          <w:p>
            <w:r>
              <w:rPr>
                <w:rFonts w:ascii="Calibri" w:hAnsi="Calibri"/>
                <w:color w:val="1E293B"/>
                <w:sz w:val="18"/>
              </w:rPr>
              <w:t>YES</w:t>
            </w:r>
          </w:p>
        </w:tc>
        <w:tc>
          <w:tcPr>
            <w:tcW w:type="dxa" w:w="1872"/>
            <w:shd w:fill="FFFFFF"/>
            <w:tcMar>
              <w:top w:w="90" w:type="dxa"/>
              <w:bottom w:w="90" w:type="dxa"/>
              <w:left w:w="120" w:type="dxa"/>
              <w:right w:w="120" w:type="dxa"/>
            </w:tcMar>
          </w:tcPr>
          <w:p>
            <w:r>
              <w:rPr>
                <w:rFonts w:ascii="Calibri" w:hAnsi="Calibri"/>
                <w:color w:val="1E293B"/>
                <w:sz w:val="18"/>
              </w:rPr>
              <w:t>YES (Preview Only)</w:t>
            </w:r>
          </w:p>
        </w:tc>
      </w:tr>
      <w:tr>
        <w:tc>
          <w:tcPr>
            <w:tcW w:type="dxa" w:w="3600"/>
            <w:shd w:fill="F8FAFC"/>
            <w:tcMar>
              <w:top w:w="90" w:type="dxa"/>
              <w:bottom w:w="90" w:type="dxa"/>
              <w:left w:w="120" w:type="dxa"/>
              <w:right w:w="120" w:type="dxa"/>
            </w:tcMar>
          </w:tcPr>
          <w:p>
            <w:r>
              <w:rPr>
                <w:rFonts w:ascii="Calibri" w:hAnsi="Calibri"/>
                <w:color w:val="1E293B"/>
                <w:sz w:val="18"/>
              </w:rPr>
              <w:t>Send WhatsApp Due Reminder</w:t>
            </w:r>
          </w:p>
        </w:tc>
        <w:tc>
          <w:tcPr>
            <w:tcW w:type="dxa" w:w="1872"/>
            <w:shd w:fill="F8FAFC"/>
            <w:tcMar>
              <w:top w:w="90" w:type="dxa"/>
              <w:bottom w:w="90" w:type="dxa"/>
              <w:left w:w="120" w:type="dxa"/>
              <w:right w:w="120" w:type="dxa"/>
            </w:tcMar>
          </w:tcPr>
          <w:p>
            <w:r>
              <w:rPr>
                <w:rFonts w:ascii="Calibri" w:hAnsi="Calibri"/>
                <w:color w:val="1E293B"/>
                <w:sz w:val="18"/>
              </w:rPr>
              <w:t>YES (1-Tap)</w:t>
            </w:r>
          </w:p>
        </w:tc>
        <w:tc>
          <w:tcPr>
            <w:tcW w:type="dxa" w:w="2016"/>
            <w:shd w:fill="F8FAFC"/>
            <w:tcMar>
              <w:top w:w="90" w:type="dxa"/>
              <w:bottom w:w="90" w:type="dxa"/>
              <w:left w:w="120" w:type="dxa"/>
              <w:right w:w="120" w:type="dxa"/>
            </w:tcMar>
          </w:tcPr>
          <w:p>
            <w:r>
              <w:rPr>
                <w:rFonts w:ascii="Calibri" w:hAnsi="Calibri"/>
                <w:color w:val="1E293B"/>
                <w:sz w:val="18"/>
              </w:rPr>
              <w:t>YES</w:t>
            </w:r>
          </w:p>
        </w:tc>
        <w:tc>
          <w:tcPr>
            <w:tcW w:type="dxa" w:w="1872"/>
            <w:shd w:fill="F8FAFC"/>
            <w:tcMar>
              <w:top w:w="90" w:type="dxa"/>
              <w:bottom w:w="90" w:type="dxa"/>
              <w:left w:w="120" w:type="dxa"/>
              <w:right w:w="120" w:type="dxa"/>
            </w:tcMar>
          </w:tcPr>
          <w:p>
            <w:r>
              <w:rPr>
                <w:rFonts w:ascii="Calibri" w:hAnsi="Calibri"/>
                <w:color w:val="1E293B"/>
                <w:sz w:val="18"/>
              </w:rPr>
              <w:t>NO</w:t>
            </w:r>
          </w:p>
        </w:tc>
      </w:tr>
      <w:tr>
        <w:tc>
          <w:tcPr>
            <w:tcW w:type="dxa" w:w="3600"/>
            <w:shd w:fill="FFFFFF"/>
            <w:tcMar>
              <w:top w:w="90" w:type="dxa"/>
              <w:bottom w:w="90" w:type="dxa"/>
              <w:left w:w="120" w:type="dxa"/>
              <w:right w:w="120" w:type="dxa"/>
            </w:tcMar>
          </w:tcPr>
          <w:p>
            <w:r>
              <w:rPr>
                <w:rFonts w:ascii="Calibri" w:hAnsi="Calibri"/>
                <w:color w:val="1E293B"/>
                <w:sz w:val="18"/>
              </w:rPr>
              <w:t>Create New Customer / Add Loan L2</w:t>
            </w:r>
          </w:p>
        </w:tc>
        <w:tc>
          <w:tcPr>
            <w:tcW w:type="dxa" w:w="1872"/>
            <w:shd w:fill="FFFFFF"/>
            <w:tcMar>
              <w:top w:w="90" w:type="dxa"/>
              <w:bottom w:w="90" w:type="dxa"/>
              <w:left w:w="120" w:type="dxa"/>
              <w:right w:w="120" w:type="dxa"/>
            </w:tcMar>
          </w:tcPr>
          <w:p>
            <w:r>
              <w:rPr>
                <w:rFonts w:ascii="Calibri" w:hAnsi="Calibri"/>
                <w:color w:val="1E293B"/>
                <w:sz w:val="18"/>
              </w:rPr>
              <w:t>NO (Restricted)</w:t>
            </w:r>
          </w:p>
        </w:tc>
        <w:tc>
          <w:tcPr>
            <w:tcW w:type="dxa" w:w="2016"/>
            <w:shd w:fill="FFFFFF"/>
            <w:tcMar>
              <w:top w:w="90" w:type="dxa"/>
              <w:bottom w:w="90" w:type="dxa"/>
              <w:left w:w="120" w:type="dxa"/>
              <w:right w:w="120" w:type="dxa"/>
            </w:tcMar>
          </w:tcPr>
          <w:p>
            <w:r>
              <w:rPr>
                <w:rFonts w:ascii="Calibri" w:hAnsi="Calibri"/>
                <w:color w:val="1E293B"/>
                <w:sz w:val="18"/>
              </w:rPr>
              <w:t>YES (Full Approval)</w:t>
            </w:r>
          </w:p>
        </w:tc>
        <w:tc>
          <w:tcPr>
            <w:tcW w:type="dxa" w:w="1872"/>
            <w:shd w:fill="FFFFFF"/>
            <w:tcMar>
              <w:top w:w="90" w:type="dxa"/>
              <w:bottom w:w="90" w:type="dxa"/>
              <w:left w:w="120" w:type="dxa"/>
              <w:right w:w="120" w:type="dxa"/>
            </w:tcMar>
          </w:tcPr>
          <w:p>
            <w:r>
              <w:rPr>
                <w:rFonts w:ascii="Calibri" w:hAnsi="Calibri"/>
                <w:color w:val="1E293B"/>
                <w:sz w:val="18"/>
              </w:rPr>
              <w:t>NO</w:t>
            </w:r>
          </w:p>
        </w:tc>
      </w:tr>
      <w:tr>
        <w:tc>
          <w:tcPr>
            <w:tcW w:type="dxa" w:w="3600"/>
            <w:shd w:fill="F8FAFC"/>
            <w:tcMar>
              <w:top w:w="90" w:type="dxa"/>
              <w:bottom w:w="90" w:type="dxa"/>
              <w:left w:w="120" w:type="dxa"/>
              <w:right w:w="120" w:type="dxa"/>
            </w:tcMar>
          </w:tcPr>
          <w:p>
            <w:r>
              <w:rPr>
                <w:rFonts w:ascii="Calibri" w:hAnsi="Calibri"/>
                <w:color w:val="1E293B"/>
                <w:sz w:val="18"/>
              </w:rPr>
              <w:t>Early Loan Foreclosure &amp; Settle NOC</w:t>
            </w:r>
          </w:p>
        </w:tc>
        <w:tc>
          <w:tcPr>
            <w:tcW w:type="dxa" w:w="1872"/>
            <w:shd w:fill="F8FAFC"/>
            <w:tcMar>
              <w:top w:w="90" w:type="dxa"/>
              <w:bottom w:w="90" w:type="dxa"/>
              <w:left w:w="120" w:type="dxa"/>
              <w:right w:w="120" w:type="dxa"/>
            </w:tcMar>
          </w:tcPr>
          <w:p>
            <w:r>
              <w:rPr>
                <w:rFonts w:ascii="Calibri" w:hAnsi="Calibri"/>
                <w:color w:val="1E293B"/>
                <w:sz w:val="18"/>
              </w:rPr>
              <w:t>NO (Requires Manager)</w:t>
            </w:r>
          </w:p>
        </w:tc>
        <w:tc>
          <w:tcPr>
            <w:tcW w:type="dxa" w:w="2016"/>
            <w:shd w:fill="F8FAFC"/>
            <w:tcMar>
              <w:top w:w="90" w:type="dxa"/>
              <w:bottom w:w="90" w:type="dxa"/>
              <w:left w:w="120" w:type="dxa"/>
              <w:right w:w="120" w:type="dxa"/>
            </w:tcMar>
          </w:tcPr>
          <w:p>
            <w:r>
              <w:rPr>
                <w:rFonts w:ascii="Calibri" w:hAnsi="Calibri"/>
                <w:color w:val="1E293B"/>
                <w:sz w:val="18"/>
              </w:rPr>
              <w:t>YES (Generates NOC)</w:t>
            </w:r>
          </w:p>
        </w:tc>
        <w:tc>
          <w:tcPr>
            <w:tcW w:type="dxa" w:w="1872"/>
            <w:shd w:fill="F8FAFC"/>
            <w:tcMar>
              <w:top w:w="90" w:type="dxa"/>
              <w:bottom w:w="90" w:type="dxa"/>
              <w:left w:w="120" w:type="dxa"/>
              <w:right w:w="120" w:type="dxa"/>
            </w:tcMar>
          </w:tcPr>
          <w:p>
            <w:r>
              <w:rPr>
                <w:rFonts w:ascii="Calibri" w:hAnsi="Calibri"/>
                <w:color w:val="1E293B"/>
                <w:sz w:val="18"/>
              </w:rPr>
              <w:t>NO</w:t>
            </w:r>
          </w:p>
        </w:tc>
      </w:tr>
      <w:tr>
        <w:tc>
          <w:tcPr>
            <w:tcW w:type="dxa" w:w="3600"/>
            <w:shd w:fill="FFFFFF"/>
            <w:tcMar>
              <w:top w:w="90" w:type="dxa"/>
              <w:bottom w:w="90" w:type="dxa"/>
              <w:left w:w="120" w:type="dxa"/>
              <w:right w:w="120" w:type="dxa"/>
            </w:tcMar>
          </w:tcPr>
          <w:p>
            <w:r>
              <w:rPr>
                <w:rFonts w:ascii="Calibri" w:hAnsi="Calibri"/>
                <w:color w:val="1E293B"/>
                <w:sz w:val="18"/>
              </w:rPr>
              <w:t>Import Legacy Excel Data / Backup</w:t>
            </w:r>
          </w:p>
        </w:tc>
        <w:tc>
          <w:tcPr>
            <w:tcW w:type="dxa" w:w="1872"/>
            <w:shd w:fill="FFFFFF"/>
            <w:tcMar>
              <w:top w:w="90" w:type="dxa"/>
              <w:bottom w:w="90" w:type="dxa"/>
              <w:left w:w="120" w:type="dxa"/>
              <w:right w:w="120" w:type="dxa"/>
            </w:tcMar>
          </w:tcPr>
          <w:p>
            <w:r>
              <w:rPr>
                <w:rFonts w:ascii="Calibri" w:hAnsi="Calibri"/>
                <w:color w:val="1E293B"/>
                <w:sz w:val="18"/>
              </w:rPr>
              <w:t>NO</w:t>
            </w:r>
          </w:p>
        </w:tc>
        <w:tc>
          <w:tcPr>
            <w:tcW w:type="dxa" w:w="2016"/>
            <w:shd w:fill="FFFFFF"/>
            <w:tcMar>
              <w:top w:w="90" w:type="dxa"/>
              <w:bottom w:w="90" w:type="dxa"/>
              <w:left w:w="120" w:type="dxa"/>
              <w:right w:w="120" w:type="dxa"/>
            </w:tcMar>
          </w:tcPr>
          <w:p>
            <w:r>
              <w:rPr>
                <w:rFonts w:ascii="Calibri" w:hAnsi="Calibri"/>
                <w:color w:val="1E293B"/>
                <w:sz w:val="18"/>
              </w:rPr>
              <w:t>YES (Superuser Only)</w:t>
            </w:r>
          </w:p>
        </w:tc>
        <w:tc>
          <w:tcPr>
            <w:tcW w:type="dxa" w:w="1872"/>
            <w:shd w:fill="FFFFFF"/>
            <w:tcMar>
              <w:top w:w="90" w:type="dxa"/>
              <w:bottom w:w="90" w:type="dxa"/>
              <w:left w:w="120" w:type="dxa"/>
              <w:right w:w="120" w:type="dxa"/>
            </w:tcMar>
          </w:tcPr>
          <w:p>
            <w:r>
              <w:rPr>
                <w:rFonts w:ascii="Calibri" w:hAnsi="Calibri"/>
                <w:color w:val="1E293B"/>
                <w:sz w:val="18"/>
              </w:rPr>
              <w:t>YES (Export Backup)</w:t>
            </w:r>
          </w:p>
        </w:tc>
      </w:tr>
      <w:tr>
        <w:tc>
          <w:tcPr>
            <w:tcW w:type="dxa" w:w="3600"/>
            <w:shd w:fill="F8FAFC"/>
            <w:tcMar>
              <w:top w:w="90" w:type="dxa"/>
              <w:bottom w:w="90" w:type="dxa"/>
              <w:left w:w="120" w:type="dxa"/>
              <w:right w:w="120" w:type="dxa"/>
            </w:tcMar>
          </w:tcPr>
          <w:p>
            <w:r>
              <w:rPr>
                <w:rFonts w:ascii="Calibri" w:hAnsi="Calibri"/>
                <w:color w:val="1E293B"/>
                <w:sz w:val="18"/>
              </w:rPr>
              <w:t>View Executive Profit &amp; Capital KPIs</w:t>
            </w:r>
          </w:p>
        </w:tc>
        <w:tc>
          <w:tcPr>
            <w:tcW w:type="dxa" w:w="1872"/>
            <w:shd w:fill="F8FAFC"/>
            <w:tcMar>
              <w:top w:w="90" w:type="dxa"/>
              <w:bottom w:w="90" w:type="dxa"/>
              <w:left w:w="120" w:type="dxa"/>
              <w:right w:w="120" w:type="dxa"/>
            </w:tcMar>
          </w:tcPr>
          <w:p>
            <w:r>
              <w:rPr>
                <w:rFonts w:ascii="Calibri" w:hAnsi="Calibri"/>
                <w:color w:val="1E293B"/>
                <w:sz w:val="18"/>
              </w:rPr>
              <w:t>NO (Field Metrics Only)</w:t>
            </w:r>
          </w:p>
        </w:tc>
        <w:tc>
          <w:tcPr>
            <w:tcW w:type="dxa" w:w="2016"/>
            <w:shd w:fill="F8FAFC"/>
            <w:tcMar>
              <w:top w:w="90" w:type="dxa"/>
              <w:bottom w:w="90" w:type="dxa"/>
              <w:left w:w="120" w:type="dxa"/>
              <w:right w:w="120" w:type="dxa"/>
            </w:tcMar>
          </w:tcPr>
          <w:p>
            <w:r>
              <w:rPr>
                <w:rFonts w:ascii="Calibri" w:hAnsi="Calibri"/>
                <w:color w:val="1E293B"/>
                <w:sz w:val="18"/>
              </w:rPr>
              <w:t>YES (Full Portfolio KPIs)</w:t>
            </w:r>
          </w:p>
        </w:tc>
        <w:tc>
          <w:tcPr>
            <w:tcW w:type="dxa" w:w="1872"/>
            <w:shd w:fill="F8FAFC"/>
            <w:tcMar>
              <w:top w:w="90" w:type="dxa"/>
              <w:bottom w:w="90" w:type="dxa"/>
              <w:left w:w="120" w:type="dxa"/>
              <w:right w:w="120" w:type="dxa"/>
            </w:tcMar>
          </w:tcPr>
          <w:p>
            <w:r>
              <w:rPr>
                <w:rFonts w:ascii="Calibri" w:hAnsi="Calibri"/>
                <w:color w:val="1E293B"/>
                <w:sz w:val="18"/>
              </w:rPr>
              <w:t>YES</w:t>
            </w:r>
          </w:p>
        </w:tc>
      </w:tr>
    </w:tbl>
    <w:p>
      <w:pPr>
        <w:spacing w:before="0" w:after="120"/>
      </w:pPr>
    </w:p>
    <w:p>
      <w:pPr>
        <w:pStyle w:val="Heading1"/>
        <w:keepNext/>
        <w:spacing w:before="360" w:after="120"/>
      </w:pPr>
      <w:r>
        <w:rPr>
          <w:rFonts w:ascii="Calibri" w:hAnsi="Calibri"/>
          <w:b/>
          <w:color w:val="0F172A"/>
          <w:sz w:val="32"/>
        </w:rPr>
        <w:t>3. Customer Instalment Collections (Field Workhorse)</w:t>
      </w:r>
    </w:p>
    <w:p>
      <w:pPr>
        <w:spacing w:after="160"/>
      </w:pPr>
      <w:r>
        <w:t>The Customer Instalments screen is the operational center of JSR Finance. It provides a dense, responsive grid displaying all customers organized by area route, loan number, and repayment progress. Field agents can operate this screen rapidly on smartphones, tablets, or desktop computers.</w:t>
      </w:r>
    </w:p>
    <w:p>
      <w:pPr>
        <w:keepNext/>
        <w:spacing w:before="160" w:after="40"/>
        <w:jc w:val="center"/>
      </w:pPr>
      <w:r>
        <w:drawing>
          <wp:inline xmlns:a="http://schemas.openxmlformats.org/drawingml/2006/main" xmlns:pic="http://schemas.openxmlformats.org/drawingml/2006/picture">
            <wp:extent cx="5669280" cy="9392389"/>
            <wp:docPr id="3" name="Picture 3"/>
            <wp:cNvGraphicFramePr>
              <a:graphicFrameLocks noChangeAspect="1"/>
            </wp:cNvGraphicFramePr>
            <a:graphic>
              <a:graphicData uri="http://schemas.openxmlformats.org/drawingml/2006/picture">
                <pic:pic>
                  <pic:nvPicPr>
                    <pic:cNvPr id="0" name="instalments_screen_verified.png"/>
                    <pic:cNvPicPr/>
                  </pic:nvPicPr>
                  <pic:blipFill>
                    <a:blip r:embed="rId12"/>
                    <a:stretch>
                      <a:fillRect/>
                    </a:stretch>
                  </pic:blipFill>
                  <pic:spPr>
                    <a:xfrm>
                      <a:off x="0" y="0"/>
                      <a:ext cx="5669280" cy="9392389"/>
                    </a:xfrm>
                    <a:prstGeom prst="rect"/>
                  </pic:spPr>
                </pic:pic>
              </a:graphicData>
            </a:graphic>
          </wp:inline>
        </w:drawing>
      </w:r>
    </w:p>
    <w:p>
      <w:pPr>
        <w:spacing w:before="40" w:after="200"/>
        <w:jc w:val="center"/>
      </w:pPr>
      <w:r>
        <w:rPr>
          <w:rFonts w:ascii="Calibri" w:hAnsi="Calibri"/>
          <w:i/>
          <w:color w:val="64748B"/>
          <w:sz w:val="17"/>
        </w:rPr>
        <w:t>Figure 2: Customer Instalment Matrix featuring 52-Week &amp; 100-Day Repayment Schedules</w:t>
      </w:r>
    </w:p>
    <w:p>
      <w:pPr>
        <w:pStyle w:val="Heading2"/>
        <w:keepNext/>
        <w:spacing w:before="280" w:after="80"/>
      </w:pPr>
      <w:r>
        <w:rPr>
          <w:rFonts w:ascii="Calibri" w:hAnsi="Calibri"/>
          <w:b/>
          <w:color w:val="1E3A8A"/>
          <w:sz w:val="26"/>
        </w:rPr>
        <w:t>Key Operational Workflow on the Collection Screen</w:t>
      </w:r>
    </w:p>
    <w:p>
      <w:pPr>
        <w:spacing w:after="80"/>
        <w:ind w:left="288"/>
      </w:pPr>
      <w:r>
        <w:rPr>
          <w:b/>
          <w:color w:val="1E3A8A"/>
        </w:rPr>
        <w:t xml:space="preserve">Step Instant Customer Lookup: </w:t>
      </w:r>
      <w:r>
        <w:t>Agents use the persistent header search box to find borrowers instantly by typing customer number (#18), full name ('Mahadeva'), mobile phone, or street/area name.</w:t>
      </w:r>
    </w:p>
    <w:p>
      <w:pPr>
        <w:spacing w:after="80"/>
        <w:ind w:left="288"/>
      </w:pPr>
      <w:r>
        <w:rPr>
          <w:b/>
          <w:color w:val="1E3A8A"/>
        </w:rPr>
        <w:t xml:space="preserve">Step 1-Tap Full Instalment Collection: </w:t>
      </w:r>
      <w:r>
        <w:t>Tapping any pending blue square instantly records the collection, sets the timestamp, generates a unique receipt number, updates the borrower's balance, and increments Today's Collection summary.</w:t>
      </w:r>
    </w:p>
    <w:p>
      <w:pPr>
        <w:spacing w:after="80"/>
        <w:ind w:left="288"/>
      </w:pPr>
      <w:r>
        <w:rPr>
          <w:b/>
          <w:color w:val="1E3A8A"/>
        </w:rPr>
        <w:t xml:space="preserve">Step Partial Payment Recording: </w:t>
      </w:r>
      <w:r>
        <w:t>If a borrower cannot pay the full instalment (e.g. pays ₹100 out of ₹200 due), the officer taps '½ Partial Payment'. The dialog captures the exact amount collected and visibly tracks the pending remainder on the schedule box without ledger drift.</w:t>
      </w:r>
    </w:p>
    <w:p>
      <w:pPr>
        <w:spacing w:after="80"/>
        <w:ind w:left="288"/>
      </w:pPr>
      <w:r>
        <w:rPr>
          <w:b/>
          <w:color w:val="1E3A8A"/>
        </w:rPr>
        <w:t xml:space="preserve">Step Accidental Touch Guard &amp; Undo: </w:t>
      </w:r>
      <w:r>
        <w:t>Tapping a previously paid box prompts an audited Undo confirmation dialog, preventing accidental double-entries or inadvertent data modifications while riding in field conditions.</w:t>
      </w:r>
    </w:p>
    <w:p>
      <w:pPr>
        <w:spacing w:after="80"/>
        <w:ind w:left="288"/>
      </w:pPr>
      <w:r>
        <w:rPr>
          <w:b/>
          <w:color w:val="1E3A8A"/>
        </w:rPr>
        <w:t xml:space="preserve">Step Today's Collection Totalizer: </w:t>
      </w:r>
      <w:r>
        <w:t>The persistent floating counter at the top right displays the running total cash collected today, providing instant cash-in-hand reconciliation at the end of each field route.</w:t>
      </w:r>
    </w:p>
    <w:p>
      <w:pPr>
        <w:keepNext/>
        <w:spacing w:before="160" w:after="40"/>
        <w:jc w:val="center"/>
      </w:pPr>
      <w:r>
        <w:drawing>
          <wp:inline xmlns:a="http://schemas.openxmlformats.org/drawingml/2006/main" xmlns:pic="http://schemas.openxmlformats.org/drawingml/2006/picture">
            <wp:extent cx="5669280" cy="3386318"/>
            <wp:docPr id="4" name="Picture 4"/>
            <wp:cNvGraphicFramePr>
              <a:graphicFrameLocks noChangeAspect="1"/>
            </wp:cNvGraphicFramePr>
            <a:graphic>
              <a:graphicData uri="http://schemas.openxmlformats.org/drawingml/2006/picture">
                <pic:pic>
                  <pic:nvPicPr>
                    <pic:cNvPr id="0" name="partial_payment_verified.png"/>
                    <pic:cNvPicPr/>
                  </pic:nvPicPr>
                  <pic:blipFill>
                    <a:blip r:embed="rId13"/>
                    <a:stretch>
                      <a:fillRect/>
                    </a:stretch>
                  </pic:blipFill>
                  <pic:spPr>
                    <a:xfrm>
                      <a:off x="0" y="0"/>
                      <a:ext cx="5669280" cy="3386318"/>
                    </a:xfrm>
                    <a:prstGeom prst="rect"/>
                  </pic:spPr>
                </pic:pic>
              </a:graphicData>
            </a:graphic>
          </wp:inline>
        </w:drawing>
      </w:r>
    </w:p>
    <w:p>
      <w:pPr>
        <w:spacing w:before="40" w:after="200"/>
        <w:jc w:val="center"/>
      </w:pPr>
      <w:r>
        <w:rPr>
          <w:rFonts w:ascii="Calibri" w:hAnsi="Calibri"/>
          <w:i/>
          <w:color w:val="64748B"/>
          <w:sz w:val="17"/>
        </w:rPr>
        <w:t>Figure 3: Partial Payment Modal Dialog with Real-Time Remaining Balance Calculation</w:t>
      </w:r>
    </w:p>
    <w:p>
      <w:pPr>
        <w:keepNext/>
        <w:spacing w:before="160" w:after="40"/>
        <w:jc w:val="center"/>
      </w:pPr>
      <w:r>
        <w:drawing>
          <wp:inline xmlns:a="http://schemas.openxmlformats.org/drawingml/2006/main" xmlns:pic="http://schemas.openxmlformats.org/drawingml/2006/picture">
            <wp:extent cx="5669280" cy="6463527"/>
            <wp:docPr id="5" name="Picture 5"/>
            <wp:cNvGraphicFramePr>
              <a:graphicFrameLocks noChangeAspect="1"/>
            </wp:cNvGraphicFramePr>
            <a:graphic>
              <a:graphicData uri="http://schemas.openxmlformats.org/drawingml/2006/picture">
                <pic:pic>
                  <pic:nvPicPr>
                    <pic:cNvPr id="0" name="loans_tooltip_summary_verified.png"/>
                    <pic:cNvPicPr/>
                  </pic:nvPicPr>
                  <pic:blipFill>
                    <a:blip r:embed="rId14"/>
                    <a:stretch>
                      <a:fillRect/>
                    </a:stretch>
                  </pic:blipFill>
                  <pic:spPr>
                    <a:xfrm>
                      <a:off x="0" y="0"/>
                      <a:ext cx="5669280" cy="6463527"/>
                    </a:xfrm>
                    <a:prstGeom prst="rect"/>
                  </pic:spPr>
                </pic:pic>
              </a:graphicData>
            </a:graphic>
          </wp:inline>
        </w:drawing>
      </w:r>
    </w:p>
    <w:p>
      <w:pPr>
        <w:spacing w:before="40" w:after="200"/>
        <w:jc w:val="center"/>
      </w:pPr>
      <w:r>
        <w:rPr>
          <w:rFonts w:ascii="Calibri" w:hAnsi="Calibri"/>
          <w:i/>
          <w:color w:val="64748B"/>
          <w:sz w:val="17"/>
        </w:rPr>
        <w:t>Figure 4: Multi-Loan Popover Breakdown (L1 + L2) with Combined Financial Exposure</w:t>
      </w:r>
    </w:p>
    <w:p>
      <w:pPr>
        <w:pStyle w:val="Heading1"/>
        <w:keepNext/>
        <w:spacing w:before="360" w:after="120"/>
      </w:pPr>
      <w:r>
        <w:rPr>
          <w:rFonts w:ascii="Calibri" w:hAnsi="Calibri"/>
          <w:b/>
          <w:color w:val="0F172A"/>
          <w:sz w:val="32"/>
        </w:rPr>
        <w:t>4. Customer Master &amp; Loan Lifecycle Operations</w:t>
      </w:r>
    </w:p>
    <w:p>
      <w:pPr>
        <w:spacing w:after="160"/>
      </w:pPr>
      <w:r>
        <w:t>The Customer Master module enables branch managers and administrators to register new borrowers, configure loan plans, issue repeat loans (Loan #2 / L2), inspect credit health ratings, and manage repayment routes. The system supports both standard 52-Week microloans and 100-Day fast-turnaround daily products.</w:t>
      </w:r>
    </w:p>
    <w:p>
      <w:pPr>
        <w:keepNext/>
        <w:spacing w:before="160" w:after="40"/>
        <w:jc w:val="center"/>
      </w:pPr>
      <w:r>
        <w:drawing>
          <wp:inline xmlns:a="http://schemas.openxmlformats.org/drawingml/2006/main" xmlns:pic="http://schemas.openxmlformats.org/drawingml/2006/picture">
            <wp:extent cx="5669280" cy="3204895"/>
            <wp:docPr id="6" name="Picture 6"/>
            <wp:cNvGraphicFramePr>
              <a:graphicFrameLocks noChangeAspect="1"/>
            </wp:cNvGraphicFramePr>
            <a:graphic>
              <a:graphicData uri="http://schemas.openxmlformats.org/drawingml/2006/picture">
                <pic:pic>
                  <pic:nvPicPr>
                    <pic:cNvPr id="0" name="customer_filters_verified_desktop.png"/>
                    <pic:cNvPicPr/>
                  </pic:nvPicPr>
                  <pic:blipFill>
                    <a:blip r:embed="rId15"/>
                    <a:stretch>
                      <a:fillRect/>
                    </a:stretch>
                  </pic:blipFill>
                  <pic:spPr>
                    <a:xfrm>
                      <a:off x="0" y="0"/>
                      <a:ext cx="5669280" cy="3204895"/>
                    </a:xfrm>
                    <a:prstGeom prst="rect"/>
                  </pic:spPr>
                </pic:pic>
              </a:graphicData>
            </a:graphic>
          </wp:inline>
        </w:drawing>
      </w:r>
    </w:p>
    <w:p>
      <w:pPr>
        <w:spacing w:before="40" w:after="200"/>
        <w:jc w:val="center"/>
      </w:pPr>
      <w:r>
        <w:rPr>
          <w:rFonts w:ascii="Calibri" w:hAnsi="Calibri"/>
          <w:i/>
          <w:color w:val="64748B"/>
          <w:sz w:val="17"/>
        </w:rPr>
        <w:t>Figure 5: Customer Master Screen with Route Filtering, Sorting &amp; Pro Action Buttons</w:t>
      </w:r>
    </w:p>
    <w:p>
      <w:pPr>
        <w:pStyle w:val="Heading2"/>
        <w:keepNext/>
        <w:spacing w:before="280" w:after="80"/>
      </w:pPr>
      <w:r>
        <w:rPr>
          <w:rFonts w:ascii="Calibri" w:hAnsi="Calibri"/>
          <w:b/>
          <w:color w:val="1E3A8A"/>
          <w:sz w:val="26"/>
        </w:rPr>
        <w:t>Microfinance Accounting Equations &amp; Invariants</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c>
          <w:tcPr>
            <w:tcW w:type="dxa" w:w="2592"/>
            <w:shd w:fill="1E3A8A"/>
            <w:tcMar>
              <w:top w:w="120" w:type="dxa"/>
              <w:bottom w:w="120" w:type="dxa"/>
              <w:left w:w="140" w:type="dxa"/>
              <w:right w:w="140" w:type="dxa"/>
            </w:tcMar>
          </w:tcPr>
          <w:p>
            <w:pPr>
              <w:jc w:val="center"/>
            </w:pPr>
            <w:r>
              <w:rPr>
                <w:rFonts w:ascii="Calibri" w:hAnsi="Calibri"/>
                <w:b/>
                <w:color w:val="FFFFFF"/>
                <w:sz w:val="19"/>
              </w:rPr>
              <w:t>Financial Metric</w:t>
            </w:r>
          </w:p>
        </w:tc>
        <w:tc>
          <w:tcPr>
            <w:tcW w:type="dxa" w:w="3600"/>
            <w:shd w:fill="1E3A8A"/>
            <w:tcMar>
              <w:top w:w="120" w:type="dxa"/>
              <w:bottom w:w="120" w:type="dxa"/>
              <w:left w:w="140" w:type="dxa"/>
              <w:right w:w="140" w:type="dxa"/>
            </w:tcMar>
          </w:tcPr>
          <w:p>
            <w:pPr>
              <w:jc w:val="center"/>
            </w:pPr>
            <w:r>
              <w:rPr>
                <w:rFonts w:ascii="Calibri" w:hAnsi="Calibri"/>
                <w:b/>
                <w:color w:val="FFFFFF"/>
                <w:sz w:val="19"/>
              </w:rPr>
              <w:t>Mathematical Formula</w:t>
            </w:r>
          </w:p>
        </w:tc>
        <w:tc>
          <w:tcPr>
            <w:tcW w:type="dxa" w:w="3168"/>
            <w:shd w:fill="1E3A8A"/>
            <w:tcMar>
              <w:top w:w="120" w:type="dxa"/>
              <w:bottom w:w="120" w:type="dxa"/>
              <w:left w:w="140" w:type="dxa"/>
              <w:right w:w="140" w:type="dxa"/>
            </w:tcMar>
          </w:tcPr>
          <w:p>
            <w:pPr>
              <w:jc w:val="center"/>
            </w:pPr>
            <w:r>
              <w:rPr>
                <w:rFonts w:ascii="Calibri" w:hAnsi="Calibri"/>
                <w:b/>
                <w:color w:val="FFFFFF"/>
                <w:sz w:val="19"/>
              </w:rPr>
              <w:t>Business Significance</w:t>
            </w:r>
          </w:p>
        </w:tc>
      </w:tr>
      <w:tr>
        <w:tc>
          <w:tcPr>
            <w:tcW w:type="dxa" w:w="2592"/>
            <w:shd w:fill="FFFFFF"/>
            <w:tcMar>
              <w:top w:w="90" w:type="dxa"/>
              <w:bottom w:w="90" w:type="dxa"/>
              <w:left w:w="120" w:type="dxa"/>
              <w:right w:w="120" w:type="dxa"/>
            </w:tcMar>
          </w:tcPr>
          <w:p>
            <w:r>
              <w:rPr>
                <w:rFonts w:ascii="Calibri" w:hAnsi="Calibri"/>
                <w:color w:val="1E293B"/>
                <w:sz w:val="18"/>
              </w:rPr>
              <w:t>Total Contracted Repayable</w:t>
            </w:r>
          </w:p>
        </w:tc>
        <w:tc>
          <w:tcPr>
            <w:tcW w:type="dxa" w:w="3600"/>
            <w:shd w:fill="FFFFFF"/>
            <w:tcMar>
              <w:top w:w="90" w:type="dxa"/>
              <w:bottom w:w="90" w:type="dxa"/>
              <w:left w:w="120" w:type="dxa"/>
              <w:right w:w="120" w:type="dxa"/>
            </w:tcMar>
          </w:tcPr>
          <w:p>
            <w:r>
              <w:rPr>
                <w:rFonts w:ascii="Calibri" w:hAnsi="Calibri"/>
                <w:color w:val="1E293B"/>
                <w:sz w:val="18"/>
              </w:rPr>
              <w:t>Total = Instalments × Instalment Amount</w:t>
            </w:r>
          </w:p>
        </w:tc>
        <w:tc>
          <w:tcPr>
            <w:tcW w:type="dxa" w:w="3168"/>
            <w:shd w:fill="FFFFFF"/>
            <w:tcMar>
              <w:top w:w="90" w:type="dxa"/>
              <w:bottom w:w="90" w:type="dxa"/>
              <w:left w:w="120" w:type="dxa"/>
              <w:right w:w="120" w:type="dxa"/>
            </w:tcMar>
          </w:tcPr>
          <w:p>
            <w:r>
              <w:rPr>
                <w:rFonts w:ascii="Calibri" w:hAnsi="Calibri"/>
                <w:color w:val="1E293B"/>
                <w:sz w:val="18"/>
              </w:rPr>
              <w:t>Contracted obligation (e.g. 52 weeks × ₹200 = ₹10,400).</w:t>
            </w:r>
          </w:p>
        </w:tc>
      </w:tr>
      <w:tr>
        <w:tc>
          <w:tcPr>
            <w:tcW w:type="dxa" w:w="2592"/>
            <w:shd w:fill="F8FAFC"/>
            <w:tcMar>
              <w:top w:w="90" w:type="dxa"/>
              <w:bottom w:w="90" w:type="dxa"/>
              <w:left w:w="120" w:type="dxa"/>
              <w:right w:w="120" w:type="dxa"/>
            </w:tcMar>
          </w:tcPr>
          <w:p>
            <w:r>
              <w:rPr>
                <w:rFonts w:ascii="Calibri" w:hAnsi="Calibri"/>
                <w:color w:val="1E293B"/>
                <w:sz w:val="18"/>
              </w:rPr>
              <w:t>Expected Profit</w:t>
            </w:r>
          </w:p>
        </w:tc>
        <w:tc>
          <w:tcPr>
            <w:tcW w:type="dxa" w:w="3600"/>
            <w:shd w:fill="F8FAFC"/>
            <w:tcMar>
              <w:top w:w="90" w:type="dxa"/>
              <w:bottom w:w="90" w:type="dxa"/>
              <w:left w:w="120" w:type="dxa"/>
              <w:right w:w="120" w:type="dxa"/>
            </w:tcMar>
          </w:tcPr>
          <w:p>
            <w:r>
              <w:rPr>
                <w:rFonts w:ascii="Calibri" w:hAnsi="Calibri"/>
                <w:color w:val="1E293B"/>
                <w:sz w:val="18"/>
              </w:rPr>
              <w:t>Profit = Total Repayable − Disbursed Principal</w:t>
            </w:r>
          </w:p>
        </w:tc>
        <w:tc>
          <w:tcPr>
            <w:tcW w:type="dxa" w:w="3168"/>
            <w:shd w:fill="F8FAFC"/>
            <w:tcMar>
              <w:top w:w="90" w:type="dxa"/>
              <w:bottom w:w="90" w:type="dxa"/>
              <w:left w:w="120" w:type="dxa"/>
              <w:right w:w="120" w:type="dxa"/>
            </w:tcMar>
          </w:tcPr>
          <w:p>
            <w:r>
              <w:rPr>
                <w:rFonts w:ascii="Calibri" w:hAnsi="Calibri"/>
                <w:color w:val="1E293B"/>
                <w:sz w:val="18"/>
              </w:rPr>
              <w:t>Gross interest margin agreed upon disbursement (e.g. ₹10,400 − ₹10,000 = ₹400).</w:t>
            </w:r>
          </w:p>
        </w:tc>
      </w:tr>
      <w:tr>
        <w:tc>
          <w:tcPr>
            <w:tcW w:type="dxa" w:w="2592"/>
            <w:shd w:fill="FFFFFF"/>
            <w:tcMar>
              <w:top w:w="90" w:type="dxa"/>
              <w:bottom w:w="90" w:type="dxa"/>
              <w:left w:w="120" w:type="dxa"/>
              <w:right w:w="120" w:type="dxa"/>
            </w:tcMar>
          </w:tcPr>
          <w:p>
            <w:r>
              <w:rPr>
                <w:rFonts w:ascii="Calibri" w:hAnsi="Calibri"/>
                <w:color w:val="1E293B"/>
                <w:sz w:val="18"/>
              </w:rPr>
              <w:t>Profit Percentage Margin</w:t>
            </w:r>
          </w:p>
        </w:tc>
        <w:tc>
          <w:tcPr>
            <w:tcW w:type="dxa" w:w="3600"/>
            <w:shd w:fill="FFFFFF"/>
            <w:tcMar>
              <w:top w:w="90" w:type="dxa"/>
              <w:bottom w:w="90" w:type="dxa"/>
              <w:left w:w="120" w:type="dxa"/>
              <w:right w:w="120" w:type="dxa"/>
            </w:tcMar>
          </w:tcPr>
          <w:p>
            <w:r>
              <w:rPr>
                <w:rFonts w:ascii="Calibri" w:hAnsi="Calibri"/>
                <w:color w:val="1E293B"/>
                <w:sz w:val="18"/>
              </w:rPr>
              <w:t>Margin % = (Expected Profit / Disbursed Principal) × 100</w:t>
            </w:r>
          </w:p>
        </w:tc>
        <w:tc>
          <w:tcPr>
            <w:tcW w:type="dxa" w:w="3168"/>
            <w:shd w:fill="FFFFFF"/>
            <w:tcMar>
              <w:top w:w="90" w:type="dxa"/>
              <w:bottom w:w="90" w:type="dxa"/>
              <w:left w:w="120" w:type="dxa"/>
              <w:right w:w="120" w:type="dxa"/>
            </w:tcMar>
          </w:tcPr>
          <w:p>
            <w:r>
              <w:rPr>
                <w:rFonts w:ascii="Calibri" w:hAnsi="Calibri"/>
                <w:color w:val="1E293B"/>
                <w:sz w:val="18"/>
              </w:rPr>
              <w:t>Configurable pricing parameter (default 4.0% per standard cycle).</w:t>
            </w:r>
          </w:p>
        </w:tc>
      </w:tr>
      <w:tr>
        <w:tc>
          <w:tcPr>
            <w:tcW w:type="dxa" w:w="2592"/>
            <w:shd w:fill="F8FAFC"/>
            <w:tcMar>
              <w:top w:w="90" w:type="dxa"/>
              <w:bottom w:w="90" w:type="dxa"/>
              <w:left w:w="120" w:type="dxa"/>
              <w:right w:w="120" w:type="dxa"/>
            </w:tcMar>
          </w:tcPr>
          <w:p>
            <w:r>
              <w:rPr>
                <w:rFonts w:ascii="Calibri" w:hAnsi="Calibri"/>
                <w:color w:val="1E293B"/>
                <w:sz w:val="18"/>
              </w:rPr>
              <w:t>Realized Profit to Date</w:t>
            </w:r>
          </w:p>
        </w:tc>
        <w:tc>
          <w:tcPr>
            <w:tcW w:type="dxa" w:w="3600"/>
            <w:shd w:fill="F8FAFC"/>
            <w:tcMar>
              <w:top w:w="90" w:type="dxa"/>
              <w:bottom w:w="90" w:type="dxa"/>
              <w:left w:w="120" w:type="dxa"/>
              <w:right w:w="120" w:type="dxa"/>
            </w:tcMar>
          </w:tcPr>
          <w:p>
            <w:r>
              <w:rPr>
                <w:rFonts w:ascii="Calibri" w:hAnsi="Calibri"/>
                <w:color w:val="1E293B"/>
                <w:sz w:val="18"/>
              </w:rPr>
              <w:t>Earned = Total Collected × (Expected Profit / Total Repayable)</w:t>
            </w:r>
          </w:p>
        </w:tc>
        <w:tc>
          <w:tcPr>
            <w:tcW w:type="dxa" w:w="3168"/>
            <w:shd w:fill="F8FAFC"/>
            <w:tcMar>
              <w:top w:w="90" w:type="dxa"/>
              <w:bottom w:w="90" w:type="dxa"/>
              <w:left w:w="120" w:type="dxa"/>
              <w:right w:w="120" w:type="dxa"/>
            </w:tcMar>
          </w:tcPr>
          <w:p>
            <w:r>
              <w:rPr>
                <w:rFonts w:ascii="Calibri" w:hAnsi="Calibri"/>
                <w:color w:val="1E293B"/>
                <w:sz w:val="18"/>
              </w:rPr>
              <w:t>Proportional recognition: prevents booking unearned interest in advance.</w:t>
            </w:r>
          </w:p>
        </w:tc>
      </w:tr>
      <w:tr>
        <w:tc>
          <w:tcPr>
            <w:tcW w:type="dxa" w:w="2592"/>
            <w:shd w:fill="FFFFFF"/>
            <w:tcMar>
              <w:top w:w="90" w:type="dxa"/>
              <w:bottom w:w="90" w:type="dxa"/>
              <w:left w:w="120" w:type="dxa"/>
              <w:right w:w="120" w:type="dxa"/>
            </w:tcMar>
          </w:tcPr>
          <w:p>
            <w:r>
              <w:rPr>
                <w:rFonts w:ascii="Calibri" w:hAnsi="Calibri"/>
                <w:color w:val="1E293B"/>
                <w:sz w:val="18"/>
              </w:rPr>
              <w:t>Current Outstanding Balance</w:t>
            </w:r>
          </w:p>
        </w:tc>
        <w:tc>
          <w:tcPr>
            <w:tcW w:type="dxa" w:w="3600"/>
            <w:shd w:fill="FFFFFF"/>
            <w:tcMar>
              <w:top w:w="90" w:type="dxa"/>
              <w:bottom w:w="90" w:type="dxa"/>
              <w:left w:w="120" w:type="dxa"/>
              <w:right w:w="120" w:type="dxa"/>
            </w:tcMar>
          </w:tcPr>
          <w:p>
            <w:r>
              <w:rPr>
                <w:rFonts w:ascii="Calibri" w:hAnsi="Calibri"/>
                <w:color w:val="1E293B"/>
                <w:sz w:val="18"/>
              </w:rPr>
              <w:t>Balance = Total Repayable − Total Amount Collected</w:t>
            </w:r>
          </w:p>
        </w:tc>
        <w:tc>
          <w:tcPr>
            <w:tcW w:type="dxa" w:w="3168"/>
            <w:shd w:fill="FFFFFF"/>
            <w:tcMar>
              <w:top w:w="90" w:type="dxa"/>
              <w:bottom w:w="90" w:type="dxa"/>
              <w:left w:w="120" w:type="dxa"/>
              <w:right w:w="120" w:type="dxa"/>
            </w:tcMar>
          </w:tcPr>
          <w:p>
            <w:r>
              <w:rPr>
                <w:rFonts w:ascii="Calibri" w:hAnsi="Calibri"/>
                <w:color w:val="1E293B"/>
                <w:sz w:val="18"/>
              </w:rPr>
              <w:t>Actual debt remaining, down to the exact rupee with zero rounding drift.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792"/>
            <w:shd w:fill="FFFBEB"/>
            <w:tcMar>
              <w:top w:w="140" w:type="dxa"/>
              <w:bottom w:w="140" w:type="dxa"/>
              <w:left w:w="180" w:type="dxa"/>
              <w:right w:w="180" w:type="dxa"/>
            </w:tcMar>
            <w:tcBorders>
              <w:top w:val="none"/>
              <w:left w:val="single" w:sz="24" w:space="0" w:color="B45309"/>
              <w:bottom w:val="none"/>
              <w:right w:val="none"/>
            </w:tcBorders>
          </w:tcPr>
          <w:p>
            <w:pPr>
              <w:spacing w:before="40" w:after="40"/>
            </w:pPr>
            <w:r>
              <w:rPr>
                <w:rFonts w:ascii="Calibri" w:hAnsi="Calibri"/>
                <w:b/>
                <w:color w:val="1E3A8A"/>
                <w:sz w:val="20"/>
              </w:rPr>
              <w:t xml:space="preserve">[CRITICAL LEDGER INVARIANT] </w:t>
            </w:r>
            <w:r>
              <w:rPr>
                <w:rFonts w:ascii="Calibri" w:hAnsi="Calibri"/>
                <w:color w:val="1E293B"/>
                <w:sz w:val="19"/>
              </w:rPr>
              <w:t>Revision Floor Protection Guard: When editing a customer's loan term, the system automatically inspects the highest instalment number already collected. It strictly forbids reducing the loan term below previously collected instalments, permanently safeguarding against orphaned transactions or ledger corruption.</w:t>
            </w:r>
          </w:p>
        </w:tc>
      </w:tr>
    </w:tbl>
    <w:p>
      <w:pPr>
        <w:spacing w:before="0" w:after="120"/>
      </w:pPr>
    </w:p>
    <w:p>
      <w:pPr>
        <w:pStyle w:val="Heading1"/>
        <w:keepNext/>
        <w:spacing w:before="360" w:after="120"/>
      </w:pPr>
      <w:r>
        <w:rPr>
          <w:rFonts w:ascii="Calibri" w:hAnsi="Calibri"/>
          <w:b/>
          <w:color w:val="0F172A"/>
          <w:sz w:val="32"/>
        </w:rPr>
        <w:t>5. Enterprise Microfinance Pro Suite (6 Core Modules)</w:t>
      </w:r>
    </w:p>
    <w:p>
      <w:pPr>
        <w:spacing w:after="160"/>
      </w:pPr>
      <w:r>
        <w:t>To deliver a complete competitive advantage over legacy systems, JSR Finance includes 6 specialized Enterprise Microfinance Pro Modules designed for high field productivity, legal compliance, and credit risk control.</w:t>
      </w:r>
    </w:p>
    <w:p>
      <w:pPr>
        <w:pStyle w:val="Heading2"/>
        <w:keepNext/>
        <w:spacing w:before="280" w:after="80"/>
      </w:pPr>
      <w:r>
        <w:rPr>
          <w:rFonts w:ascii="Calibri" w:hAnsi="Calibri"/>
          <w:b/>
          <w:color w:val="1E3A8A"/>
          <w:sz w:val="26"/>
        </w:rPr>
        <w:t>Feature 1: 🪪 Borrower KYC Vault &amp; Camera Photo Capture</w:t>
      </w:r>
    </w:p>
    <w:p>
      <w:pPr>
        <w:spacing w:after="120"/>
      </w:pPr>
      <w:r>
        <w:t>• Mobile/Desktop Camera Capture: Field agents capture customer face photos directly from their smartphone camera.</w:t>
        <w:br/>
        <w:t>• Intelligent HTML5 Canvas Compression: Automatically downsamples high-resolution 5MB-10MB phone camera images to a crisp max 240px JPEG (~15KB–25KB data URL). This completely eliminates storage quota exhaustion in LocalStorage and Firestore.</w:t>
        <w:br/>
        <w:t>• Identity Document Upload: Securely attaches government IDs (Aadhaar Card, PAN Card, Voter ID, Ration Card) as JPEG, PNG, or PDF.</w:t>
        <w:br/>
        <w:t>• KYC Vault Viewer Modal (#modal-kyc-viewer): Dedicated inspection modal for field verification.</w:t>
      </w:r>
    </w:p>
    <w:p>
      <w:pPr>
        <w:pStyle w:val="Heading2"/>
        <w:keepNext/>
        <w:spacing w:before="280" w:after="80"/>
      </w:pPr>
      <w:r>
        <w:rPr>
          <w:rFonts w:ascii="Calibri" w:hAnsi="Calibri"/>
          <w:b/>
          <w:color w:val="1E3A8A"/>
          <w:sz w:val="26"/>
        </w:rPr>
        <w:t>Feature 2: 👥 Guarantor / Surety (Jameendar) Tracking &amp; 1-Tap Recovery</w:t>
      </w:r>
    </w:p>
    <w:p>
      <w:pPr>
        <w:spacing w:after="120"/>
      </w:pPr>
      <w:r>
        <w:t>• Surety Profile Registry: Records Guarantor Full Name, 10-digit Mobile Phone, Relationship, and Residential Address.</w:t>
        <w:br/>
        <w:t>• Automatic Multi-Loan Synchronization: Guarantor details are linked and synchronized across all subsequent loans (L1, L2, L3) of the borrower.</w:t>
        <w:br/>
        <w:t>• 1-Tap WhatsApp Default Notice: Generates a pre-formatted, polite but firm Hindi/English recovery message sent to the surety's WhatsApp with customer name, loan ID, missed instalment count, and overdue balance.</w:t>
        <w:br/>
        <w:t>• 1-Tap Phone Dialer: Direct call launcher for field collectors facing uncooperative borrowers.</w:t>
      </w:r>
    </w:p>
    <w:p>
      <w:pPr>
        <w:pStyle w:val="Heading2"/>
        <w:keepNext/>
        <w:spacing w:before="280" w:after="80"/>
      </w:pPr>
      <w:r>
        <w:rPr>
          <w:rFonts w:ascii="Calibri" w:hAnsi="Calibri"/>
          <w:b/>
          <w:color w:val="1E3A8A"/>
          <w:sz w:val="26"/>
        </w:rPr>
        <w:t>Feature 3: 🧾 Customer Loan Passbook &amp; Statement of Account</w:t>
      </w:r>
    </w:p>
    <w:p>
      <w:pPr>
        <w:spacing w:after="120"/>
      </w:pPr>
      <w:r>
        <w:t>• Formal Letterhead Presentation: Displays enterprise header, branch address, contact details, and timestamp.</w:t>
        <w:br/>
        <w:t>• Complete Borrower Profile: Incorporates customer photo thumbnail, credit health stars, KYC badge, and guarantor info.</w:t>
        <w:br/>
        <w:t>• Dual/Quad Column Chronological Ledger: Fits 52 weeks (2 columns × 26 rows) or 100 days (4 columns × 25 rows) onto a single A4 portrait page.</w:t>
        <w:br/>
        <w:t>• Tri-Signatory Legal Block: Signature lines for Customer, Field Agent, and Authorized Cashier / Manager.</w:t>
      </w:r>
    </w:p>
    <w:p>
      <w:pPr>
        <w:pStyle w:val="Heading2"/>
        <w:keepNext/>
        <w:spacing w:before="280" w:after="80"/>
      </w:pPr>
      <w:r>
        <w:rPr>
          <w:rFonts w:ascii="Calibri" w:hAnsi="Calibri"/>
          <w:b/>
          <w:color w:val="1E3A8A"/>
          <w:sz w:val="26"/>
        </w:rPr>
        <w:t>Feature 4: 🖨️ Pocket Bluetooth Thermal Printer (ESC/POS)</w:t>
      </w:r>
    </w:p>
    <w:p>
      <w:pPr>
        <w:spacing w:after="120"/>
      </w:pPr>
      <w:r>
        <w:t>• Native Web Bluetooth Engine: Directly pairs with 58mm/80mm Bluetooth pocket printers from mobile Chrome/Edge.</w:t>
        <w:br/>
        <w:t>• Binary ESC/POS Protocol: Generates binary command byte streams (0x1B, 0x40 Init; 0x1B, 0x61 Align; 0x1D, 0x21 Double-Height; 0x1D, 0x56 Cut).</w:t>
        <w:br/>
        <w:t>• 58mm Monospace Roll Preview: In-browser modal (#modal-thermal-slip) displaying company header, receipt #, and barcode.</w:t>
        <w:br/>
        <w:t>• Universal Browser Print Fallback: Allows instant printing via desktop USB thermal printers using @media print.</w:t>
      </w:r>
    </w:p>
    <w:p>
      <w:pPr>
        <w:pStyle w:val="Heading2"/>
        <w:keepNext/>
        <w:spacing w:before="280" w:after="80"/>
      </w:pPr>
      <w:r>
        <w:rPr>
          <w:rFonts w:ascii="Calibri" w:hAnsi="Calibri"/>
          <w:b/>
          <w:color w:val="1E3A8A"/>
          <w:sz w:val="26"/>
        </w:rPr>
        <w:t>Feature 5: 🤝 Early Loan Foreclosure &amp; Settlement Calculator with NOC</w:t>
      </w:r>
    </w:p>
    <w:p>
      <w:pPr>
        <w:spacing w:after="120"/>
      </w:pPr>
      <w:r>
        <w:t>• Settlement Dialog (#modal-loan-settlement): Displays Disbursed Principal, Total Paid, Balance Due, and dynamic Rebate calculation.</w:t>
        <w:br/>
        <w:t>• Append-Only Audit Transaction: Logs Foreclosure_Settlement with unique receipt number, setting balance to ₹0 while maintaining proportional accounting.</w:t>
        <w:br/>
        <w:t>• Official No Objection Certificate (#modal-noc): Formal parchment sheet with watermark, golden seal, unique NOC number, and debt clearance clause.</w:t>
        <w:br/>
        <w:t>• Instant WhatsApp Delivery: Share the NOC directly to the borrower's WhatsApp or print as a PDF certificate.</w:t>
      </w:r>
    </w:p>
    <w:p>
      <w:pPr>
        <w:pStyle w:val="Heading2"/>
        <w:keepNext/>
        <w:spacing w:before="280" w:after="80"/>
      </w:pPr>
      <w:r>
        <w:rPr>
          <w:rFonts w:ascii="Calibri" w:hAnsi="Calibri"/>
          <w:b/>
          <w:color w:val="1E3A8A"/>
          <w:sz w:val="26"/>
        </w:rPr>
        <w:t>Feature 6: ⭐ Borrower Credit Health Rating &amp; Next Loan Eligibility Engine</w:t>
      </w:r>
    </w:p>
    <w:p>
      <w:pPr>
        <w:spacing w:after="120"/>
      </w:pPr>
      <w:r>
        <w:t>• Algorithmic Scoring (1.0 to 5.0 Stars): Evaluates repayment punctuality, overdue count, and completed loan count.</w:t>
        <w:br/>
        <w:t>• Tier Categorization: Prime (4.5–5.0★, Green), Good (3.8–4.4★, Blue), Fair (3.0–3.7★, Amber), High Risk (&lt;3.0★, Red).</w:t>
        <w:br/>
        <w:t>• Next Loan Recommendation Engine: Recommends higher credit limits (e.g. +20% to +50%) when issuing Loan #2 to Prime borrowers.</w:t>
        <w:br/>
        <w:t>• 1-Click Apply: Recommendation banner in the customer modal with 1-tap apply button.</w:t>
      </w:r>
    </w:p>
    <w:p>
      <w:pPr>
        <w:pStyle w:val="Heading1"/>
        <w:keepNext/>
        <w:spacing w:before="360" w:after="120"/>
      </w:pPr>
      <w:r>
        <w:rPr>
          <w:rFonts w:ascii="Calibri" w:hAnsi="Calibri"/>
          <w:b/>
          <w:color w:val="0F172A"/>
          <w:sz w:val="32"/>
        </w:rPr>
        <w:t>6. Executive Analytics &amp; Follow-Up Intelligence</w:t>
      </w:r>
    </w:p>
    <w:p>
      <w:pPr>
        <w:spacing w:after="160"/>
      </w:pPr>
      <w:r>
        <w:t>The Analytics &amp; Insights dashboard provides the proprietor and branch managers with an aerial view of portfolio health, liquidity recovery, profitability, and field risk. Overdue accounts are automatically categorized, and follow-up accounts are actionable with 1-click navigation.</w:t>
      </w:r>
    </w:p>
    <w:p>
      <w:pPr>
        <w:keepNext/>
        <w:spacing w:before="160" w:after="40"/>
        <w:jc w:val="center"/>
      </w:pPr>
      <w:r>
        <w:drawing>
          <wp:inline xmlns:a="http://schemas.openxmlformats.org/drawingml/2006/main" xmlns:pic="http://schemas.openxmlformats.org/drawingml/2006/picture">
            <wp:extent cx="5669280" cy="2910230"/>
            <wp:docPr id="7" name="Picture 7"/>
            <wp:cNvGraphicFramePr>
              <a:graphicFrameLocks noChangeAspect="1"/>
            </wp:cNvGraphicFramePr>
            <a:graphic>
              <a:graphicData uri="http://schemas.openxmlformats.org/drawingml/2006/picture">
                <pic:pic>
                  <pic:nvPicPr>
                    <pic:cNvPr id="0" name="analytics_loan_status_and_followup_verified.png"/>
                    <pic:cNvPicPr/>
                  </pic:nvPicPr>
                  <pic:blipFill>
                    <a:blip r:embed="rId16"/>
                    <a:stretch>
                      <a:fillRect/>
                    </a:stretch>
                  </pic:blipFill>
                  <pic:spPr>
                    <a:xfrm>
                      <a:off x="0" y="0"/>
                      <a:ext cx="5669280" cy="2910230"/>
                    </a:xfrm>
                    <a:prstGeom prst="rect"/>
                  </pic:spPr>
                </pic:pic>
              </a:graphicData>
            </a:graphic>
          </wp:inline>
        </w:drawing>
      </w:r>
    </w:p>
    <w:p>
      <w:pPr>
        <w:spacing w:before="40" w:after="200"/>
        <w:jc w:val="center"/>
      </w:pPr>
      <w:r>
        <w:rPr>
          <w:rFonts w:ascii="Calibri" w:hAnsi="Calibri"/>
          <w:i/>
          <w:color w:val="64748B"/>
          <w:sz w:val="17"/>
        </w:rPr>
        <w:t>Figure 6: Executive Analytics Dashboard (Loan Status, Follow-Up Tiles &amp; Progress Tracks)</w:t>
      </w:r>
    </w:p>
    <w:p>
      <w:pPr>
        <w:keepNext/>
        <w:spacing w:before="160" w:after="40"/>
        <w:jc w:val="center"/>
      </w:pPr>
      <w:r>
        <w:drawing>
          <wp:inline xmlns:a="http://schemas.openxmlformats.org/drawingml/2006/main" xmlns:pic="http://schemas.openxmlformats.org/drawingml/2006/picture">
            <wp:extent cx="5669280" cy="2910230"/>
            <wp:docPr id="8" name="Picture 8"/>
            <wp:cNvGraphicFramePr>
              <a:graphicFrameLocks noChangeAspect="1"/>
            </wp:cNvGraphicFramePr>
            <a:graphic>
              <a:graphicData uri="http://schemas.openxmlformats.org/drawingml/2006/picture">
                <pic:pic>
                  <pic:nvPicPr>
                    <pic:cNvPr id="0" name="analytics_overdue_customers_verified.png"/>
                    <pic:cNvPicPr/>
                  </pic:nvPicPr>
                  <pic:blipFill>
                    <a:blip r:embed="rId17"/>
                    <a:stretch>
                      <a:fillRect/>
                    </a:stretch>
                  </pic:blipFill>
                  <pic:spPr>
                    <a:xfrm>
                      <a:off x="0" y="0"/>
                      <a:ext cx="5669280" cy="2910230"/>
                    </a:xfrm>
                    <a:prstGeom prst="rect"/>
                  </pic:spPr>
                </pic:pic>
              </a:graphicData>
            </a:graphic>
          </wp:inline>
        </w:drawing>
      </w:r>
    </w:p>
    <w:p>
      <w:pPr>
        <w:spacing w:before="40" w:after="200"/>
        <w:jc w:val="center"/>
      </w:pPr>
      <w:r>
        <w:rPr>
          <w:rFonts w:ascii="Calibri" w:hAnsi="Calibri"/>
          <w:i/>
          <w:color w:val="64748B"/>
          <w:sz w:val="17"/>
        </w:rPr>
        <w:t>Figure 7: Reconciled Follow-Up Customer Accounts List with 1-Tap Surety WhatsApp Recovery</w:t>
      </w:r>
    </w:p>
    <w:p>
      <w:pPr>
        <w:pStyle w:val="Heading2"/>
        <w:keepNext/>
        <w:spacing w:before="280" w:after="80"/>
      </w:pPr>
      <w:r>
        <w:rPr>
          <w:rFonts w:ascii="Calibri" w:hAnsi="Calibri"/>
          <w:b/>
          <w:color w:val="1E3A8A"/>
          <w:sz w:val="26"/>
        </w:rPr>
        <w:t>Dashboard Analytics KPIs Defined</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c>
          <w:tcPr>
            <w:tcW w:type="dxa" w:w="2880"/>
            <w:shd w:fill="1E3A8A"/>
            <w:tcMar>
              <w:top w:w="120" w:type="dxa"/>
              <w:bottom w:w="120" w:type="dxa"/>
              <w:left w:w="140" w:type="dxa"/>
              <w:right w:w="140" w:type="dxa"/>
            </w:tcMar>
          </w:tcPr>
          <w:p>
            <w:pPr>
              <w:jc w:val="center"/>
            </w:pPr>
            <w:r>
              <w:rPr>
                <w:rFonts w:ascii="Calibri" w:hAnsi="Calibri"/>
                <w:b/>
                <w:color w:val="FFFFFF"/>
                <w:sz w:val="19"/>
              </w:rPr>
              <w:t>Dashboard Metric</w:t>
            </w:r>
          </w:p>
        </w:tc>
        <w:tc>
          <w:tcPr>
            <w:tcW w:type="dxa" w:w="3312"/>
            <w:shd w:fill="1E3A8A"/>
            <w:tcMar>
              <w:top w:w="120" w:type="dxa"/>
              <w:bottom w:w="120" w:type="dxa"/>
              <w:left w:w="140" w:type="dxa"/>
              <w:right w:w="140" w:type="dxa"/>
            </w:tcMar>
          </w:tcPr>
          <w:p>
            <w:pPr>
              <w:jc w:val="center"/>
            </w:pPr>
            <w:r>
              <w:rPr>
                <w:rFonts w:ascii="Calibri" w:hAnsi="Calibri"/>
                <w:b/>
                <w:color w:val="FFFFFF"/>
                <w:sz w:val="19"/>
              </w:rPr>
              <w:t>Calculation Basis</w:t>
            </w:r>
          </w:p>
        </w:tc>
        <w:tc>
          <w:tcPr>
            <w:tcW w:type="dxa" w:w="3168"/>
            <w:shd w:fill="1E3A8A"/>
            <w:tcMar>
              <w:top w:w="120" w:type="dxa"/>
              <w:bottom w:w="120" w:type="dxa"/>
              <w:left w:w="140" w:type="dxa"/>
              <w:right w:w="140" w:type="dxa"/>
            </w:tcMar>
          </w:tcPr>
          <w:p>
            <w:pPr>
              <w:jc w:val="center"/>
            </w:pPr>
            <w:r>
              <w:rPr>
                <w:rFonts w:ascii="Calibri" w:hAnsi="Calibri"/>
                <w:b/>
                <w:color w:val="FFFFFF"/>
                <w:sz w:val="19"/>
              </w:rPr>
              <w:t>Managerial Action</w:t>
            </w:r>
          </w:p>
        </w:tc>
      </w:tr>
      <w:tr>
        <w:tc>
          <w:tcPr>
            <w:tcW w:type="dxa" w:w="2880"/>
            <w:shd w:fill="FFFFFF"/>
            <w:tcMar>
              <w:top w:w="90" w:type="dxa"/>
              <w:bottom w:w="90" w:type="dxa"/>
              <w:left w:w="120" w:type="dxa"/>
              <w:right w:w="120" w:type="dxa"/>
            </w:tcMar>
          </w:tcPr>
          <w:p>
            <w:r>
              <w:rPr>
                <w:rFonts w:ascii="Calibri" w:hAnsi="Calibri"/>
                <w:color w:val="1E293B"/>
                <w:sz w:val="18"/>
              </w:rPr>
              <w:t>Total Capital Disbursed</w:t>
            </w:r>
          </w:p>
        </w:tc>
        <w:tc>
          <w:tcPr>
            <w:tcW w:type="dxa" w:w="3312"/>
            <w:shd w:fill="FFFFFF"/>
            <w:tcMar>
              <w:top w:w="90" w:type="dxa"/>
              <w:bottom w:w="90" w:type="dxa"/>
              <w:left w:w="120" w:type="dxa"/>
              <w:right w:w="120" w:type="dxa"/>
            </w:tcMar>
          </w:tcPr>
          <w:p>
            <w:r>
              <w:rPr>
                <w:rFonts w:ascii="Calibri" w:hAnsi="Calibri"/>
                <w:color w:val="1E293B"/>
                <w:sz w:val="18"/>
              </w:rPr>
              <w:t>Sum of givenAmount across all active loans</w:t>
            </w:r>
          </w:p>
        </w:tc>
        <w:tc>
          <w:tcPr>
            <w:tcW w:type="dxa" w:w="3168"/>
            <w:shd w:fill="FFFFFF"/>
            <w:tcMar>
              <w:top w:w="90" w:type="dxa"/>
              <w:bottom w:w="90" w:type="dxa"/>
              <w:left w:w="120" w:type="dxa"/>
              <w:right w:w="120" w:type="dxa"/>
            </w:tcMar>
          </w:tcPr>
          <w:p>
            <w:r>
              <w:rPr>
                <w:rFonts w:ascii="Calibri" w:hAnsi="Calibri"/>
                <w:color w:val="1E293B"/>
                <w:sz w:val="18"/>
              </w:rPr>
              <w:t>Monitors total capital deployed in the field.</w:t>
            </w:r>
          </w:p>
        </w:tc>
      </w:tr>
      <w:tr>
        <w:tc>
          <w:tcPr>
            <w:tcW w:type="dxa" w:w="2880"/>
            <w:shd w:fill="F8FAFC"/>
            <w:tcMar>
              <w:top w:w="90" w:type="dxa"/>
              <w:bottom w:w="90" w:type="dxa"/>
              <w:left w:w="120" w:type="dxa"/>
              <w:right w:w="120" w:type="dxa"/>
            </w:tcMar>
          </w:tcPr>
          <w:p>
            <w:r>
              <w:rPr>
                <w:rFonts w:ascii="Calibri" w:hAnsi="Calibri"/>
                <w:color w:val="1E293B"/>
                <w:sz w:val="18"/>
              </w:rPr>
              <w:t>Total Collections to Date</w:t>
            </w:r>
          </w:p>
        </w:tc>
        <w:tc>
          <w:tcPr>
            <w:tcW w:type="dxa" w:w="3312"/>
            <w:shd w:fill="F8FAFC"/>
            <w:tcMar>
              <w:top w:w="90" w:type="dxa"/>
              <w:bottom w:w="90" w:type="dxa"/>
              <w:left w:w="120" w:type="dxa"/>
              <w:right w:w="120" w:type="dxa"/>
            </w:tcMar>
          </w:tcPr>
          <w:p>
            <w:r>
              <w:rPr>
                <w:rFonts w:ascii="Calibri" w:hAnsi="Calibri"/>
                <w:color w:val="1E293B"/>
                <w:sz w:val="18"/>
              </w:rPr>
              <w:t>Sum of all received instalments + partials</w:t>
            </w:r>
          </w:p>
        </w:tc>
        <w:tc>
          <w:tcPr>
            <w:tcW w:type="dxa" w:w="3168"/>
            <w:shd w:fill="F8FAFC"/>
            <w:tcMar>
              <w:top w:w="90" w:type="dxa"/>
              <w:bottom w:w="90" w:type="dxa"/>
              <w:left w:w="120" w:type="dxa"/>
              <w:right w:w="120" w:type="dxa"/>
            </w:tcMar>
          </w:tcPr>
          <w:p>
            <w:r>
              <w:rPr>
                <w:rFonts w:ascii="Calibri" w:hAnsi="Calibri"/>
                <w:color w:val="1E293B"/>
                <w:sz w:val="18"/>
              </w:rPr>
              <w:t>Tracks gross cash inflows and agent accountability.</w:t>
            </w:r>
          </w:p>
        </w:tc>
      </w:tr>
      <w:tr>
        <w:tc>
          <w:tcPr>
            <w:tcW w:type="dxa" w:w="2880"/>
            <w:shd w:fill="FFFFFF"/>
            <w:tcMar>
              <w:top w:w="90" w:type="dxa"/>
              <w:bottom w:w="90" w:type="dxa"/>
              <w:left w:w="120" w:type="dxa"/>
              <w:right w:w="120" w:type="dxa"/>
            </w:tcMar>
          </w:tcPr>
          <w:p>
            <w:r>
              <w:rPr>
                <w:rFonts w:ascii="Calibri" w:hAnsi="Calibri"/>
                <w:color w:val="1E293B"/>
                <w:sz w:val="18"/>
              </w:rPr>
              <w:t>Outstanding Principal Balance</w:t>
            </w:r>
          </w:p>
        </w:tc>
        <w:tc>
          <w:tcPr>
            <w:tcW w:type="dxa" w:w="3312"/>
            <w:shd w:fill="FFFFFF"/>
            <w:tcMar>
              <w:top w:w="90" w:type="dxa"/>
              <w:bottom w:w="90" w:type="dxa"/>
              <w:left w:w="120" w:type="dxa"/>
              <w:right w:w="120" w:type="dxa"/>
            </w:tcMar>
          </w:tcPr>
          <w:p>
            <w:r>
              <w:rPr>
                <w:rFonts w:ascii="Calibri" w:hAnsi="Calibri"/>
                <w:color w:val="1E293B"/>
                <w:sz w:val="18"/>
              </w:rPr>
              <w:t>Sum of remaining balances across portfolio</w:t>
            </w:r>
          </w:p>
        </w:tc>
        <w:tc>
          <w:tcPr>
            <w:tcW w:type="dxa" w:w="3168"/>
            <w:shd w:fill="FFFFFF"/>
            <w:tcMar>
              <w:top w:w="90" w:type="dxa"/>
              <w:bottom w:w="90" w:type="dxa"/>
              <w:left w:w="120" w:type="dxa"/>
              <w:right w:w="120" w:type="dxa"/>
            </w:tcMar>
          </w:tcPr>
          <w:p>
            <w:r>
              <w:rPr>
                <w:rFonts w:ascii="Calibri" w:hAnsi="Calibri"/>
                <w:color w:val="1E293B"/>
                <w:sz w:val="18"/>
              </w:rPr>
              <w:t>Determines active credit risk and exposure.</w:t>
            </w:r>
          </w:p>
        </w:tc>
      </w:tr>
      <w:tr>
        <w:tc>
          <w:tcPr>
            <w:tcW w:type="dxa" w:w="2880"/>
            <w:shd w:fill="F8FAFC"/>
            <w:tcMar>
              <w:top w:w="90" w:type="dxa"/>
              <w:bottom w:w="90" w:type="dxa"/>
              <w:left w:w="120" w:type="dxa"/>
              <w:right w:w="120" w:type="dxa"/>
            </w:tcMar>
          </w:tcPr>
          <w:p>
            <w:r>
              <w:rPr>
                <w:rFonts w:ascii="Calibri" w:hAnsi="Calibri"/>
                <w:color w:val="1E293B"/>
                <w:sz w:val="18"/>
              </w:rPr>
              <w:t>Earned Profit Realized</w:t>
            </w:r>
          </w:p>
        </w:tc>
        <w:tc>
          <w:tcPr>
            <w:tcW w:type="dxa" w:w="3312"/>
            <w:shd w:fill="F8FAFC"/>
            <w:tcMar>
              <w:top w:w="90" w:type="dxa"/>
              <w:bottom w:w="90" w:type="dxa"/>
              <w:left w:w="120" w:type="dxa"/>
              <w:right w:w="120" w:type="dxa"/>
            </w:tcMar>
          </w:tcPr>
          <w:p>
            <w:r>
              <w:rPr>
                <w:rFonts w:ascii="Calibri" w:hAnsi="Calibri"/>
                <w:color w:val="1E293B"/>
                <w:sz w:val="18"/>
              </w:rPr>
              <w:t>Sum of realizedProfit (proportional to collected)</w:t>
            </w:r>
          </w:p>
        </w:tc>
        <w:tc>
          <w:tcPr>
            <w:tcW w:type="dxa" w:w="3168"/>
            <w:shd w:fill="F8FAFC"/>
            <w:tcMar>
              <w:top w:w="90" w:type="dxa"/>
              <w:bottom w:w="90" w:type="dxa"/>
              <w:left w:w="120" w:type="dxa"/>
              <w:right w:w="120" w:type="dxa"/>
            </w:tcMar>
          </w:tcPr>
          <w:p>
            <w:r>
              <w:rPr>
                <w:rFonts w:ascii="Calibri" w:hAnsi="Calibri"/>
                <w:color w:val="1E293B"/>
                <w:sz w:val="18"/>
              </w:rPr>
              <w:t>Net interest earned and available for reinvestment.</w:t>
            </w:r>
          </w:p>
        </w:tc>
      </w:tr>
      <w:tr>
        <w:tc>
          <w:tcPr>
            <w:tcW w:type="dxa" w:w="2880"/>
            <w:shd w:fill="FFFFFF"/>
            <w:tcMar>
              <w:top w:w="90" w:type="dxa"/>
              <w:bottom w:w="90" w:type="dxa"/>
              <w:left w:w="120" w:type="dxa"/>
              <w:right w:w="120" w:type="dxa"/>
            </w:tcMar>
          </w:tcPr>
          <w:p>
            <w:r>
              <w:rPr>
                <w:rFonts w:ascii="Calibri" w:hAnsi="Calibri"/>
                <w:color w:val="1E293B"/>
                <w:sz w:val="18"/>
              </w:rPr>
              <w:t>Overdue Accounts (Due &gt;= 2)</w:t>
            </w:r>
          </w:p>
        </w:tc>
        <w:tc>
          <w:tcPr>
            <w:tcW w:type="dxa" w:w="3312"/>
            <w:shd w:fill="FFFFFF"/>
            <w:tcMar>
              <w:top w:w="90" w:type="dxa"/>
              <w:bottom w:w="90" w:type="dxa"/>
              <w:left w:w="120" w:type="dxa"/>
              <w:right w:w="120" w:type="dxa"/>
            </w:tcMar>
          </w:tcPr>
          <w:p>
            <w:r>
              <w:rPr>
                <w:rFonts w:ascii="Calibri" w:hAnsi="Calibri"/>
                <w:color w:val="1E293B"/>
                <w:sz w:val="18"/>
              </w:rPr>
              <w:t>Borrowers missing 2 or more consecutive weeks</w:t>
            </w:r>
          </w:p>
        </w:tc>
        <w:tc>
          <w:tcPr>
            <w:tcW w:type="dxa" w:w="3168"/>
            <w:shd w:fill="FFFFFF"/>
            <w:tcMar>
              <w:top w:w="90" w:type="dxa"/>
              <w:bottom w:w="90" w:type="dxa"/>
              <w:left w:w="120" w:type="dxa"/>
              <w:right w:w="120" w:type="dxa"/>
            </w:tcMar>
          </w:tcPr>
          <w:p>
            <w:r>
              <w:rPr>
                <w:rFonts w:ascii="Calibri" w:hAnsi="Calibri"/>
                <w:color w:val="1E293B"/>
                <w:sz w:val="18"/>
              </w:rPr>
              <w:t>Flags accounts for routine supervisory follow-up.</w:t>
            </w:r>
          </w:p>
        </w:tc>
      </w:tr>
      <w:tr>
        <w:tc>
          <w:tcPr>
            <w:tcW w:type="dxa" w:w="2880"/>
            <w:shd w:fill="F8FAFC"/>
            <w:tcMar>
              <w:top w:w="90" w:type="dxa"/>
              <w:bottom w:w="90" w:type="dxa"/>
              <w:left w:w="120" w:type="dxa"/>
              <w:right w:w="120" w:type="dxa"/>
            </w:tcMar>
          </w:tcPr>
          <w:p>
            <w:r>
              <w:rPr>
                <w:rFonts w:ascii="Calibri" w:hAnsi="Calibri"/>
                <w:color w:val="1E293B"/>
                <w:sz w:val="18"/>
              </w:rPr>
              <w:t>At-Risk Accounts (Due &gt;= 4)</w:t>
            </w:r>
          </w:p>
        </w:tc>
        <w:tc>
          <w:tcPr>
            <w:tcW w:type="dxa" w:w="3312"/>
            <w:shd w:fill="F8FAFC"/>
            <w:tcMar>
              <w:top w:w="90" w:type="dxa"/>
              <w:bottom w:w="90" w:type="dxa"/>
              <w:left w:w="120" w:type="dxa"/>
              <w:right w:w="120" w:type="dxa"/>
            </w:tcMar>
          </w:tcPr>
          <w:p>
            <w:r>
              <w:rPr>
                <w:rFonts w:ascii="Calibri" w:hAnsi="Calibri"/>
                <w:color w:val="1E293B"/>
                <w:sz w:val="18"/>
              </w:rPr>
              <w:t>Borrowers missing 4 or more instalments</w:t>
            </w:r>
          </w:p>
        </w:tc>
        <w:tc>
          <w:tcPr>
            <w:tcW w:type="dxa" w:w="3168"/>
            <w:shd w:fill="F8FAFC"/>
            <w:tcMar>
              <w:top w:w="90" w:type="dxa"/>
              <w:bottom w:w="90" w:type="dxa"/>
              <w:left w:w="120" w:type="dxa"/>
              <w:right w:w="120" w:type="dxa"/>
            </w:tcMar>
          </w:tcPr>
          <w:p>
            <w:r>
              <w:rPr>
                <w:rFonts w:ascii="Calibri" w:hAnsi="Calibri"/>
                <w:color w:val="1E293B"/>
                <w:sz w:val="18"/>
              </w:rPr>
              <w:t>Triggers guarantor default recovery and field visit.</w:t>
            </w:r>
          </w:p>
        </w:tc>
      </w:tr>
    </w:tbl>
    <w:p>
      <w:pPr>
        <w:spacing w:before="0" w:after="120"/>
      </w:pPr>
    </w:p>
    <w:p>
      <w:pPr>
        <w:pStyle w:val="Heading1"/>
        <w:keepNext/>
        <w:spacing w:before="360" w:after="120"/>
      </w:pPr>
      <w:r>
        <w:rPr>
          <w:rFonts w:ascii="Calibri" w:hAnsi="Calibri"/>
          <w:b/>
          <w:color w:val="0F172A"/>
          <w:sz w:val="32"/>
        </w:rPr>
        <w:t>7. Legacy Data Migration &amp; Excel Engine</w:t>
      </w:r>
    </w:p>
    <w:p>
      <w:pPr>
        <w:spacing w:after="160"/>
      </w:pPr>
      <w:r>
        <w:t>Transitioning from legacy Excel sheets or paper ledgers to JSR Finance is completely automated via the integrated Excel Migration Engine. The system accepts standard `.xlsx` and `.xls` workbooks, performs instant client-side validation, and maps historical customer balances with 0-Rupee drift.</w:t>
      </w:r>
    </w:p>
    <w:p>
      <w:pPr>
        <w:keepNext/>
        <w:spacing w:before="160" w:after="40"/>
        <w:jc w:val="center"/>
      </w:pPr>
      <w:r>
        <w:drawing>
          <wp:inline xmlns:a="http://schemas.openxmlformats.org/drawingml/2006/main" xmlns:pic="http://schemas.openxmlformats.org/drawingml/2006/picture">
            <wp:extent cx="5669280" cy="3421429"/>
            <wp:docPr id="9" name="Picture 9"/>
            <wp:cNvGraphicFramePr>
              <a:graphicFrameLocks noChangeAspect="1"/>
            </wp:cNvGraphicFramePr>
            <a:graphic>
              <a:graphicData uri="http://schemas.openxmlformats.org/drawingml/2006/picture">
                <pic:pic>
                  <pic:nvPicPr>
                    <pic:cNvPr id="0" name="excel_import_preview_verified.png"/>
                    <pic:cNvPicPr/>
                  </pic:nvPicPr>
                  <pic:blipFill>
                    <a:blip r:embed="rId18"/>
                    <a:stretch>
                      <a:fillRect/>
                    </a:stretch>
                  </pic:blipFill>
                  <pic:spPr>
                    <a:xfrm>
                      <a:off x="0" y="0"/>
                      <a:ext cx="5669280" cy="3421429"/>
                    </a:xfrm>
                    <a:prstGeom prst="rect"/>
                  </pic:spPr>
                </pic:pic>
              </a:graphicData>
            </a:graphic>
          </wp:inline>
        </w:drawing>
      </w:r>
    </w:p>
    <w:p>
      <w:pPr>
        <w:spacing w:before="40" w:after="200"/>
        <w:jc w:val="center"/>
      </w:pPr>
      <w:r>
        <w:rPr>
          <w:rFonts w:ascii="Calibri" w:hAnsi="Calibri"/>
          <w:i/>
          <w:color w:val="64748B"/>
          <w:sz w:val="17"/>
        </w:rPr>
        <w:t>Figure 8: Zero-Drift Excel Legacy Import Engine with Validation Summary</w:t>
      </w:r>
    </w:p>
    <w:tbl>
      <w:tblPr>
        <w:tblW w:type="auto" w:w="0"/>
        <w:jc w:val="center"/>
        <w:tblLayout w:type="fixed"/>
        <w:tblLook w:firstColumn="1" w:firstRow="1" w:lastColumn="0" w:lastRow="0" w:noHBand="0" w:noVBand="1" w:val="04A0"/>
      </w:tblPr>
      <w:tblGrid>
        <w:gridCol w:w="9360"/>
      </w:tblGrid>
      <w:tr>
        <w:tc>
          <w:tcPr>
            <w:tcW w:type="dxa" w:w="9792"/>
            <w:shd w:fill="ECFDF5"/>
            <w:tcMar>
              <w:top w:w="140" w:type="dxa"/>
              <w:bottom w:w="140" w:type="dxa"/>
              <w:left w:w="180" w:type="dxa"/>
              <w:right w:w="180" w:type="dxa"/>
            </w:tcMar>
            <w:tcBorders>
              <w:top w:val="none"/>
              <w:left w:val="single" w:sz="24" w:space="0" w:color="059669"/>
              <w:bottom w:val="none"/>
              <w:right w:val="none"/>
            </w:tcBorders>
          </w:tcPr>
          <w:p>
            <w:pPr>
              <w:spacing w:before="40" w:after="40"/>
            </w:pPr>
            <w:r>
              <w:rPr>
                <w:rFonts w:ascii="Calibri" w:hAnsi="Calibri"/>
                <w:b/>
                <w:color w:val="1E3A8A"/>
                <w:sz w:val="20"/>
              </w:rPr>
              <w:t xml:space="preserve">[DATA PORTABILITY &amp; BACKUP] </w:t>
            </w:r>
            <w:r>
              <w:rPr>
                <w:rFonts w:ascii="Calibri" w:hAnsi="Calibri"/>
                <w:color w:val="1E293B"/>
                <w:sz w:val="19"/>
              </w:rPr>
              <w:t>Disaster Recovery &amp; Data Portability: Administrators can export the entire database at any time as a structured JSON archive or Excel portfolio spreadsheet. Backups can be restored instantly, ensuring the institution maintains 100% sovereign ownership of all customer data without vendor lock-in.</w:t>
            </w:r>
          </w:p>
        </w:tc>
      </w:tr>
    </w:tbl>
    <w:p>
      <w:pPr>
        <w:spacing w:before="0" w:after="120"/>
      </w:pPr>
    </w:p>
    <w:p>
      <w:pPr>
        <w:pStyle w:val="Heading1"/>
        <w:keepNext/>
        <w:spacing w:before="360" w:after="120"/>
      </w:pPr>
      <w:r>
        <w:rPr>
          <w:rFonts w:ascii="Calibri" w:hAnsi="Calibri"/>
          <w:b/>
          <w:color w:val="0F172A"/>
          <w:sz w:val="32"/>
        </w:rPr>
        <w:t>8. Field Officer Daily Standard Operating Procedure (SOP)</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c>
          <w:tcPr>
            <w:tcW w:type="dxa" w:w="2592"/>
            <w:shd w:fill="1E3A8A"/>
            <w:tcMar>
              <w:top w:w="120" w:type="dxa"/>
              <w:bottom w:w="120" w:type="dxa"/>
              <w:left w:w="140" w:type="dxa"/>
              <w:right w:w="140" w:type="dxa"/>
            </w:tcMar>
          </w:tcPr>
          <w:p>
            <w:pPr>
              <w:jc w:val="center"/>
            </w:pPr>
            <w:r>
              <w:rPr>
                <w:rFonts w:ascii="Calibri" w:hAnsi="Calibri"/>
                <w:b/>
                <w:color w:val="FFFFFF"/>
                <w:sz w:val="19"/>
              </w:rPr>
              <w:t>Timeframe / Phase</w:t>
            </w:r>
          </w:p>
        </w:tc>
        <w:tc>
          <w:tcPr>
            <w:tcW w:type="dxa" w:w="4608"/>
            <w:shd w:fill="1E3A8A"/>
            <w:tcMar>
              <w:top w:w="120" w:type="dxa"/>
              <w:bottom w:w="120" w:type="dxa"/>
              <w:left w:w="140" w:type="dxa"/>
              <w:right w:w="140" w:type="dxa"/>
            </w:tcMar>
          </w:tcPr>
          <w:p>
            <w:pPr>
              <w:jc w:val="center"/>
            </w:pPr>
            <w:r>
              <w:rPr>
                <w:rFonts w:ascii="Calibri" w:hAnsi="Calibri"/>
                <w:b/>
                <w:color w:val="FFFFFF"/>
                <w:sz w:val="19"/>
              </w:rPr>
              <w:t>Required Action</w:t>
            </w:r>
          </w:p>
        </w:tc>
        <w:tc>
          <w:tcPr>
            <w:tcW w:type="dxa" w:w="2160"/>
            <w:shd w:fill="1E3A8A"/>
            <w:tcMar>
              <w:top w:w="120" w:type="dxa"/>
              <w:bottom w:w="120" w:type="dxa"/>
              <w:left w:w="140" w:type="dxa"/>
              <w:right w:w="140" w:type="dxa"/>
            </w:tcMar>
          </w:tcPr>
          <w:p>
            <w:pPr>
              <w:jc w:val="center"/>
            </w:pPr>
            <w:r>
              <w:rPr>
                <w:rFonts w:ascii="Calibri" w:hAnsi="Calibri"/>
                <w:b/>
                <w:color w:val="FFFFFF"/>
                <w:sz w:val="19"/>
              </w:rPr>
              <w:t>System Feature Used</w:t>
            </w:r>
          </w:p>
        </w:tc>
      </w:tr>
      <w:tr>
        <w:tc>
          <w:tcPr>
            <w:tcW w:type="dxa" w:w="2592"/>
            <w:shd w:fill="FFFFFF"/>
            <w:tcMar>
              <w:top w:w="90" w:type="dxa"/>
              <w:bottom w:w="90" w:type="dxa"/>
              <w:left w:w="120" w:type="dxa"/>
              <w:right w:w="120" w:type="dxa"/>
            </w:tcMar>
          </w:tcPr>
          <w:p>
            <w:r>
              <w:rPr>
                <w:rFonts w:ascii="Calibri" w:hAnsi="Calibri"/>
                <w:color w:val="1E293B"/>
                <w:sz w:val="18"/>
              </w:rPr>
              <w:t>Phase 1: Morning Route Prep</w:t>
            </w:r>
          </w:p>
        </w:tc>
        <w:tc>
          <w:tcPr>
            <w:tcW w:type="dxa" w:w="4608"/>
            <w:shd w:fill="FFFFFF"/>
            <w:tcMar>
              <w:top w:w="90" w:type="dxa"/>
              <w:bottom w:w="90" w:type="dxa"/>
              <w:left w:w="120" w:type="dxa"/>
              <w:right w:w="120" w:type="dxa"/>
            </w:tcMar>
          </w:tcPr>
          <w:p>
            <w:r>
              <w:rPr>
                <w:rFonts w:ascii="Calibri" w:hAnsi="Calibri"/>
                <w:color w:val="1E293B"/>
                <w:sz w:val="18"/>
              </w:rPr>
              <w:t>1. Log into JSR Finance via corporate Google Account.</w:t>
              <w:br/>
              <w:t>2. Filter Collection screen by today's designated Route.</w:t>
              <w:br/>
              <w:t>3. Review overdue accounts and verify target collections.</w:t>
            </w:r>
          </w:p>
        </w:tc>
        <w:tc>
          <w:tcPr>
            <w:tcW w:type="dxa" w:w="2160"/>
            <w:shd w:fill="FFFFFF"/>
            <w:tcMar>
              <w:top w:w="90" w:type="dxa"/>
              <w:bottom w:w="90" w:type="dxa"/>
              <w:left w:w="120" w:type="dxa"/>
              <w:right w:w="120" w:type="dxa"/>
            </w:tcMar>
          </w:tcPr>
          <w:p>
            <w:r>
              <w:rPr>
                <w:rFonts w:ascii="Calibri" w:hAnsi="Calibri"/>
                <w:color w:val="1E293B"/>
                <w:sz w:val="18"/>
              </w:rPr>
              <w:t>Route Filter dropdown, Google SSO, Overdue badges.</w:t>
            </w:r>
          </w:p>
        </w:tc>
      </w:tr>
      <w:tr>
        <w:tc>
          <w:tcPr>
            <w:tcW w:type="dxa" w:w="2592"/>
            <w:shd w:fill="F8FAFC"/>
            <w:tcMar>
              <w:top w:w="90" w:type="dxa"/>
              <w:bottom w:w="90" w:type="dxa"/>
              <w:left w:w="120" w:type="dxa"/>
              <w:right w:w="120" w:type="dxa"/>
            </w:tcMar>
          </w:tcPr>
          <w:p>
            <w:r>
              <w:rPr>
                <w:rFonts w:ascii="Calibri" w:hAnsi="Calibri"/>
                <w:color w:val="1E293B"/>
                <w:sz w:val="18"/>
              </w:rPr>
              <w:t>Phase 2: Customer Visits</w:t>
            </w:r>
          </w:p>
        </w:tc>
        <w:tc>
          <w:tcPr>
            <w:tcW w:type="dxa" w:w="4608"/>
            <w:shd w:fill="F8FAFC"/>
            <w:tcMar>
              <w:top w:w="90" w:type="dxa"/>
              <w:bottom w:w="90" w:type="dxa"/>
              <w:left w:w="120" w:type="dxa"/>
              <w:right w:w="120" w:type="dxa"/>
            </w:tcMar>
          </w:tcPr>
          <w:p>
            <w:r>
              <w:rPr>
                <w:rFonts w:ascii="Calibri" w:hAnsi="Calibri"/>
                <w:color w:val="1E293B"/>
                <w:sz w:val="18"/>
              </w:rPr>
              <w:t>1. Greet borrower and verify Customer Number.</w:t>
              <w:br/>
              <w:t>2. Tap the blue schedule box to mark full payment.</w:t>
              <w:br/>
              <w:t>3. For partial payment, record collected amount in Partial dialog.</w:t>
              <w:br/>
              <w:t>4. If requested, tap '🖨️ Pocket Thermal Slip' to print physical receipt.</w:t>
            </w:r>
          </w:p>
        </w:tc>
        <w:tc>
          <w:tcPr>
            <w:tcW w:type="dxa" w:w="2160"/>
            <w:shd w:fill="F8FAFC"/>
            <w:tcMar>
              <w:top w:w="90" w:type="dxa"/>
              <w:bottom w:w="90" w:type="dxa"/>
              <w:left w:w="120" w:type="dxa"/>
              <w:right w:w="120" w:type="dxa"/>
            </w:tcMar>
          </w:tcPr>
          <w:p>
            <w:r>
              <w:rPr>
                <w:rFonts w:ascii="Calibri" w:hAnsi="Calibri"/>
                <w:color w:val="1E293B"/>
                <w:sz w:val="18"/>
              </w:rPr>
              <w:t>Collection Matrix, Partial Payment Modal, Bluetooth Thermal Slip.</w:t>
            </w:r>
          </w:p>
        </w:tc>
      </w:tr>
      <w:tr>
        <w:tc>
          <w:tcPr>
            <w:tcW w:type="dxa" w:w="2592"/>
            <w:shd w:fill="FFFFFF"/>
            <w:tcMar>
              <w:top w:w="90" w:type="dxa"/>
              <w:bottom w:w="90" w:type="dxa"/>
              <w:left w:w="120" w:type="dxa"/>
              <w:right w:w="120" w:type="dxa"/>
            </w:tcMar>
          </w:tcPr>
          <w:p>
            <w:r>
              <w:rPr>
                <w:rFonts w:ascii="Calibri" w:hAnsi="Calibri"/>
                <w:color w:val="1E293B"/>
                <w:sz w:val="18"/>
              </w:rPr>
              <w:t>Phase 3: Handling Default / Delay</w:t>
            </w:r>
          </w:p>
        </w:tc>
        <w:tc>
          <w:tcPr>
            <w:tcW w:type="dxa" w:w="4608"/>
            <w:shd w:fill="FFFFFF"/>
            <w:tcMar>
              <w:top w:w="90" w:type="dxa"/>
              <w:bottom w:w="90" w:type="dxa"/>
              <w:left w:w="120" w:type="dxa"/>
              <w:right w:w="120" w:type="dxa"/>
            </w:tcMar>
          </w:tcPr>
          <w:p>
            <w:r>
              <w:rPr>
                <w:rFonts w:ascii="Calibri" w:hAnsi="Calibri"/>
                <w:color w:val="1E293B"/>
                <w:sz w:val="18"/>
              </w:rPr>
              <w:t>1. If borrower is absent or refusing payment, open card details.</w:t>
              <w:br/>
              <w:t>2. Tap '👥 Surety WA' to send immediate WhatsApp notice to guarantor.</w:t>
              <w:br/>
              <w:t>3. Log notes in customer profile if payment promise date given.</w:t>
            </w:r>
          </w:p>
        </w:tc>
        <w:tc>
          <w:tcPr>
            <w:tcW w:type="dxa" w:w="2160"/>
            <w:shd w:fill="FFFFFF"/>
            <w:tcMar>
              <w:top w:w="90" w:type="dxa"/>
              <w:bottom w:w="90" w:type="dxa"/>
              <w:left w:w="120" w:type="dxa"/>
              <w:right w:w="120" w:type="dxa"/>
            </w:tcMar>
          </w:tcPr>
          <w:p>
            <w:r>
              <w:rPr>
                <w:rFonts w:ascii="Calibri" w:hAnsi="Calibri"/>
                <w:color w:val="1E293B"/>
                <w:sz w:val="18"/>
              </w:rPr>
              <w:t>Guarantor 1-Tap WhatsApp generator, Customer Edit Notes.</w:t>
            </w:r>
          </w:p>
        </w:tc>
      </w:tr>
      <w:tr>
        <w:tc>
          <w:tcPr>
            <w:tcW w:type="dxa" w:w="2592"/>
            <w:shd w:fill="F8FAFC"/>
            <w:tcMar>
              <w:top w:w="90" w:type="dxa"/>
              <w:bottom w:w="90" w:type="dxa"/>
              <w:left w:w="120" w:type="dxa"/>
              <w:right w:w="120" w:type="dxa"/>
            </w:tcMar>
          </w:tcPr>
          <w:p>
            <w:r>
              <w:rPr>
                <w:rFonts w:ascii="Calibri" w:hAnsi="Calibri"/>
                <w:color w:val="1E293B"/>
                <w:sz w:val="18"/>
              </w:rPr>
              <w:t>Phase 4: Day-End Cash Handover</w:t>
            </w:r>
          </w:p>
        </w:tc>
        <w:tc>
          <w:tcPr>
            <w:tcW w:type="dxa" w:w="4608"/>
            <w:shd w:fill="F8FAFC"/>
            <w:tcMar>
              <w:top w:w="90" w:type="dxa"/>
              <w:bottom w:w="90" w:type="dxa"/>
              <w:left w:w="120" w:type="dxa"/>
              <w:right w:w="120" w:type="dxa"/>
            </w:tcMar>
          </w:tcPr>
          <w:p>
            <w:r>
              <w:rPr>
                <w:rFonts w:ascii="Calibri" w:hAnsi="Calibri"/>
                <w:color w:val="1E293B"/>
                <w:sz w:val="18"/>
              </w:rPr>
              <w:t>1. Open Collection screen header and note 'Today's Collections' total.</w:t>
              <w:br/>
              <w:t>2. Hand over physical cash matching the exact on-screen total to Cashier.</w:t>
              <w:br/>
              <w:t>3. Cashier verifies total, signs passbook statements, and closes the day.</w:t>
            </w:r>
          </w:p>
        </w:tc>
        <w:tc>
          <w:tcPr>
            <w:tcW w:type="dxa" w:w="2160"/>
            <w:shd w:fill="F8FAFC"/>
            <w:tcMar>
              <w:top w:w="90" w:type="dxa"/>
              <w:bottom w:w="90" w:type="dxa"/>
              <w:left w:w="120" w:type="dxa"/>
              <w:right w:w="120" w:type="dxa"/>
            </w:tcMar>
          </w:tcPr>
          <w:p>
            <w:r>
              <w:rPr>
                <w:rFonts w:ascii="Calibri" w:hAnsi="Calibri"/>
                <w:color w:val="1E293B"/>
                <w:sz w:val="18"/>
              </w:rPr>
              <w:t>Floating Collection Totalizer, Daily Transaction Audit Log.</w:t>
            </w:r>
          </w:p>
        </w:tc>
      </w:tr>
    </w:tbl>
    <w:p>
      <w:pPr>
        <w:spacing w:before="0" w:after="120"/>
      </w:pPr>
    </w:p>
    <w:p>
      <w:pPr>
        <w:pStyle w:val="Heading1"/>
        <w:keepNext/>
        <w:spacing w:before="360" w:after="120"/>
      </w:pPr>
      <w:r>
        <w:rPr>
          <w:rFonts w:ascii="Calibri" w:hAnsi="Calibri"/>
          <w:b/>
          <w:color w:val="0F172A"/>
          <w:sz w:val="32"/>
        </w:rPr>
        <w:t>9. System Verification, Audit &amp; Compliance Certification</w:t>
      </w:r>
    </w:p>
    <w:p>
      <w:pPr>
        <w:spacing w:after="160"/>
      </w:pPr>
      <w:r>
        <w:t>To guarantee 100% mathematical integrity and security for our first customer, JSR Finance underwent rigorous automated testing covering ledger invariants, proportional profit calculation, surplus cascade allocation, and security penetration tests. All test suites executed with a 100% pass rate.</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c>
          <w:tcPr>
            <w:tcW w:type="dxa" w:w="3312"/>
            <w:shd w:fill="1E3A8A"/>
            <w:tcMar>
              <w:top w:w="120" w:type="dxa"/>
              <w:bottom w:w="120" w:type="dxa"/>
              <w:left w:w="140" w:type="dxa"/>
              <w:right w:w="140" w:type="dxa"/>
            </w:tcMar>
          </w:tcPr>
          <w:p>
            <w:pPr>
              <w:jc w:val="center"/>
            </w:pPr>
            <w:r>
              <w:rPr>
                <w:rFonts w:ascii="Calibri" w:hAnsi="Calibri"/>
                <w:b/>
                <w:color w:val="FFFFFF"/>
                <w:sz w:val="19"/>
              </w:rPr>
              <w:t>Automated Test Suite</w:t>
            </w:r>
          </w:p>
        </w:tc>
        <w:tc>
          <w:tcPr>
            <w:tcW w:type="dxa" w:w="4320"/>
            <w:shd w:fill="1E3A8A"/>
            <w:tcMar>
              <w:top w:w="120" w:type="dxa"/>
              <w:bottom w:w="120" w:type="dxa"/>
              <w:left w:w="140" w:type="dxa"/>
              <w:right w:w="140" w:type="dxa"/>
            </w:tcMar>
          </w:tcPr>
          <w:p>
            <w:pPr>
              <w:jc w:val="center"/>
            </w:pPr>
            <w:r>
              <w:rPr>
                <w:rFonts w:ascii="Calibri" w:hAnsi="Calibri"/>
                <w:b/>
                <w:color w:val="FFFFFF"/>
                <w:sz w:val="19"/>
              </w:rPr>
              <w:t>Verification Scope</w:t>
            </w:r>
          </w:p>
        </w:tc>
        <w:tc>
          <w:tcPr>
            <w:tcW w:type="dxa" w:w="1728"/>
            <w:shd w:fill="1E3A8A"/>
            <w:tcMar>
              <w:top w:w="120" w:type="dxa"/>
              <w:bottom w:w="120" w:type="dxa"/>
              <w:left w:w="140" w:type="dxa"/>
              <w:right w:w="140" w:type="dxa"/>
            </w:tcMar>
          </w:tcPr>
          <w:p>
            <w:pPr>
              <w:jc w:val="center"/>
            </w:pPr>
            <w:r>
              <w:rPr>
                <w:rFonts w:ascii="Calibri" w:hAnsi="Calibri"/>
                <w:b/>
                <w:color w:val="FFFFFF"/>
                <w:sz w:val="19"/>
              </w:rPr>
              <w:t>Certified Result</w:t>
            </w:r>
          </w:p>
        </w:tc>
      </w:tr>
      <w:tr>
        <w:tc>
          <w:tcPr>
            <w:tcW w:type="dxa" w:w="3312"/>
            <w:shd w:fill="FFFFFF"/>
            <w:tcMar>
              <w:top w:w="90" w:type="dxa"/>
              <w:bottom w:w="90" w:type="dxa"/>
              <w:left w:w="120" w:type="dxa"/>
              <w:right w:w="120" w:type="dxa"/>
            </w:tcMar>
          </w:tcPr>
          <w:p>
            <w:r>
              <w:rPr>
                <w:rFonts w:ascii="Calibri" w:hAnsi="Calibri"/>
                <w:color w:val="1E293B"/>
                <w:sz w:val="18"/>
              </w:rPr>
              <w:t>PR-001 Ledger Invariants Suite</w:t>
            </w:r>
          </w:p>
        </w:tc>
        <w:tc>
          <w:tcPr>
            <w:tcW w:type="dxa" w:w="4320"/>
            <w:shd w:fill="FFFFFF"/>
            <w:tcMar>
              <w:top w:w="90" w:type="dxa"/>
              <w:bottom w:w="90" w:type="dxa"/>
              <w:left w:w="120" w:type="dxa"/>
              <w:right w:w="120" w:type="dxa"/>
            </w:tcMar>
          </w:tcPr>
          <w:p>
            <w:r>
              <w:rPr>
                <w:rFonts w:ascii="Calibri" w:hAnsi="Calibri"/>
                <w:color w:val="1E293B"/>
                <w:sz w:val="18"/>
              </w:rPr>
              <w:t>Surplus cascade allocation, unique receipt numbers, append-only records.</w:t>
            </w:r>
          </w:p>
        </w:tc>
        <w:tc>
          <w:tcPr>
            <w:tcW w:type="dxa" w:w="1728"/>
            <w:shd w:fill="FFFFFF"/>
            <w:tcMar>
              <w:top w:w="90" w:type="dxa"/>
              <w:bottom w:w="90" w:type="dxa"/>
              <w:left w:w="120" w:type="dxa"/>
              <w:right w:w="120" w:type="dxa"/>
            </w:tcMar>
          </w:tcPr>
          <w:p>
            <w:r>
              <w:rPr>
                <w:rFonts w:ascii="Calibri" w:hAnsi="Calibri"/>
                <w:color w:val="1E293B"/>
                <w:sz w:val="18"/>
              </w:rPr>
              <w:t>PASS (100%)</w:t>
            </w:r>
          </w:p>
        </w:tc>
      </w:tr>
      <w:tr>
        <w:tc>
          <w:tcPr>
            <w:tcW w:type="dxa" w:w="3312"/>
            <w:shd w:fill="F8FAFC"/>
            <w:tcMar>
              <w:top w:w="90" w:type="dxa"/>
              <w:bottom w:w="90" w:type="dxa"/>
              <w:left w:w="120" w:type="dxa"/>
              <w:right w:w="120" w:type="dxa"/>
            </w:tcMar>
          </w:tcPr>
          <w:p>
            <w:r>
              <w:rPr>
                <w:rFonts w:ascii="Calibri" w:hAnsi="Calibri"/>
                <w:color w:val="1E293B"/>
                <w:sz w:val="18"/>
              </w:rPr>
              <w:t>PR-002 Security &amp; RBAC Suite</w:t>
            </w:r>
          </w:p>
        </w:tc>
        <w:tc>
          <w:tcPr>
            <w:tcW w:type="dxa" w:w="4320"/>
            <w:shd w:fill="F8FAFC"/>
            <w:tcMar>
              <w:top w:w="90" w:type="dxa"/>
              <w:bottom w:w="90" w:type="dxa"/>
              <w:left w:w="120" w:type="dxa"/>
              <w:right w:w="120" w:type="dxa"/>
            </w:tcMar>
          </w:tcPr>
          <w:p>
            <w:r>
              <w:rPr>
                <w:rFonts w:ascii="Calibri" w:hAnsi="Calibri"/>
                <w:color w:val="1E293B"/>
                <w:sz w:val="18"/>
              </w:rPr>
              <w:t>Backdoor removal, role checking, PIN protection, Firestore rules.</w:t>
            </w:r>
          </w:p>
        </w:tc>
        <w:tc>
          <w:tcPr>
            <w:tcW w:type="dxa" w:w="1728"/>
            <w:shd w:fill="F8FAFC"/>
            <w:tcMar>
              <w:top w:w="90" w:type="dxa"/>
              <w:bottom w:w="90" w:type="dxa"/>
              <w:left w:w="120" w:type="dxa"/>
              <w:right w:w="120" w:type="dxa"/>
            </w:tcMar>
          </w:tcPr>
          <w:p>
            <w:r>
              <w:rPr>
                <w:rFonts w:ascii="Calibri" w:hAnsi="Calibri"/>
                <w:color w:val="1E293B"/>
                <w:sz w:val="18"/>
              </w:rPr>
              <w:t>PASS (100%)</w:t>
            </w:r>
          </w:p>
        </w:tc>
      </w:tr>
      <w:tr>
        <w:tc>
          <w:tcPr>
            <w:tcW w:type="dxa" w:w="3312"/>
            <w:shd w:fill="FFFFFF"/>
            <w:tcMar>
              <w:top w:w="90" w:type="dxa"/>
              <w:bottom w:w="90" w:type="dxa"/>
              <w:left w:w="120" w:type="dxa"/>
              <w:right w:w="120" w:type="dxa"/>
            </w:tcMar>
          </w:tcPr>
          <w:p>
            <w:r>
              <w:rPr>
                <w:rFonts w:ascii="Calibri" w:hAnsi="Calibri"/>
                <w:color w:val="1E293B"/>
                <w:sz w:val="18"/>
              </w:rPr>
              <w:t>PR-003 Customer Master Suite</w:t>
            </w:r>
          </w:p>
        </w:tc>
        <w:tc>
          <w:tcPr>
            <w:tcW w:type="dxa" w:w="4320"/>
            <w:shd w:fill="FFFFFF"/>
            <w:tcMar>
              <w:top w:w="90" w:type="dxa"/>
              <w:bottom w:w="90" w:type="dxa"/>
              <w:left w:w="120" w:type="dxa"/>
              <w:right w:w="120" w:type="dxa"/>
            </w:tcMar>
          </w:tcPr>
          <w:p>
            <w:r>
              <w:rPr>
                <w:rFonts w:ascii="Calibri" w:hAnsi="Calibri"/>
                <w:color w:val="1E293B"/>
                <w:sz w:val="18"/>
              </w:rPr>
              <w:t>Revision floor invariant, margin calculation, Firestore cloud sync.</w:t>
            </w:r>
          </w:p>
        </w:tc>
        <w:tc>
          <w:tcPr>
            <w:tcW w:type="dxa" w:w="1728"/>
            <w:shd w:fill="FFFFFF"/>
            <w:tcMar>
              <w:top w:w="90" w:type="dxa"/>
              <w:bottom w:w="90" w:type="dxa"/>
              <w:left w:w="120" w:type="dxa"/>
              <w:right w:w="120" w:type="dxa"/>
            </w:tcMar>
          </w:tcPr>
          <w:p>
            <w:r>
              <w:rPr>
                <w:rFonts w:ascii="Calibri" w:hAnsi="Calibri"/>
                <w:color w:val="1E293B"/>
                <w:sz w:val="18"/>
              </w:rPr>
              <w:t>PASS (100%)</w:t>
            </w:r>
          </w:p>
        </w:tc>
      </w:tr>
      <w:tr>
        <w:tc>
          <w:tcPr>
            <w:tcW w:type="dxa" w:w="3312"/>
            <w:shd w:fill="F8FAFC"/>
            <w:tcMar>
              <w:top w:w="90" w:type="dxa"/>
              <w:bottom w:w="90" w:type="dxa"/>
              <w:left w:w="120" w:type="dxa"/>
              <w:right w:w="120" w:type="dxa"/>
            </w:tcMar>
          </w:tcPr>
          <w:p>
            <w:r>
              <w:rPr>
                <w:rFonts w:ascii="Calibri" w:hAnsi="Calibri"/>
                <w:color w:val="1E293B"/>
                <w:sz w:val="18"/>
              </w:rPr>
              <w:t>PR-004 Financial Analytics Suite</w:t>
            </w:r>
          </w:p>
        </w:tc>
        <w:tc>
          <w:tcPr>
            <w:tcW w:type="dxa" w:w="4320"/>
            <w:shd w:fill="F8FAFC"/>
            <w:tcMar>
              <w:top w:w="90" w:type="dxa"/>
              <w:bottom w:w="90" w:type="dxa"/>
              <w:left w:w="120" w:type="dxa"/>
              <w:right w:w="120" w:type="dxa"/>
            </w:tcMar>
          </w:tcPr>
          <w:p>
            <w:r>
              <w:rPr>
                <w:rFonts w:ascii="Calibri" w:hAnsi="Calibri"/>
                <w:color w:val="1E293B"/>
                <w:sz w:val="18"/>
              </w:rPr>
              <w:t>Reconciliation of overdue &amp; at-risk counters, WCAG accessibility.</w:t>
            </w:r>
          </w:p>
        </w:tc>
        <w:tc>
          <w:tcPr>
            <w:tcW w:type="dxa" w:w="1728"/>
            <w:shd w:fill="F8FAFC"/>
            <w:tcMar>
              <w:top w:w="90" w:type="dxa"/>
              <w:bottom w:w="90" w:type="dxa"/>
              <w:left w:w="120" w:type="dxa"/>
              <w:right w:w="120" w:type="dxa"/>
            </w:tcMar>
          </w:tcPr>
          <w:p>
            <w:r>
              <w:rPr>
                <w:rFonts w:ascii="Calibri" w:hAnsi="Calibri"/>
                <w:color w:val="1E293B"/>
                <w:sz w:val="18"/>
              </w:rPr>
              <w:t>PASS (100%)</w:t>
            </w:r>
          </w:p>
        </w:tc>
      </w:tr>
      <w:tr>
        <w:tc>
          <w:tcPr>
            <w:tcW w:type="dxa" w:w="3312"/>
            <w:shd w:fill="FFFFFF"/>
            <w:tcMar>
              <w:top w:w="90" w:type="dxa"/>
              <w:bottom w:w="90" w:type="dxa"/>
              <w:left w:w="120" w:type="dxa"/>
              <w:right w:w="120" w:type="dxa"/>
            </w:tcMar>
          </w:tcPr>
          <w:p>
            <w:r>
              <w:rPr>
                <w:rFonts w:ascii="Calibri" w:hAnsi="Calibri"/>
                <w:color w:val="1E293B"/>
                <w:sz w:val="18"/>
              </w:rPr>
              <w:t>PR-005 Excel Import Suite</w:t>
            </w:r>
          </w:p>
        </w:tc>
        <w:tc>
          <w:tcPr>
            <w:tcW w:type="dxa" w:w="4320"/>
            <w:shd w:fill="FFFFFF"/>
            <w:tcMar>
              <w:top w:w="90" w:type="dxa"/>
              <w:bottom w:w="90" w:type="dxa"/>
              <w:left w:w="120" w:type="dxa"/>
              <w:right w:w="120" w:type="dxa"/>
            </w:tcMar>
          </w:tcPr>
          <w:p>
            <w:r>
              <w:rPr>
                <w:rFonts w:ascii="Calibri" w:hAnsi="Calibri"/>
                <w:color w:val="1E293B"/>
                <w:sz w:val="18"/>
              </w:rPr>
              <w:t>0-Rupee balance drift validation, corrupted row rejection.</w:t>
            </w:r>
          </w:p>
        </w:tc>
        <w:tc>
          <w:tcPr>
            <w:tcW w:type="dxa" w:w="1728"/>
            <w:shd w:fill="FFFFFF"/>
            <w:tcMar>
              <w:top w:w="90" w:type="dxa"/>
              <w:bottom w:w="90" w:type="dxa"/>
              <w:left w:w="120" w:type="dxa"/>
              <w:right w:w="120" w:type="dxa"/>
            </w:tcMar>
          </w:tcPr>
          <w:p>
            <w:r>
              <w:rPr>
                <w:rFonts w:ascii="Calibri" w:hAnsi="Calibri"/>
                <w:color w:val="1E293B"/>
                <w:sz w:val="18"/>
              </w:rPr>
              <w:t>PASS (100%)</w:t>
            </w:r>
          </w:p>
        </w:tc>
      </w:tr>
      <w:tr>
        <w:tc>
          <w:tcPr>
            <w:tcW w:type="dxa" w:w="3312"/>
            <w:shd w:fill="F8FAFC"/>
            <w:tcMar>
              <w:top w:w="90" w:type="dxa"/>
              <w:bottom w:w="90" w:type="dxa"/>
              <w:left w:w="120" w:type="dxa"/>
              <w:right w:w="120" w:type="dxa"/>
            </w:tcMar>
          </w:tcPr>
          <w:p>
            <w:r>
              <w:rPr>
                <w:rFonts w:ascii="Calibri" w:hAnsi="Calibri"/>
                <w:color w:val="1E293B"/>
                <w:sz w:val="18"/>
              </w:rPr>
              <w:t>PR-006 Partial Payment Suite</w:t>
            </w:r>
          </w:p>
        </w:tc>
        <w:tc>
          <w:tcPr>
            <w:tcW w:type="dxa" w:w="4320"/>
            <w:shd w:fill="F8FAFC"/>
            <w:tcMar>
              <w:top w:w="90" w:type="dxa"/>
              <w:bottom w:w="90" w:type="dxa"/>
              <w:left w:w="120" w:type="dxa"/>
              <w:right w:w="120" w:type="dxa"/>
            </w:tcMar>
          </w:tcPr>
          <w:p>
            <w:r>
              <w:rPr>
                <w:rFonts w:ascii="Calibri" w:hAnsi="Calibri"/>
                <w:color w:val="1E293B"/>
                <w:sz w:val="18"/>
              </w:rPr>
              <w:t>Partial instalment tracking, cash-in-hand totalizer accuracy.</w:t>
            </w:r>
          </w:p>
        </w:tc>
        <w:tc>
          <w:tcPr>
            <w:tcW w:type="dxa" w:w="1728"/>
            <w:shd w:fill="F8FAFC"/>
            <w:tcMar>
              <w:top w:w="90" w:type="dxa"/>
              <w:bottom w:w="90" w:type="dxa"/>
              <w:left w:w="120" w:type="dxa"/>
              <w:right w:w="120" w:type="dxa"/>
            </w:tcMar>
          </w:tcPr>
          <w:p>
            <w:r>
              <w:rPr>
                <w:rFonts w:ascii="Calibri" w:hAnsi="Calibri"/>
                <w:color w:val="1E293B"/>
                <w:sz w:val="18"/>
              </w:rPr>
              <w:t>PASS (100%)</w:t>
            </w:r>
          </w:p>
        </w:tc>
      </w:tr>
      <w:tr>
        <w:tc>
          <w:tcPr>
            <w:tcW w:type="dxa" w:w="3312"/>
            <w:shd w:fill="FFFFFF"/>
            <w:tcMar>
              <w:top w:w="90" w:type="dxa"/>
              <w:bottom w:w="90" w:type="dxa"/>
              <w:left w:w="120" w:type="dxa"/>
              <w:right w:w="120" w:type="dxa"/>
            </w:tcMar>
          </w:tcPr>
          <w:p>
            <w:r>
              <w:rPr>
                <w:rFonts w:ascii="Calibri" w:hAnsi="Calibri"/>
                <w:color w:val="1E293B"/>
                <w:sz w:val="18"/>
              </w:rPr>
              <w:t>Enterprise 6 Pro Features Suite</w:t>
            </w:r>
          </w:p>
        </w:tc>
        <w:tc>
          <w:tcPr>
            <w:tcW w:type="dxa" w:w="4320"/>
            <w:shd w:fill="FFFFFF"/>
            <w:tcMar>
              <w:top w:w="90" w:type="dxa"/>
              <w:bottom w:w="90" w:type="dxa"/>
              <w:left w:w="120" w:type="dxa"/>
              <w:right w:w="120" w:type="dxa"/>
            </w:tcMar>
          </w:tcPr>
          <w:p>
            <w:r>
              <w:rPr>
                <w:rFonts w:ascii="Calibri" w:hAnsi="Calibri"/>
                <w:color w:val="1E293B"/>
                <w:sz w:val="18"/>
              </w:rPr>
              <w:t>KYC vault, Guarantor WhatsApp, Passbook, ESC/POS printer, Settlement NOC, Credit ratings.</w:t>
            </w:r>
          </w:p>
        </w:tc>
        <w:tc>
          <w:tcPr>
            <w:tcW w:type="dxa" w:w="1728"/>
            <w:shd w:fill="FFFFFF"/>
            <w:tcMar>
              <w:top w:w="90" w:type="dxa"/>
              <w:bottom w:w="90" w:type="dxa"/>
              <w:left w:w="120" w:type="dxa"/>
              <w:right w:w="120" w:type="dxa"/>
            </w:tcMar>
          </w:tcPr>
          <w:p>
            <w:r>
              <w:rPr>
                <w:rFonts w:ascii="Calibri" w:hAnsi="Calibri"/>
                <w:color w:val="1E293B"/>
                <w:sz w:val="18"/>
              </w:rPr>
              <w:t>PASS (100%)</w:t>
            </w:r>
          </w:p>
        </w:tc>
      </w:tr>
    </w:tbl>
    <w:p>
      <w:pPr>
        <w:spacing w:before="0" w:after="120"/>
      </w:pPr>
    </w:p>
    <w:p>
      <w:pPr>
        <w:spacing w:before="400" w:after="80"/>
      </w:pPr>
      <w:r>
        <w:rPr>
          <w:b/>
        </w:rPr>
        <w:t xml:space="preserve">Certified &amp; Handed Over By: </w:t>
      </w:r>
      <w:r>
        <w:t>JSR Finance Engineering &amp; Product Quality Assurance Team</w:t>
        <w:br/>
      </w:r>
      <w:r>
        <w:t>Approved for Commercial Deployment: October 2026</w:t>
      </w:r>
    </w:p>
    <w:sectPr w:rsidR="00FC693F" w:rsidRPr="0006063C" w:rsidSect="00034616">
      <w:footerReference w:type="default" r:id="rId9"/>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Calibri" w:hAnsi="Calibri"/>
        <w:color w:val="94A3B8"/>
        <w:sz w:val="17"/>
      </w:rPr>
      <w:t>JSR Finance — Confidential Client Manual | Version 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