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Questions &amp; Answers: Invoice Extraction System</w:t>
      </w:r>
    </w:p>
    <w:p>
      <w:r>
        <w:t>Use this document to prepare for deep-dive technical questions regarding your architectural choices, algorithms, and scaling considerations.</w:t>
      </w:r>
    </w:p>
    <w:p>
      <w:r>
        <w:rPr>
          <w:b/>
          <w:i w:val="0"/>
        </w:rPr>
        <w:t>Q1: Why did you choose a hybrid VLM + OCR approach instead of just using a traditional layout parser like LayoutLM or AWS Textract?</w:t>
      </w:r>
    </w:p>
    <w:p>
      <w:r>
        <w:t>A: VLMs (like Gemini 2.5 Flash) provide incredible flexibility and multi-lingual support out-of-the-box. When a new vendor changes their invoice template, a traditional parser often breaks or requires fine-tuning. A VLM adapts instantly. However, VLMs are prone to hallucinating numbers and dates. By combining the VLM's semantic understanding with a deterministic OCR engine (Tesseract), we get the best of both worlds: extreme flexibility and pixel-perfect accuracy.</w:t>
      </w:r>
    </w:p>
    <w:p/>
    <w:p>
      <w:r>
        <w:rPr>
          <w:b/>
          <w:i w:val="0"/>
        </w:rPr>
        <w:t>Q2: How exactly does your grounding algorithm prevent hallucinations?</w:t>
      </w:r>
    </w:p>
    <w:p>
      <w:r>
        <w:t>A: Once the VLM returns the structured JSON, the grounding algorithm takes every extracted value (e.g., '5845.50') and searches for it in the OCR text array using a sliding window and fuzzy string matching (RapidFuzz). If it finds a match, it attaches the exact X/Y pixel coordinates to the JSON output. If the VLM hallucinated a value that doesn't actually exist on the page, the grounding algorithm won't find a bounding box, and the system heavily penalizes that field's confidence score to flag it for human review.</w:t>
      </w:r>
    </w:p>
    <w:p/>
    <w:p>
      <w:r>
        <w:rPr>
          <w:b/>
          <w:i w:val="0"/>
        </w:rPr>
        <w:t>Q3: How do you handle data formatting differences, for example, if the invoice says '10th of July, 2026' but the downstream system needs '2026-07-10'?</w:t>
      </w:r>
    </w:p>
    <w:p>
      <w:r>
        <w:t>A: The prompt engineering instructs the VLM to normalize dates to the ISO 8601 format. My grounding algorithm is 'date-aware'. It parses the normalized '2026-07-10', generates common string variants (like 'July 10', '10/07/26', '07/10/2026'), and searches the OCR text for any of those variants. This allows us to deliver clean, normalized data to downstream systems while still providing the correct bounding box from the original document.</w:t>
      </w:r>
    </w:p>
    <w:p/>
    <w:p>
      <w:r>
        <w:rPr>
          <w:b/>
          <w:i w:val="0"/>
        </w:rPr>
        <w:t>Q4: How did you calculate the confidence scores?</w:t>
      </w:r>
    </w:p>
    <w:p>
      <w:r>
        <w:t>A: The confidence score is a composite weighted average of three independent signals. 1) The OCR engine's raw pixel confidence (how clearly the text was printed). 2) The Grounding Match score (how closely the VLM's output matched the text on the page). 3) The Validation score (did the arithmetic check out? Was it a valid date?). By combining these three independent signals, the system can very accurately predict when it made a mistake.</w:t>
      </w:r>
    </w:p>
    <w:p/>
    <w:p>
      <w:r>
        <w:rPr>
          <w:b/>
          <w:i w:val="0"/>
        </w:rPr>
        <w:t>Q5: How would you scale this system to process 10,000 or 100,000 invoices a day?</w:t>
      </w:r>
    </w:p>
    <w:p>
      <w:r>
        <w:t>A: Right now, the API is synchronous. To scale, I would decouple the API from the extraction engine. The FastAPI endpoint would immediately accept the PDF, save it to cloud storage (like AWS S3), and put a job in a message queue (like RabbitMQ or AWS SQS). A pool of worker nodes would pull from the queue, run the VLM+OCR extraction, and then store the JSON in a database or trigger a webhook back to the client. This allows the workers to scale horizontally based on queue length.</w:t>
      </w:r>
    </w:p>
    <w:p/>
    <w:p>
      <w:r>
        <w:rPr>
          <w:b/>
          <w:i w:val="0"/>
        </w:rPr>
        <w:t>Q6: Why did you use Docker for this assignment?</w:t>
      </w:r>
    </w:p>
    <w:p>
      <w:r>
        <w:t>A: Machine Learning applications notoriously suffer from 'it works on my machine' syndrome. Specifically, this project requires OS-level dependencies like Tesseract and Poppler, which are difficult to install uniformly across Windows, Mac, and Linux. By using Docker, I guarantee that the environment is reproducible, consistent, and ready for cloud deployment out-of-the-box.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