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Debt Management &amp; Recovery Strategies for Indians</w:t>
      </w:r>
    </w:p>
    <w:p>
      <w:pPr>
        <w:spacing w:after="300"/>
      </w:pPr>
      <w:r>
        <w:rPr>
          <w:i/>
          <w:iCs/>
          <w:color w:val="555555"/>
          <w:sz w:val="20"/>
          <w:szCs w:val="20"/>
        </w:rPr>
        <w:t xml:space="preserve">Strategies to manage, reduce, and recover from debt in the Indian financial system</w:t>
      </w:r>
    </w:p>
    <w:p>
      <w:pPr>
        <w:pStyle w:val="Heading1"/>
      </w:pPr>
      <w:r>
        <w:t xml:space="preserve">1. Understanding the Indian Debt Landscape</w:t>
      </w:r>
    </w:p>
    <w:p>
      <w:pPr>
        <w:spacing w:after="200"/>
        <w:jc w:val="both"/>
      </w:pPr>
      <w:r>
        <w:t xml:space="preserve">Common debt instruments Indians carry include home loans (typically 6.9-9.5% interest, 15-30 year tenure), car loans (8-13%, 3-7 years), personal loans (10.5-24%, 1-5 years), education loans (8-15%, with moratorium during study period), credit card debt (36-48% annualized if revolved), and gold loans (7-15%, collateral-backed, quick disbursal). Understanding the interest rate hierarchy is the first step to prioritizing repayment: always clear the highest-interest debt first (credit cards, then personal loans) before accelerating lower-interest secured debt (home/car loans) which often carries tax benefits.</w:t>
      </w:r>
    </w:p>
    <w:p>
      <w:pPr>
        <w:pStyle w:val="Heading1"/>
      </w:pPr>
      <w:r>
        <w:t xml:space="preserve">2. The CIBIL Score and Credit Health</w:t>
      </w:r>
    </w:p>
    <w:p>
      <w:pPr>
        <w:spacing w:after="200"/>
        <w:jc w:val="both"/>
      </w:pPr>
      <w:r>
        <w:t xml:space="preserve">The CIBIL score (300-900 range, maintained by TransUnion CIBIL) is India's primary credit score, with equivalents from Experian, Equifax, and CRIF High Mark. A score above 750 is considered good and unlocks the lowest interest rates; below 650 significantly restricts loan access or increases rates by 2-4%. Key factors affecting the score: payment history (35% weight — even one missed EMI/credit card payment can drop the score by 50-100 points), credit utilization ratio (30% weight — keep credit card usage below 30% of the total limit), length of credit history (15%), credit mix (10%), and number of recent inquiries (10% — too many loan applications in a short period signals credit hunger). Check your CIBIL report free once a year via the official CIBIL website and dispute any errors immediately.</w:t>
      </w:r>
    </w:p>
    <w:p>
      <w:pPr>
        <w:pStyle w:val="Heading1"/>
      </w:pPr>
      <w:r>
        <w:t xml:space="preserve">3. Debt Snowball vs Debt Avalanche Method</w:t>
      </w:r>
    </w:p>
    <w:p>
      <w:pPr>
        <w:spacing w:after="200"/>
        <w:jc w:val="both"/>
      </w:pPr>
      <w:r>
        <w:rPr>
          <w:b/>
          <w:bCs/>
        </w:rPr>
        <w:t xml:space="preserve">Debt Avalanche</w:t>
      </w:r>
      <w:r>
        <w:t xml:space="preserve">: pay minimums on all debts, then direct all extra funds to the highest-interest debt first (mathematically optimal — saves the most money over time). Best for disciplined individuals focused purely on minimizing total interest paid. </w:t>
      </w:r>
      <w:r>
        <w:rPr>
          <w:b/>
          <w:bCs/>
        </w:rPr>
        <w:t xml:space="preserve">Debt Snowball</w:t>
      </w:r>
      <w:r>
        <w:t xml:space="preserve">: pay minimums on all debts, then direct extra funds to the smallest balance first, regardless of interest rate — this builds psychological momentum through quick wins, which behavioral finance research shows improves long-term adherence for many people. For Indian borrowers juggling credit card debt (high interest) alongside a small personal loan, a hybrid approach — avalanche for the top 1-2 highest-rate debts, snowball for small residual balances — often works best in practice.</w:t>
      </w:r>
    </w:p>
    <w:p>
      <w:pPr>
        <w:pStyle w:val="Heading1"/>
      </w:pPr>
      <w:r>
        <w:t xml:space="preserve">4. Handling Credit Card Debt Specifically</w:t>
      </w:r>
    </w:p>
    <w:p>
      <w:pPr>
        <w:spacing w:after="200"/>
        <w:jc w:val="both"/>
      </w:pPr>
      <w:r>
        <w:t xml:space="preserve">Credit card debt is the most dangerous due to its 36-48% effective annual rate when only minimum payments are made. Recovery strategy: (a) stop using the card for new spending immediately, (b) call the issuing bank to negotiate a balance transfer to a lower-rate personal loan or another card's 0% balance transfer offer (many Indian banks offer 3-6 month interest-free balance transfer windows), (c) if overwhelmed, request a structured settlement or EMI conversion directly with the bank — most banks prefer restructuring over default, (d) avoid taking a new personal loan just to pay off one card while leaving others open, as this often masks rather than solves the underlying spending issue.</w:t>
      </w:r>
    </w:p>
    <w:p>
      <w:pPr>
        <w:pStyle w:val="Heading1"/>
      </w:pPr>
      <w:r>
        <w:t xml:space="preserve">5. Loan Restructuring and Settlement Options</w:t>
      </w:r>
    </w:p>
    <w:p>
      <w:pPr>
        <w:spacing w:after="200"/>
        <w:jc w:val="both"/>
      </w:pPr>
      <w:r>
        <w:t xml:space="preserve">If genuinely unable to service debt, Indian borrowers have several formal options: </w:t>
      </w:r>
      <w:r>
        <w:rPr>
          <w:b/>
          <w:bCs/>
        </w:rPr>
        <w:t xml:space="preserve">One-Time Settlement (OTS)</w:t>
      </w:r>
      <w:r>
        <w:t xml:space="preserve"> — negotiating a lump-sum reduced payoff, but this severely damages CIBIL score (marked as "settled" rather than "closed" for 7 years) and should be a last resort; </w:t>
      </w:r>
      <w:r>
        <w:rPr>
          <w:b/>
          <w:bCs/>
        </w:rPr>
        <w:t xml:space="preserve">Loan restructuring</w:t>
      </w:r>
      <w:r>
        <w:t xml:space="preserve"> — extending tenure or temporarily reducing EMI via the bank's restructuring policy (RBI guidelines allow this under specific hardship circumstances); </w:t>
      </w:r>
      <w:r>
        <w:rPr>
          <w:b/>
          <w:bCs/>
        </w:rPr>
        <w:t xml:space="preserve">Debt consolidation loan</w:t>
      </w:r>
      <w:r>
        <w:t xml:space="preserve"> — taking one lower-interest loan to pay off multiple higher-interest debts, simplifying repayment into a single EMI; and </w:t>
      </w:r>
      <w:r>
        <w:rPr>
          <w:b/>
          <w:bCs/>
        </w:rPr>
        <w:t xml:space="preserve">Insolvency and Bankruptcy Code (IBC) provisions for individuals</w:t>
      </w:r>
      <w:r>
        <w:t xml:space="preserve"> — a formal legal route for extreme cases, involving a repayment plan under a resolution professional.</w:t>
      </w:r>
    </w:p>
    <w:p>
      <w:pPr>
        <w:pStyle w:val="Heading1"/>
      </w:pPr>
      <w:r>
        <w:t xml:space="preserve">6. Avoiding Common Debt Traps in India</w:t>
      </w:r>
    </w:p>
    <w:p>
      <w:pPr>
        <w:spacing w:after="200"/>
        <w:jc w:val="both"/>
      </w:pPr>
      <w:r>
        <w:t xml:space="preserve">Watch for: (a) "Buy Now Pay Later" (BNPL) apps that feel free but often carry 24-36% effective rates if not repaid within the interest-free window, and multiple small BNPL commitments across apps can silently balloon into significant debt without appearing on CIBIL immediately; (b) gold loan rollovers — repeatedly renewing a gold loan instead of repaying principal, which compounds interest and risks losing pledged gold at auction; (c) informal/unregulated moneylenders charging 24-60% monthly (not annual) interest — always prefer regulated NBFCs or banks even if the paperwork feels slower; (d) co-signing loans for family/friends — you become equally liable, and this often surfaces as a hidden liability affecting your own creditworthiness.</w:t>
      </w:r>
    </w:p>
    <w:p>
      <w:pPr>
        <w:pStyle w:val="Heading1"/>
      </w:pPr>
      <w:r>
        <w:t xml:space="preserve">7. Emergency Debt Triage Framework</w:t>
      </w:r>
    </w:p>
    <w:p>
      <w:pPr>
        <w:spacing w:after="200"/>
        <w:jc w:val="both"/>
      </w:pPr>
      <w:r>
        <w:t xml:space="preserve">If facing multiple debt obligations you cannot currently service: Step 1 — list every debt with balance, interest rate, and minimum payment. Step 2 — contact lenders proactively before missing payments (banks have significantly more flexibility for borrowers who communicate early vs those who simply default). Step 3 — prioritize secured debt (home/car loan, where default risks asset repossession) over unsecured debt in terms of protecting essential assets, while still not ignoring unsecured debt entirely. Step 4 — explore whether liquidating non-essential assets (idle gold, an underused second vehicle, non-core investments) can clear high-interest debt faster than servicing it over years. Step 5 — if income disruption is temporary (job loss, medical event), inform lenders — many offer 1-3 month moratoriums in genuine hardship cases.</w:t>
      </w:r>
    </w:p>
    <w:p>
      <w:pPr>
        <w:pStyle w:val="Heading1"/>
      </w:pPr>
      <w:r>
        <w:t xml:space="preserve">8. Debt-to-Income Ratio Targets</w:t>
      </w:r>
    </w:p>
    <w:p>
      <w:pPr>
        <w:spacing w:after="200"/>
        <w:jc w:val="both"/>
      </w:pPr>
      <w:r>
        <w:t xml:space="preserve">Financial health frameworks recommend keeping total EMI obligations (including credit card minimums) below 40% of gross monthly income; above 50% is considered a red-flag debt burden requiring immediate corrective action. Within this, housing-related debt (home loan EMI or rent) should ideally not exceed 28-30% of income on its own. If your debt-to-income ratio has crossed 50%, prioritize the avalanche method on unsecured debt, pause all discretionary spending, and consider a temporary income boost (freelancing, asset sale) rather than taking on additional debt to bridge the gap.</w:t>
      </w:r>
    </w:p>
    <w:p>
      <w:pPr>
        <w:pStyle w:val="Heading1"/>
      </w:pPr>
      <w:r>
        <w:t xml:space="preserve">9. Rebuilding Credit After Debt Recovery</w:t>
      </w:r>
    </w:p>
    <w:p>
      <w:pPr>
        <w:spacing w:after="200"/>
        <w:jc w:val="both"/>
      </w:pPr>
      <w:r>
        <w:t xml:space="preserve">Post-recovery, rebuild credit health by: making all EMI/credit card payments on time for a sustained 12-18 month period (this is the single strongest lever for score recovery), keeping credit utilization below 30% consistently, avoiding closing your oldest credit card (length of credit history matters), and taking on a small, easily-serviceable line of credit (like a secured credit card against a fixed deposit) if your score has dropped significantly, to demonstrate renewed responsible usage. Most Indians who follow disciplined repayment can see CIBIL score recovery of 50-100 points within 6-12 months.</w:t>
      </w:r>
    </w:p>
    <w:p>
      <w:pPr>
        <w:pStyle w:val="Heading1"/>
      </w:pPr>
      <w:r>
        <w:t xml:space="preserve">10. Long-Term Debt-Free Strategy</w:t>
      </w:r>
    </w:p>
    <w:p>
      <w:pPr>
        <w:spacing w:after="200"/>
        <w:jc w:val="both"/>
      </w:pPr>
      <w:r>
        <w:t xml:space="preserve">Once free of high-interest debt, maintain a "debt discipline" framework: only take on debt for appreciating or income-generating assets (home, education, business capital) rather than depreciating consumption (vacations, gadgets, weddings on credit); maintain an emergency fund of 6 months' expenses specifically to avoid future reliance on high-interest debt during income shocks; and review your credit report annually even when debt-free, to catch identity fraud or reporting errors early. The long-term goal is using debt as a strategic tool for wealth building (leveraged real estate, business expansion) rather than a coping mechanism for cash flow gaps.</w:t>
      </w:r>
    </w:p>
    <w:p>
      <w:pPr>
        <w:pStyle w:val="Heading1"/>
      </w:pPr>
      <w:r>
        <w:t xml:space="preserve">11. Education Loan Management Strategies</w:t>
      </w:r>
    </w:p>
    <w:p>
      <w:pPr>
        <w:spacing w:after="200"/>
        <w:jc w:val="both"/>
      </w:pPr>
      <w:r>
        <w:t xml:space="preserve">Education loans (8-15% interest, with a moratorium period during study plus typically 6-12 months after course completion before EMI starts) are common among Indian families funding higher education, especially abroad. Key strategies: prioritize government bank education loans (SBI, Bank of Baroda, etc.) which often offer lower rates and better terms for recognized institutions/courses than private lenders or NBFCs; utilize the interest subsidy schemes available for economically weaker sections under central/state government schemes where eligible; and if possible, service at least the interest portion during the moratorium period (even though not mandatory) to prevent it from compounding into the principal, which can significantly reduce the total repayment burden once the moratorium ends. Under Section 80E, the entire interest paid on an education loan (no upper limit) is tax-deductible for up to 8 years, making timely, documented repayment doubly beneficial.</w:t>
      </w:r>
    </w:p>
    <w:p>
      <w:pPr>
        <w:pStyle w:val="Heading1"/>
      </w:pPr>
      <w:r>
        <w:t xml:space="preserve">12. Family and Informal Debt Considerations</w:t>
      </w:r>
    </w:p>
    <w:p>
      <w:pPr>
        <w:spacing w:after="200"/>
        <w:jc w:val="both"/>
      </w:pPr>
      <w:r>
        <w:t xml:space="preserve">Loans from family members or informal community lending circles (chit funds, ROSCAs) are common in Indian households and deserve the same disciplined treatment as formal debt, despite often having no formal interest rate or fixed schedule. Best practices: document informal loans in writing (even a simple signed note) specifying amount, expected repayment timeline, and any interest, to avoid relationship strain and misunderstandings later; treat repayment commitments to family with the same priority as bank EMIs in your monthly cash flow planning, since delayed informal repayment can damage family relationships in ways a damaged CIBIL score cannot fully capture; and exercise particular caution with chit funds — while regulated chit funds (registered under the Chit Funds Act) are legal and can offer reasonable returns/liquidity, unregistered or informal chit schemes carry significant fraud risk and should be avoided or heavily scrutinized before participation, especially given periodic reports of chit fund defaults and scams across various Indian states.</w:t>
      </w:r>
    </w:p>
    <w:p>
      <w:pPr>
        <w:pStyle w:val="Heading1"/>
      </w:pPr>
      <w:r>
        <w:t xml:space="preserve">13. Legal Protections and Borrower Rights in India</w:t>
      </w:r>
    </w:p>
    <w:p>
      <w:pPr>
        <w:spacing w:after="200"/>
        <w:jc w:val="both"/>
      </w:pPr>
      <w:r>
        <w:t xml:space="preserve">Indian borrowers have several legal protections worth understanding: the RBI's Fair Practices Code requires lenders to provide clear loan terms, avoid harassment during recovery, and follow specific timing/conduct rules for collection calls and visits (recovery agents cannot contact borrowers before 7 AM or after 7 PM, and harassment or threats are prohibited and can be reported to the RBI Ombudsman); borrowers facing genuine hardship can request restructuring under RBI's resolution framework rather than facing immediate legal action; and the SARFAESI Act (relevant mainly for secured loans like home loans) provides a structured legal process banks must follow before asset repossession, including advance notice periods — borrowers should never ignore such notices, as engaging with the bank's restructuring options during this window is far better than allowing the process to proceed to auction.</w:t>
      </w:r>
    </w:p>
    <w:p>
      <w:pPr>
        <w:pStyle w:val="Heading1"/>
      </w:pPr>
      <w:r>
        <w:t xml:space="preserve">14. Building a Post-Debt Financial Resilience Plan</w:t>
      </w:r>
    </w:p>
    <w:p>
      <w:pPr>
        <w:spacing w:after="200"/>
        <w:jc w:val="both"/>
      </w:pPr>
      <w:r>
        <w:t xml:space="preserve">After successfully clearing significant debt, the priority shifts to preventing recurrence: build the emergency fund (6 months' expenses) immediately if it doesn't already exist, since the original debt often originated from an income shock or unplanned expense that an emergency fund would have absorbed; set a strict personal policy of never using credit cards for expenses that cannot be paid off in full that same statement cycle; maintain a maximum voluntary debt-to-income ratio target well below the 40% ceiling (many financial planners recommend staying under 25-30% voluntarily, reserving the remaining capacity as a buffer rather than a target to max out); and conduct a quarterly "financial health check" reviewing CIBIL score, total debt outstanding, and emergency fund status together, since these three metrics collectively indicate vulnerability to falling back into debt distress during the next income or expense shock.</w:t>
      </w:r>
    </w:p>
    <w:sectPr>
      <w:headerReference w:type="default" r:id="rId7"/>
      <w:footerReference w:type="default" r:id="rId8"/>
      <w:pgSz w:w="11906" w:h="16838"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SpendWise AI - Financial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outlineLvl w:val="0"/>
    </w:pPr>
    <w:rPr>
      <w:rFonts w:ascii="Arial" w:cs="Arial" w:eastAsia="Arial" w:hAnsi="Arial"/>
      <w:b/>
      <w:bCs/>
      <w:color w:val="1A5276"/>
      <w:sz w:val="40"/>
      <w:szCs w:val="40"/>
    </w:rPr>
  </w:style>
  <w:style w:type="paragraph" w:styleId="Heading1">
    <w:name w:val="Heading 1"/>
    <w:basedOn w:val="Normal"/>
    <w:next w:val="Normal"/>
    <w:qFormat/>
    <w:pPr>
      <w:spacing w:after="160" w:before="320"/>
      <w:outlineLvl w:val="0"/>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Debt Management &amp; Recovery Strategies for Indians</dc:title>
  <dc:creator>SpendWise AI Knowledge Base</dc:creator>
  <cp:lastModifiedBy>Un-named</cp:lastModifiedBy>
  <cp:revision>1</cp:revision>
  <dcterms:created xsi:type="dcterms:W3CDTF">2026-08-06T19:13:24.987Z</dcterms:created>
  <dcterms:modified xsi:type="dcterms:W3CDTF">2026-08-06T19:13:24.987Z</dcterms:modified>
</cp:coreProperties>
</file>

<file path=docProps/custom.xml><?xml version="1.0" encoding="utf-8"?>
<Properties xmlns="http://schemas.openxmlformats.org/officeDocument/2006/custom-properties" xmlns:vt="http://schemas.openxmlformats.org/officeDocument/2006/docPropsVTypes"/>
</file>