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Income Growth &amp; Payout Optimization Strategies for Indians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Practical strategies to increase salary, side income, and passive income in the Indian context</w:t>
      </w:r>
    </w:p>
    <w:p>
      <w:pPr>
        <w:pStyle w:val="Heading1"/>
      </w:pPr>
      <w:r>
        <w:t xml:space="preserve">1. Understanding Your Current Payout Structure</w:t>
      </w:r>
    </w:p>
    <w:p>
      <w:pPr>
        <w:spacing w:after="200"/>
        <w:jc w:val="both"/>
      </w:pPr>
      <w:r>
        <w:t xml:space="preserve">Before increasing income, an individual must understand their existing salary structure. A typical Indian CTC (Cost to Company) breaks down into Basic Salary (usually 40-50% of CTC), House Rent Allowance (HRA, typically 40-50% of Basic in non-metro and 50% in metro cities), Special Allowance, Leave Travel Allowance (LTA), Provident Fund contribution (12% of Basic from employer and employee each), gratuity, and performance bonus. Many employees lose 8-15% of potential take-home pay simply by not restructuring their CTC tax-efficiently. Reviewing your payslip line-by-line every appraisal cycle is the first step toward payout optimization.</w:t>
      </w:r>
    </w:p>
    <w:p>
      <w:pPr>
        <w:pStyle w:val="Heading1"/>
      </w:pPr>
      <w:r>
        <w:t xml:space="preserve">2. Salary Negotiation Strategies</w:t>
      </w:r>
    </w:p>
    <w:p>
      <w:pPr>
        <w:spacing w:after="200"/>
        <w:jc w:val="both"/>
      </w:pPr>
      <w:r>
        <w:t xml:space="preserve">Negotiate compensation using market benchmarking data from sources like Glassdoor, AmbitionBox, and Levels.fyi India before any appraisal or job switch discussion. Indian professionals who negotiate typically capture 9-15% higher offers than those who accept the first number. Key tactics: (a) always let the employer quote the number first, (b) anchor high using a researched range, (c) negotiate the total CTC including variable pay, ESOPs, and joining bonus rather than just base salary, (d) time negotiations around appraisal cycles (most Indian companies run April-June cycles), and (e) get competing offers in hand before renegotiating with your current employer — this alone can add 20-40% to a counter-offer.</w:t>
      </w:r>
    </w:p>
    <w:p>
      <w:pPr>
        <w:pStyle w:val="Heading1"/>
      </w:pPr>
      <w:r>
        <w:t xml:space="preserve">3. Switching Jobs vs Internal Growth</w:t>
      </w:r>
    </w:p>
    <w:p>
      <w:pPr>
        <w:spacing w:after="200"/>
        <w:jc w:val="both"/>
      </w:pPr>
      <w:r>
        <w:t xml:space="preserve">Data from Indian salary surveys consistently shows that switching companies yields average hikes of 25-35%, compared to 8-12% average annual increments for staying put. However, factor in notice period loss of income, joining bonus clawback clauses, and the compounding value of ESOPs/RSUs that vest over 3-4 years before deciding to switch purely for a hike. A hybrid strategy — switching every 2-3 years while maximizing internal growth (promotions, certifications) in between — tends to maximize lifetime earnings for most salaried Indians.</w:t>
      </w:r>
    </w:p>
    <w:p>
      <w:pPr>
        <w:pStyle w:val="Heading1"/>
      </w:pPr>
      <w:r>
        <w:t xml:space="preserve">4. Side Income and Freelancing in India</w:t>
      </w:r>
    </w:p>
    <w:p>
      <w:pPr>
        <w:spacing w:after="200"/>
        <w:jc w:val="both"/>
      </w:pPr>
      <w:r>
        <w:t xml:space="preserve">Common side-income streams for Indian professionals include freelance consulting (via Upwork, Fiverr, Toptal), content creation (YouTube, blogging with AdSense/affiliate income), tutoring (Unacademy, Vedantu partner programs), stock photography, and part-time consulting in one's domain expertise. Freelance income in India is typically taxed under "Income from Business or Profession" and can claim expenses as deductions, often resulting in a lower effective tax rate than a second salaried income. A realistic target for a working professional is 15-25% of primary income through a disciplined side hustle within 12-18 months.</w:t>
      </w:r>
    </w:p>
    <w:p>
      <w:pPr>
        <w:pStyle w:val="Heading1"/>
      </w:pPr>
      <w:r>
        <w:t xml:space="preserve">5. Passive Income Streams</w:t>
      </w:r>
    </w:p>
    <w:p>
      <w:pPr>
        <w:spacing w:after="200"/>
        <w:jc w:val="both"/>
      </w:pPr>
      <w:r>
        <w:t xml:space="preserve">Passive income sources relevant to Indian investors include: dividend income from stocks and mutual funds, rental income from real estate (typically 2-4% gross yield in Indian metros, higher in Tier-2 cities), interest income from bonds and fixed deposits, royalty income from creative work, and Peer-to-Peer (P2P) lending platforms like LenDenClub and Faircent (RBI-regulated, returns of 10-14% but higher risk). Building passive income of even ₹15,000-25,000/month provides substantial financial cushioning and should be a 3-5 year goal for most earners.</w:t>
      </w:r>
    </w:p>
    <w:p>
      <w:pPr>
        <w:pStyle w:val="Heading1"/>
      </w:pPr>
      <w:r>
        <w:t xml:space="preserve">6. Tax-Efficient Salary Structuring</w:t>
      </w:r>
    </w:p>
    <w:p>
      <w:pPr>
        <w:spacing w:after="200"/>
        <w:jc w:val="both"/>
      </w:pPr>
      <w:r>
        <w:t xml:space="preserve">Request your employer to restructure CTC to include: (a) higher HRA if you pay rent (fully tax-exempt up to specified limits under Section 10(13A)), (b) Leave Travel Allowance (LTA) claimed twice in a block of 4 years, (c) meal coupons/Sodexo up to ₹26,400/year tax-free, (d) reimbursement components for phone and internet bills, (e) National Pension System (NPS) employer contribution up to 10% of basic under Section 80CCD(2), which is over and above the ₹1.5 lakh Section 80C limit. A well-structured CTC of ₹12 lakh can reduce taxable income by ₹1.5-2.5 lakh annually compared to an unstructured one.</w:t>
      </w:r>
    </w:p>
    <w:p>
      <w:pPr>
        <w:pStyle w:val="Heading1"/>
      </w:pPr>
      <w:r>
        <w:t xml:space="preserve">7. Upskilling ROI in the Indian Job Market</w:t>
      </w:r>
    </w:p>
    <w:p>
      <w:pPr>
        <w:spacing w:after="200"/>
        <w:jc w:val="both"/>
      </w:pPr>
      <w:r>
        <w:t xml:space="preserve">Certifications and skills with highest salary ROI in India (2024-2025 data) include: Cloud certifications (AWS/Azure/GCP) adding 15-25% to compensation, Data Science/AI-ML skills adding 20-35%, Product Management transitions adding 30-50% from engineering roles, and PMP/Six Sigma for operations roles adding 10-20%. Government-subsidized upskilling via Skill India and NASSCOM FutureSkills Prime offers free/subsidized certifications. Budget 3-5% of annual income toward upskilling — this typically pays back within 12-18 months through hikes or job switches.</w:t>
      </w:r>
    </w:p>
    <w:p>
      <w:pPr>
        <w:pStyle w:val="Heading1"/>
      </w:pPr>
      <w:r>
        <w:t xml:space="preserve">8. Government Schemes Supporting Income Growth</w:t>
      </w:r>
    </w:p>
    <w:p>
      <w:pPr>
        <w:spacing w:after="200"/>
        <w:jc w:val="both"/>
      </w:pPr>
      <w:r>
        <w:t xml:space="preserve">Entrepreneurs and self-employed Indians can leverage: Mudra Loan scheme (collateral-free loans up to ₹10 lakh for micro-enterprises via PMMY), Stand-Up India scheme for SC/ST and women entrepreneurs (loans of ₹10 lakh to ₹1 crore), and PM SVANidhi for street vendors. For salaried individuals, the Atal Pension Yojana and NPS provide structured long-term wealth building with government co-contribution in certain schemes.</w:t>
      </w:r>
    </w:p>
    <w:p>
      <w:pPr>
        <w:pStyle w:val="Heading1"/>
      </w:pPr>
      <w:r>
        <w:t xml:space="preserve">9. Moonlighting — Legal and Financial Considerations</w:t>
      </w:r>
    </w:p>
    <w:p>
      <w:pPr>
        <w:spacing w:after="200"/>
        <w:jc w:val="both"/>
      </w:pPr>
      <w:r>
        <w:t xml:space="preserve">While moonlighting (holding a second job) remains contractually restricted at most Indian companies, legitimate side consulting, content monetization, and freelance work in non-competing domains are increasingly common. Ensure any side income is declared for tax purposes (avoiding penalties under the Income Tax Act) and does not violate your primary employment contract's non-compete or conflict-of-interest clauses. Income from moonlighting should be reported under "Income from Other Sources" or "Profits from Business/Profession" as applicable.</w:t>
      </w:r>
    </w:p>
    <w:p>
      <w:pPr>
        <w:pStyle w:val="Heading1"/>
      </w:pPr>
      <w:r>
        <w:t xml:space="preserve">10. Building a Personal Income Growth Roadmap</w:t>
      </w:r>
    </w:p>
    <w:p>
      <w:pPr>
        <w:spacing w:after="200"/>
        <w:jc w:val="both"/>
      </w:pPr>
      <w:r>
        <w:t xml:space="preserve">A practical 12-month payout optimization plan: Month 1-2 — audit current CTC structure and renegotiate with HR; Month 3-4 — start one high-ROI certification; Month 5-8 — build a side income stream generating at least ₹10,000/month; Month 9-10 — benchmark market salary and gather competing offers; Month 11-12 — execute either an internal promotion case or external switch. Track total income growth quarterly against a target of 15-20% annual increase (combining salary hikes, side income, and passive income) rather than relying on a single lever.</w:t>
      </w:r>
    </w:p>
    <w:p>
      <w:pPr>
        <w:pStyle w:val="Heading1"/>
      </w:pPr>
      <w:r>
        <w:t xml:space="preserve">11. Negotiating Variable Pay, ESOPs, and Bonuses</w:t>
      </w:r>
    </w:p>
    <w:p>
      <w:pPr>
        <w:spacing w:after="200"/>
        <w:jc w:val="both"/>
      </w:pPr>
      <w:r>
        <w:t xml:space="preserve">Total compensation in Indian companies, especially startups and IT/product firms, increasingly includes variable pay (10-30% of CTC, tied to performance ratings) and ESOPs/RSUs (equity compensation vesting over 3-4 years). When evaluating or negotiating an offer, discount ESOP value conservatively — private company ESOPs carry significant illiquidity and valuation-markdown risk (many startup ESOPs are ultimately worth far less than the grant-date valuation implies), so weigh a lower cash offer with high ESOP value carefully against a higher guaranteed cash offer. For variable pay, clarify the historical payout percentage (many companies rarely pay 100% of target variable pay) before treating it as guaranteed income in personal budgeting — a safer practice is to budget only against fixed CTC and treat variable/bonus payouts as a bonus toward investments rather than routine expenses.</w:t>
      </w:r>
    </w:p>
    <w:p>
      <w:pPr>
        <w:pStyle w:val="Heading1"/>
      </w:pPr>
      <w:r>
        <w:t xml:space="preserve">12. Income Diversification for Long-Term Stability</w:t>
      </w:r>
    </w:p>
    <w:p>
      <w:pPr>
        <w:spacing w:after="200"/>
        <w:jc w:val="both"/>
      </w:pPr>
      <w:r>
        <w:t xml:space="preserve">Relying on a single income source (one employer's salary) creates concentration risk similar to holding all investments in one stock. A resilient income strategy diversifies across at least 2-3 income streams over a 3-5 year horizon: primary salaried income, a semi-passive side income (freelancing, content, consulting), and eventually genuinely passive income (dividends, rental yield, interest income) that requires minimal ongoing time investment. Target allocation of effort: while employed full-time, dedicate 5-8 hours/week to building the second income stream consistently rather than sporadically — consistency compounds skill and reputation (client referrals, audience growth) much like SIPs compound money, and most successful side incomes among Indian professionals take 12-24 months of consistent effort before becoming materially significant (₹15,000+/month).</w:t>
      </w:r>
    </w:p>
    <w:p>
      <w:pPr>
        <w:pStyle w:val="Heading1"/>
      </w:pPr>
      <w:r>
        <w:t xml:space="preserve">13. Sector-Specific Income Growth Benchmarks in India</w:t>
      </w:r>
    </w:p>
    <w:p>
      <w:pPr>
        <w:spacing w:after="200"/>
        <w:jc w:val="both"/>
      </w:pPr>
      <w:r>
        <w:t xml:space="preserve">Income growth trajectories vary significantly by sector. </w:t>
      </w:r>
      <w:r>
        <w:rPr>
          <w:b/>
          <w:bCs/>
        </w:rPr>
        <w:t xml:space="preserve">IT/Software</w:t>
      </w:r>
      <w:r>
        <w:t xml:space="preserve">: annual increments average 8-12% for average performers, 15-20% for high performers; job switches yield 25-40%; highest-paying skill areas currently include cloud architecture, AI/ML engineering, and cybersecurity. </w:t>
      </w:r>
      <w:r>
        <w:rPr>
          <w:b/>
          <w:bCs/>
        </w:rPr>
        <w:t xml:space="preserve">BFSI (Banking, Financial Services, Insurance)</w:t>
      </w:r>
      <w:r>
        <w:t xml:space="preserve">: increments average 6-10%; relationship management and risk/compliance roles see strong demand-driven growth; professional certifications (CFA, FRM, CA) meaningfully accelerate income in this sector. </w:t>
      </w:r>
      <w:r>
        <w:rPr>
          <w:b/>
          <w:bCs/>
        </w:rPr>
        <w:t xml:space="preserve">Manufacturing/Core Engineering</w:t>
      </w:r>
      <w:r>
        <w:t xml:space="preserve">: increments average 5-8%, generally slower than IT/BFSI; specialized skills in automation, robotics, and supply chain analytics command premium salaries. </w:t>
      </w:r>
      <w:r>
        <w:rPr>
          <w:b/>
          <w:bCs/>
        </w:rPr>
        <w:t xml:space="preserve">Sales and Business Development</w:t>
      </w:r>
      <w:r>
        <w:t xml:space="preserve">: base salary growth is often modest (5-8%), but incentive-linked variable pay can substantially increase total compensation for high performers, sometimes 1.5-2x base in strong years. Understanding your specific sector's benchmark prevents both under-negotiating (accepting below-market hikes) and unrealistic expectations that lead to frustration.</w:t>
      </w:r>
    </w:p>
    <w:p>
      <w:pPr>
        <w:pStyle w:val="Heading1"/>
      </w:pPr>
      <w:r>
        <w:t xml:space="preserve">14. Networking and Personal Brand as Income Levers</w:t>
      </w:r>
    </w:p>
    <w:p>
      <w:pPr>
        <w:spacing w:after="200"/>
        <w:jc w:val="both"/>
      </w:pPr>
      <w:r>
        <w:t xml:space="preserve">In the Indian job market, an estimated 60-70% of senior-level opportunities are filled through referrals and networks rather than open applications, making professional networking a direct income-growth lever, not just a career "soft skill." Practical steps: maintain an active, well-curated LinkedIn profile showcasing measurable achievements (not just job titles), engage meaningfully in industry-specific communities (Slack/Discord groups, LinkedIn groups, local meetups), and consider publishing domain expertise (articles, talks, open-source contributions) to build a personal brand that attracts inbound opportunities rather than only relying on outbound job applications. Professionals with a strong personal brand and network typically receive 30-50% more inbound opportunities and often negotiate from a stronger position since they are not solely dependent on any single employer for their next role.</w:t>
      </w:r>
    </w:p>
    <w:sectPr>
      <w:headerReference w:type="default" r:id="rId7"/>
      <w:footerReference w:type="default" r:id="rId8"/>
      <w:pgSz w:w="11906" w:h="16838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SpendWise AI - Financial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Income Growth &amp; Payout Optimization Strategies for Indians</dc:title>
  <dc:creator>SpendWise AI Knowledge Base</dc:creator>
  <cp:lastModifiedBy>Un-named</cp:lastModifiedBy>
  <cp:revision>1</cp:revision>
  <dcterms:created xsi:type="dcterms:W3CDTF">2026-08-06T19:13:24.933Z</dcterms:created>
  <dcterms:modified xsi:type="dcterms:W3CDTF">2026-08-06T19:13:24.933Z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