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2E5FA3"/>
          <w:sz w:val="48"/>
          <w:szCs w:val="48"/>
        </w:rPr>
        <w:t xml:space="preserve">Business Systems Readiness Assessment</w:t>
      </w:r>
    </w:p>
    <w:p>
      <w:pPr>
        <w:spacing w:before="0" w:after="80"/>
      </w:pPr>
      <w:r>
        <w:rPr>
          <w:rFonts w:ascii="Arial" w:cs="Arial" w:eastAsia="Arial" w:hAnsi="Arial"/>
          <w:color w:val="666666"/>
          <w:sz w:val="28"/>
          <w:szCs w:val="28"/>
        </w:rPr>
        <w:t xml:space="preserve">Foundation Pathway — Sample Test Case</w:t>
      </w:r>
    </w:p>
    <w:p>
      <w:pPr>
        <w:spacing w:before="0" w:after="400"/>
      </w:pPr>
      <w:r>
        <w:rPr>
          <w:rFonts w:ascii="Arial" w:cs="Arial" w:eastAsia="Arial" w:hAnsi="Arial"/>
          <w:i/>
          <w:iCs/>
          <w:color w:val="666666"/>
          <w:sz w:val="20"/>
          <w:szCs w:val="20"/>
        </w:rPr>
        <w:t xml:space="preserve">Prepared for student review. Demonstrates the hybrid prompt output against a realistic Foundation-stage profile.</w:t>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Part 1 — Sample Foundation Profile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2"/>
              <w:bottom w:val="none" w:color="FFFFFF" w:sz="0"/>
              <w:right w:val="none" w:color="FFFFFF" w:sz="0"/>
            </w:tcBorders>
            <w:shd w:fill="EEF3FB" w:val="clear"/>
            <w:tcMar>
              <w:top w:type="dxa" w:w="120"/>
              <w:left w:type="dxa" w:w="200"/>
              <w:bottom w:type="dxa" w:w="120"/>
              <w:right w:type="dxa" w:w="200"/>
            </w:tcMar>
          </w:tcPr>
          <w:p>
            <w:pPr>
              <w:spacing w:before="0" w:after="0"/>
            </w:pPr>
            <w:r>
              <w:rPr>
                <w:rFonts w:ascii="Arial" w:cs="Arial" w:eastAsia="Arial" w:hAnsi="Arial"/>
                <w:i/>
                <w:iCs/>
                <w:color w:val="1A3A6B"/>
                <w:sz w:val="20"/>
                <w:szCs w:val="20"/>
              </w:rPr>
              <w:t xml:space="preserve">This profile represents a realistic Foundation-stage business owner. The answer choices were selected to reflect a solo service provider who is 12–18 months in, working hard, but has not yet built repeatable systems beneath her effort.</w:t>
            </w:r>
          </w:p>
        </w:tc>
      </w:tr>
    </w:tbl>
    <w:p>
      <w:pPr>
        <w:spacing w:before="160" w:after="40"/>
      </w:pPr>
      <w:r>
        <w:t xml:space="preserve"/>
      </w:r>
    </w:p>
    <w:p>
      <w:pPr>
        <w:spacing w:before="320" w:after="120"/>
      </w:pPr>
      <w:r>
        <w:rPr>
          <w:rFonts w:ascii="Arial" w:cs="Arial" w:eastAsia="Arial" w:hAnsi="Arial"/>
          <w:b/>
          <w:bCs/>
          <w:color w:val="1A1A1A"/>
          <w:sz w:val="26"/>
          <w:szCs w:val="26"/>
        </w:rPr>
        <w:t xml:space="preserve">User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Name  </w:t>
            </w:r>
            <w:r>
              <w:rPr>
                <w:rFonts w:ascii="Arial" w:cs="Arial" w:eastAsia="Arial" w:hAnsi="Arial"/>
                <w:b/>
                <w:bCs/>
                <w:color w:val="1A1A1A"/>
                <w:sz w:val="20"/>
                <w:szCs w:val="20"/>
              </w:rPr>
              <w:t xml:space="preserve">Sarah</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Pathway assigned  </w:t>
            </w:r>
            <w:r>
              <w:rPr>
                <w:rFonts w:ascii="Arial" w:cs="Arial" w:eastAsia="Arial" w:hAnsi="Arial"/>
                <w:b/>
                <w:bCs/>
                <w:color w:val="1A1A1A"/>
                <w:sz w:val="20"/>
                <w:szCs w:val="20"/>
              </w:rPr>
              <w:t xml:space="preserve">Foundation Systems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Business type  </w:t>
            </w:r>
            <w:r>
              <w:rPr>
                <w:rFonts w:ascii="Arial" w:cs="Arial" w:eastAsia="Arial" w:hAnsi="Arial"/>
                <w:b/>
                <w:bCs/>
                <w:color w:val="1A1A1A"/>
                <w:sz w:val="20"/>
                <w:szCs w:val="20"/>
              </w:rPr>
              <w:t xml:space="preserve">Life coach, solo operator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Time in business  </w:t>
            </w:r>
            <w:r>
              <w:rPr>
                <w:rFonts w:ascii="Arial" w:cs="Arial" w:eastAsia="Arial" w:hAnsi="Arial"/>
                <w:b/>
                <w:bCs/>
                <w:color w:val="1A1A1A"/>
                <w:sz w:val="20"/>
                <w:szCs w:val="20"/>
              </w:rPr>
              <w:t xml:space="preserve">Approx. 18 months</w:t>
            </w:r>
          </w:p>
        </w:tc>
      </w:tr>
    </w:tbl>
    <w:p>
      <w:pPr>
        <w:spacing w:before="200" w:after="40"/>
      </w:pPr>
      <w:r>
        <w:t xml:space="preserve"/>
      </w:r>
    </w:p>
    <w:p>
      <w:pPr>
        <w:spacing w:before="320" w:after="120"/>
      </w:pPr>
      <w:r>
        <w:rPr>
          <w:rFonts w:ascii="Arial" w:cs="Arial" w:eastAsia="Arial" w:hAnsi="Arial"/>
          <w:b/>
          <w:bCs/>
          <w:color w:val="1A1A1A"/>
          <w:sz w:val="26"/>
          <w:szCs w:val="26"/>
        </w:rPr>
        <w:t xml:space="preserve">Answer choices (Q1–Q12)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  Offer clarity  </w:t>
            </w:r>
            <w:r>
              <w:rPr>
                <w:rFonts w:ascii="Arial" w:cs="Arial" w:eastAsia="Arial" w:hAnsi="Arial"/>
                <w:b/>
                <w:bCs/>
                <w:color w:val="1A1A1A"/>
                <w:sz w:val="20"/>
                <w:szCs w:val="20"/>
              </w:rPr>
              <w:t xml:space="preserve">A — I'm still refining what I sell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Q2  Online presence  </w:t>
            </w:r>
            <w:r>
              <w:rPr>
                <w:rFonts w:ascii="Arial" w:cs="Arial" w:eastAsia="Arial" w:hAnsi="Arial"/>
                <w:b/>
                <w:bCs/>
                <w:color w:val="1A1A1A"/>
                <w:sz w:val="20"/>
                <w:szCs w:val="20"/>
              </w:rPr>
              <w:t xml:space="preserve">B — Basic website, limited conversion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Q3  Lead capture  </w:t>
            </w:r>
            <w:r>
              <w:rPr>
                <w:rFonts w:ascii="Arial" w:cs="Arial" w:eastAsia="Arial" w:hAnsi="Arial"/>
                <w:b/>
                <w:bCs/>
                <w:color w:val="1A1A1A"/>
                <w:sz w:val="20"/>
                <w:szCs w:val="20"/>
              </w:rPr>
              <w:t xml:space="preserve">A — Manual inquiries (email/DM)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Q4  CRM  </w:t>
            </w:r>
            <w:r>
              <w:rPr>
                <w:rFonts w:ascii="Arial" w:cs="Arial" w:eastAsia="Arial" w:hAnsi="Arial"/>
                <w:b/>
                <w:bCs/>
                <w:color w:val="1A1A1A"/>
                <w:sz w:val="20"/>
                <w:szCs w:val="20"/>
              </w:rPr>
              <w:t xml:space="preserve">A — Inbox or spreadsheet tracking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Q5  Follow-up  </w:t>
            </w:r>
            <w:r>
              <w:rPr>
                <w:rFonts w:ascii="Arial" w:cs="Arial" w:eastAsia="Arial" w:hAnsi="Arial"/>
                <w:b/>
                <w:bCs/>
                <w:color w:val="1A1A1A"/>
                <w:sz w:val="20"/>
                <w:szCs w:val="20"/>
              </w:rPr>
              <w:t xml:space="preserve">B — Templates but no automation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Q6  Delivery  </w:t>
            </w:r>
            <w:r>
              <w:rPr>
                <w:rFonts w:ascii="Arial" w:cs="Arial" w:eastAsia="Arial" w:hAnsi="Arial"/>
                <w:b/>
                <w:bCs/>
                <w:color w:val="1A1A1A"/>
                <w:sz w:val="20"/>
                <w:szCs w:val="20"/>
              </w:rPr>
              <w:t xml:space="preserve">A — Varies each time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Q7  Payments  </w:t>
            </w:r>
            <w:r>
              <w:rPr>
                <w:rFonts w:ascii="Arial" w:cs="Arial" w:eastAsia="Arial" w:hAnsi="Arial"/>
                <w:b/>
                <w:bCs/>
                <w:color w:val="1A1A1A"/>
                <w:sz w:val="20"/>
                <w:szCs w:val="20"/>
              </w:rPr>
              <w:t xml:space="preserve">A — Manual invoicing only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Q8  Reactivation  </w:t>
            </w:r>
            <w:r>
              <w:rPr>
                <w:rFonts w:ascii="Arial" w:cs="Arial" w:eastAsia="Arial" w:hAnsi="Arial"/>
                <w:b/>
                <w:bCs/>
                <w:color w:val="1A1A1A"/>
                <w:sz w:val="20"/>
                <w:szCs w:val="20"/>
              </w:rPr>
              <w:t xml:space="preserve">A — No reactivation efforts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Q9  Reviews  </w:t>
            </w:r>
            <w:r>
              <w:rPr>
                <w:rFonts w:ascii="Arial" w:cs="Arial" w:eastAsia="Arial" w:hAnsi="Arial"/>
                <w:b/>
                <w:bCs/>
                <w:color w:val="1A1A1A"/>
                <w:sz w:val="20"/>
                <w:szCs w:val="20"/>
              </w:rPr>
              <w:t xml:space="preserve">B — Manual requests occasionally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Q10  AI engagement  </w:t>
            </w:r>
            <w:r>
              <w:rPr>
                <w:rFonts w:ascii="Arial" w:cs="Arial" w:eastAsia="Arial" w:hAnsi="Arial"/>
                <w:b/>
                <w:bCs/>
                <w:color w:val="1A1A1A"/>
                <w:sz w:val="20"/>
                <w:szCs w:val="20"/>
              </w:rPr>
              <w:t xml:space="preserve">A — No AI tools in use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Q11  Reporting  </w:t>
            </w:r>
            <w:r>
              <w:rPr>
                <w:rFonts w:ascii="Arial" w:cs="Arial" w:eastAsia="Arial" w:hAnsi="Arial"/>
                <w:b/>
                <w:bCs/>
                <w:color w:val="1A1A1A"/>
                <w:sz w:val="20"/>
                <w:szCs w:val="20"/>
              </w:rPr>
              <w:t xml:space="preserve">A — No consistent tracking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Q12  Retention  </w:t>
            </w:r>
            <w:r>
              <w:rPr>
                <w:rFonts w:ascii="Arial" w:cs="Arial" w:eastAsia="Arial" w:hAnsi="Arial"/>
                <w:b/>
                <w:bCs/>
                <w:color w:val="1A1A1A"/>
                <w:sz w:val="20"/>
                <w:szCs w:val="20"/>
              </w:rPr>
              <w:t xml:space="preserve">A — No structured retention strategy</w:t>
            </w:r>
          </w:p>
        </w:tc>
      </w:tr>
    </w:tbl>
    <w:p>
      <w:pPr>
        <w:spacing w:before="200" w:after="40"/>
      </w:pPr>
      <w:r>
        <w:t xml:space="preserve"/>
      </w:r>
    </w:p>
    <w:p>
      <w:pPr>
        <w:spacing w:before="320" w:after="120"/>
      </w:pPr>
      <w:r>
        <w:rPr>
          <w:rFonts w:ascii="Arial" w:cs="Arial" w:eastAsia="Arial" w:hAnsi="Arial"/>
          <w:b/>
          <w:bCs/>
          <w:color w:val="1A1A1A"/>
          <w:sz w:val="26"/>
          <w:szCs w:val="26"/>
        </w:rPr>
        <w:t xml:space="preserve">ML classification reasoning signals</w:t>
      </w:r>
    </w:p>
    <w:p>
      <w:pPr>
        <w:spacing w:before="0" w:after="140"/>
        <w:jc w:val="left"/>
      </w:pPr>
      <w:r>
        <w:rPr>
          <w:rFonts w:ascii="Arial" w:cs="Arial" w:eastAsia="Arial" w:hAnsi="Arial"/>
          <w:i/>
          <w:iCs/>
          <w:color w:val="666666"/>
          <w:sz w:val="22"/>
          <w:szCs w:val="22"/>
        </w:rPr>
        <w:t xml:space="preserve">The following 5 signals were generated by the classification engine based on Sarah's answers. These are passed directly into the narrative prompt as structured input.</w:t>
      </w:r>
    </w:p>
    <w:p>
      <w:pPr>
        <w:spacing w:before="80" w:after="40"/>
      </w:pPr>
      <w:r>
        <w:t xml:space="preserve"/>
      </w:r>
    </w:p>
    <w:p>
      <w:pPr>
        <w:pStyle w:val="ListParagraph"/>
        <w:numPr>
          <w:ilvl w:val="0"/>
          <w:numId w:val="2"/>
        </w:numPr>
        <w:spacing w:before="40" w:after="60"/>
      </w:pPr>
      <w:r>
        <w:rPr>
          <w:rFonts w:ascii="Arial" w:cs="Arial" w:eastAsia="Arial" w:hAnsi="Arial"/>
          <w:color w:val="444444"/>
          <w:sz w:val="21"/>
          <w:szCs w:val="21"/>
        </w:rPr>
        <w:t xml:space="preserve">Your primary offer is still being refined, which means your messaging and systems have no stable anchor to build from yet.</w:t>
      </w:r>
    </w:p>
    <w:p>
      <w:pPr>
        <w:pStyle w:val="ListParagraph"/>
        <w:numPr>
          <w:ilvl w:val="0"/>
          <w:numId w:val="2"/>
        </w:numPr>
        <w:spacing w:before="40" w:after="60"/>
      </w:pPr>
      <w:r>
        <w:rPr>
          <w:rFonts w:ascii="Arial" w:cs="Arial" w:eastAsia="Arial" w:hAnsi="Arial"/>
          <w:color w:val="444444"/>
          <w:sz w:val="21"/>
          <w:szCs w:val="21"/>
        </w:rPr>
        <w:t xml:space="preserve">Leads arrive through email and DMs with no structured capture process, making consistent follow-up difficult to maintain.</w:t>
      </w:r>
    </w:p>
    <w:p>
      <w:pPr>
        <w:pStyle w:val="ListParagraph"/>
        <w:numPr>
          <w:ilvl w:val="0"/>
          <w:numId w:val="2"/>
        </w:numPr>
        <w:spacing w:before="40" w:after="60"/>
      </w:pPr>
      <w:r>
        <w:rPr>
          <w:rFonts w:ascii="Arial" w:cs="Arial" w:eastAsia="Arial" w:hAnsi="Arial"/>
          <w:color w:val="444444"/>
          <w:sz w:val="21"/>
          <w:szCs w:val="21"/>
        </w:rPr>
        <w:t xml:space="preserve">Client tracking happens in your inbox or spreadsheets, which works until it doesn't — and at growing volume, it doesn't.</w:t>
      </w:r>
    </w:p>
    <w:p>
      <w:pPr>
        <w:pStyle w:val="ListParagraph"/>
        <w:numPr>
          <w:ilvl w:val="0"/>
          <w:numId w:val="2"/>
        </w:numPr>
        <w:spacing w:before="40" w:after="60"/>
      </w:pPr>
      <w:r>
        <w:rPr>
          <w:rFonts w:ascii="Arial" w:cs="Arial" w:eastAsia="Arial" w:hAnsi="Arial"/>
          <w:color w:val="444444"/>
          <w:sz w:val="21"/>
          <w:szCs w:val="21"/>
        </w:rPr>
        <w:t xml:space="preserve">Every client onboarding varies, which increases your mental load and creates inconsistent client experiences.</w:t>
      </w:r>
    </w:p>
    <w:p>
      <w:pPr>
        <w:pStyle w:val="ListParagraph"/>
        <w:numPr>
          <w:ilvl w:val="0"/>
          <w:numId w:val="2"/>
        </w:numPr>
        <w:spacing w:before="40" w:after="60"/>
      </w:pPr>
      <w:r>
        <w:rPr>
          <w:rFonts w:ascii="Arial" w:cs="Arial" w:eastAsia="Arial" w:hAnsi="Arial"/>
          <w:color w:val="444444"/>
          <w:sz w:val="21"/>
          <w:szCs w:val="21"/>
        </w:rPr>
        <w:t xml:space="preserve">No automated follow-up is in place, meaning every response depends entirely on your availability in that moment.</w:t>
      </w:r>
    </w:p>
    <w:p>
      <w:pPr>
        <w:spacing w:before="120" w:after="40"/>
      </w:pPr>
      <w:r>
        <w:t xml:space="preserve"/>
      </w:r>
    </w:p>
    <w:p>
      <w:pPr>
        <w:spacing w:before="0" w:after="0"/>
      </w:pPr>
      <w:r>
        <w:br w:type="page"/>
      </w:r>
    </w:p>
    <w:p>
      <w:pPr>
        <w:pStyle w:val="Heading1"/>
        <w:pBdr>
          <w:bottom w:val="single" w:color="2E5FA3" w:sz="8" w:space="4"/>
        </w:pBdr>
        <w:spacing w:before="480" w:after="160"/>
      </w:pPr>
      <w:r>
        <w:rPr>
          <w:rFonts w:ascii="Arial" w:cs="Arial" w:eastAsia="Arial" w:hAnsi="Arial"/>
          <w:b/>
          <w:bCs/>
          <w:color w:val="2E5FA3"/>
          <w:sz w:val="36"/>
          <w:szCs w:val="36"/>
        </w:rPr>
        <w:t xml:space="preserve">Part 2 — Generated Report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2"/>
              <w:bottom w:val="none" w:color="FFFFFF" w:sz="0"/>
              <w:right w:val="none" w:color="FFFFFF" w:sz="0"/>
            </w:tcBorders>
            <w:shd w:fill="EEF3FB" w:val="clear"/>
            <w:tcMar>
              <w:top w:type="dxa" w:w="120"/>
              <w:left w:type="dxa" w:w="200"/>
              <w:bottom w:type="dxa" w:w="120"/>
              <w:right w:type="dxa" w:w="200"/>
            </w:tcMar>
          </w:tcPr>
          <w:p>
            <w:pPr>
              <w:spacing w:before="0" w:after="0"/>
            </w:pPr>
            <w:r>
              <w:rPr>
                <w:rFonts w:ascii="Arial" w:cs="Arial" w:eastAsia="Arial" w:hAnsi="Arial"/>
                <w:i/>
                <w:iCs/>
                <w:color w:val="1A3A6B"/>
                <w:sz w:val="20"/>
                <w:szCs w:val="20"/>
              </w:rPr>
              <w:t xml:space="preserve">The following report was generated by passing the profile above through the narrative assembly prompt. It demonstrates how the personalized intro, cohesive narrative, focus list, and graduation outlook come together for a Foundation-stage user.</w:t>
            </w:r>
          </w:p>
        </w:tc>
      </w:tr>
    </w:tbl>
    <w:p>
      <w:pPr>
        <w:spacing w:before="160" w:after="40"/>
      </w:pPr>
      <w:r>
        <w:t xml:space="preserve"/>
      </w:r>
    </w:p>
    <w:p>
      <w:pPr>
        <w:spacing w:before="0" w:after="160"/>
      </w:pPr>
      <w:r>
        <w:rPr>
          <w:rFonts w:ascii="Arial" w:cs="Arial" w:eastAsia="Arial" w:hAnsi="Arial"/>
          <w:b/>
          <w:bCs/>
          <w:color w:val="412402"/>
          <w:sz w:val="20"/>
          <w:szCs w:val="20"/>
          <w:shd w:fill="FAEEDA" w:val="clear"/>
        </w:rPr>
        <w:t xml:space="preserve">  Foundation Systems  </w:t>
      </w:r>
    </w:p>
    <w:p>
      <w:pPr>
        <w:spacing w:before="0" w:after="80"/>
        <w:jc w:val="left"/>
      </w:pPr>
      <w:r>
        <w:rPr>
          <w:rFonts w:ascii="Arial" w:cs="Arial" w:eastAsia="Arial" w:hAnsi="Arial"/>
          <w:i w:val="false"/>
          <w:iCs w:val="false"/>
          <w:color w:val="1A1A1A"/>
          <w:sz w:val="22"/>
          <w:szCs w:val="22"/>
        </w:rPr>
        <w:t xml:space="preserve">Hi Sarah,</w:t>
      </w:r>
    </w:p>
    <w:p>
      <w:pPr>
        <w:spacing w:before="0" w:after="140"/>
        <w:jc w:val="left"/>
      </w:pPr>
      <w:r>
        <w:rPr>
          <w:rFonts w:ascii="Arial" w:cs="Arial" w:eastAsia="Arial" w:hAnsi="Arial"/>
          <w:i w:val="false"/>
          <w:iCs w:val="false"/>
          <w:color w:val="1A1A1A"/>
          <w:sz w:val="22"/>
          <w:szCs w:val="22"/>
        </w:rPr>
        <w:t xml:space="preserve">After reviewing your answers, what comes through clearly is that you’re a capable, committed business owner who has been building largely on instinct and personal effort — and that’s gotten you further than you might give yourself credit for. Where you are right now is what we call the Foundation stage, and it simply means the systems underneath your business haven’t caught up to the work you’re already doing. That’s not a criticism — it’s actually the most common position for women who’ve been heads-down serving clients rather than building infrastructure.</w:t>
      </w:r>
    </w:p>
    <w:p>
      <w:pPr>
        <w:spacing w:before="80" w:after="40"/>
      </w:pPr>
      <w:r>
        <w:t xml:space="preserve"/>
      </w:r>
    </w:p>
    <w:p>
      <w:pPr>
        <w:spacing w:before="0" w:after="140"/>
        <w:jc w:val="left"/>
      </w:pPr>
      <w:r>
        <w:rPr>
          <w:rFonts w:ascii="Arial" w:cs="Arial" w:eastAsia="Arial" w:hAnsi="Arial"/>
          <w:i w:val="false"/>
          <w:iCs w:val="false"/>
          <w:color w:val="1A1A1A"/>
          <w:sz w:val="22"/>
          <w:szCs w:val="22"/>
        </w:rPr>
        <w:t xml:space="preserve">The pattern across your answers points to one central challenge: almost everything in your business currently runs through you personally. Leads find you through email or direct messages, client details live in your inbox or a spreadsheet, each new client gets a slightly different experience depending on what you have the bandwidth to manage that week, and follow-up happens when you remember to do it rather than automatically. This isn't a systems failure — it's a systems gap, and it's completely normal at this stage. The friction you're likely feeling — the sense that things are harder than they should be, that you're dropping balls despite working hard — comes directly from the absence of a stable structure underneath your effort.</w:t>
      </w:r>
    </w:p>
    <w:p>
      <w:pPr>
        <w:spacing w:before="40" w:after="40"/>
      </w:pPr>
      <w:r>
        <w:t xml:space="preserve"/>
      </w:r>
    </w:p>
    <w:p>
      <w:pPr>
        <w:spacing w:before="0" w:after="140"/>
        <w:jc w:val="left"/>
      </w:pPr>
      <w:r>
        <w:rPr>
          <w:rFonts w:ascii="Arial" w:cs="Arial" w:eastAsia="Arial" w:hAnsi="Arial"/>
          <w:i w:val="false"/>
          <w:iCs w:val="false"/>
          <w:color w:val="1A1A1A"/>
          <w:sz w:val="22"/>
          <w:szCs w:val="22"/>
        </w:rPr>
        <w:t xml:space="preserve">What changes when the right foundations are in place is significant. A clear offer gives everything else — your website, your messaging, your follow-up — something consistent to point to. A simple lead capture process means no inquiry gets lost. A basic CRM means you always know where every client stands without holding it in your head. These aren't complicated builds. They're small, specific things that compound quickly once they're in place.</w:t>
      </w:r>
    </w:p>
    <w:p>
      <w:pPr>
        <w:spacing w:before="120" w:after="40"/>
      </w:pPr>
      <w:r>
        <w:t xml:space="preserve"/>
      </w:r>
    </w:p>
    <w:p>
      <w:pPr>
        <w:pStyle w:val="ListParagraph"/>
        <w:numPr>
          <w:ilvl w:val="0"/>
          <w:numId w:val="3"/>
        </w:numPr>
        <w:spacing w:before="60" w:after="60"/>
      </w:pPr>
      <w:r>
        <w:rPr>
          <w:rFonts w:ascii="Arial" w:cs="Arial" w:eastAsia="Arial" w:hAnsi="Arial"/>
          <w:b/>
          <w:bCs/>
          <w:color w:val="1A1A1A"/>
          <w:sz w:val="22"/>
          <w:szCs w:val="22"/>
        </w:rPr>
        <w:t xml:space="preserve">Offer and message clarity</w:t>
      </w:r>
      <w:r>
        <w:rPr>
          <w:rFonts w:ascii="Arial" w:cs="Arial" w:eastAsia="Arial" w:hAnsi="Arial"/>
          <w:color w:val="1A1A1A"/>
          <w:sz w:val="22"/>
          <w:szCs w:val="22"/>
        </w:rPr>
        <w:t xml:space="preserve"> — define one primary offer with a single clear call to action</w:t>
      </w:r>
    </w:p>
    <w:p>
      <w:pPr>
        <w:pStyle w:val="ListParagraph"/>
        <w:numPr>
          <w:ilvl w:val="0"/>
          <w:numId w:val="3"/>
        </w:numPr>
        <w:spacing w:before="60" w:after="60"/>
      </w:pPr>
      <w:r>
        <w:rPr>
          <w:rFonts w:ascii="Arial" w:cs="Arial" w:eastAsia="Arial" w:hAnsi="Arial"/>
          <w:b/>
          <w:bCs/>
          <w:color w:val="1A1A1A"/>
          <w:sz w:val="22"/>
          <w:szCs w:val="22"/>
        </w:rPr>
        <w:t xml:space="preserve">Lead capture</w:t>
      </w:r>
      <w:r>
        <w:rPr>
          <w:rFonts w:ascii="Arial" w:cs="Arial" w:eastAsia="Arial" w:hAnsi="Arial"/>
          <w:color w:val="1A1A1A"/>
          <w:sz w:val="22"/>
          <w:szCs w:val="22"/>
        </w:rPr>
        <w:t xml:space="preserve"> — replace email/DM inquiries with a simple form or booking link that confirms automatically</w:t>
      </w:r>
    </w:p>
    <w:p>
      <w:pPr>
        <w:pStyle w:val="ListParagraph"/>
        <w:numPr>
          <w:ilvl w:val="0"/>
          <w:numId w:val="3"/>
        </w:numPr>
        <w:spacing w:before="60" w:after="60"/>
      </w:pPr>
      <w:r>
        <w:rPr>
          <w:rFonts w:ascii="Arial" w:cs="Arial" w:eastAsia="Arial" w:hAnsi="Arial"/>
          <w:b/>
          <w:bCs/>
          <w:color w:val="1A1A1A"/>
          <w:sz w:val="22"/>
          <w:szCs w:val="22"/>
        </w:rPr>
        <w:t xml:space="preserve">Basic CRM pipeline</w:t>
      </w:r>
      <w:r>
        <w:rPr>
          <w:rFonts w:ascii="Arial" w:cs="Arial" w:eastAsia="Arial" w:hAnsi="Arial"/>
          <w:color w:val="1A1A1A"/>
          <w:sz w:val="22"/>
          <w:szCs w:val="22"/>
        </w:rPr>
        <w:t xml:space="preserve"> — move every contact out of your inbox and into a structured pipeline with defined stages</w:t>
      </w:r>
    </w:p>
    <w:p>
      <w:pPr>
        <w:pStyle w:val="ListParagraph"/>
        <w:numPr>
          <w:ilvl w:val="0"/>
          <w:numId w:val="3"/>
        </w:numPr>
        <w:spacing w:before="60" w:after="60"/>
      </w:pPr>
      <w:r>
        <w:rPr>
          <w:rFonts w:ascii="Arial" w:cs="Arial" w:eastAsia="Arial" w:hAnsi="Arial"/>
          <w:b/>
          <w:bCs/>
          <w:color w:val="1A1A1A"/>
          <w:sz w:val="22"/>
          <w:szCs w:val="22"/>
        </w:rPr>
        <w:t xml:space="preserve">Client onboarding checklist</w:t>
      </w:r>
      <w:r>
        <w:rPr>
          <w:rFonts w:ascii="Arial" w:cs="Arial" w:eastAsia="Arial" w:hAnsi="Arial"/>
          <w:color w:val="1A1A1A"/>
          <w:sz w:val="22"/>
          <w:szCs w:val="22"/>
        </w:rPr>
        <w:t xml:space="preserve"> — create one repeatable process so every client gets the same strong start</w:t>
      </w:r>
    </w:p>
    <w:p>
      <w:pPr>
        <w:pStyle w:val="ListParagraph"/>
        <w:numPr>
          <w:ilvl w:val="0"/>
          <w:numId w:val="3"/>
        </w:numPr>
        <w:spacing w:before="60" w:after="60"/>
      </w:pPr>
      <w:r>
        <w:rPr>
          <w:rFonts w:ascii="Arial" w:cs="Arial" w:eastAsia="Arial" w:hAnsi="Arial"/>
          <w:b/>
          <w:bCs/>
          <w:color w:val="1A1A1A"/>
          <w:sz w:val="22"/>
          <w:szCs w:val="22"/>
        </w:rPr>
        <w:t xml:space="preserve">Automated follow-up</w:t>
      </w:r>
      <w:r>
        <w:rPr>
          <w:rFonts w:ascii="Arial" w:cs="Arial" w:eastAsia="Arial" w:hAnsi="Arial"/>
          <w:color w:val="1A1A1A"/>
          <w:sz w:val="22"/>
          <w:szCs w:val="22"/>
        </w:rPr>
        <w:t xml:space="preserve"> — set up a single confirmation workflow so responses happen without your manual effort</w:t>
      </w:r>
    </w:p>
    <w:p>
      <w:pPr>
        <w:spacing w:before="160" w:after="40"/>
      </w:pPr>
      <w:r>
        <w:t xml:space="preserve"/>
      </w:r>
    </w:p>
    <w:p>
      <w:pPr>
        <w:spacing w:before="200" w:after="80"/>
      </w:pPr>
      <w:r>
        <w:rPr>
          <w:rFonts w:ascii="Arial" w:cs="Arial" w:eastAsia="Arial" w:hAnsi="Arial"/>
          <w:b/>
          <w:bCs/>
          <w:color w:val="2E5FA3"/>
          <w:sz w:val="22"/>
          <w:szCs w:val="22"/>
        </w:rPr>
        <w:t xml:space="preserve">Graduation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val="clear"/>
            <w:tcMar>
              <w:top w:type="dxa" w:w="180"/>
              <w:left w:type="dxa" w:w="220"/>
              <w:bottom w:type="dxa" w:w="180"/>
              <w:right w:type="dxa" w:w="220"/>
            </w:tcMar>
          </w:tcPr>
          <w:p>
            <w:pPr>
              <w:spacing w:before="0" w:after="80"/>
            </w:pPr>
            <w:r>
              <w:rPr>
                <w:rFonts w:ascii="Arial" w:cs="Arial" w:eastAsia="Arial" w:hAnsi="Arial"/>
                <w:b/>
                <w:bCs/>
                <w:color w:val="BA7517"/>
                <w:sz w:val="18"/>
                <w:szCs w:val="18"/>
              </w:rPr>
              <w:t xml:space="preserve">Graduation outlook</w:t>
            </w:r>
          </w:p>
          <w:p>
            <w:pPr>
              <w:spacing w:before="0" w:after="0"/>
            </w:pPr>
            <w:r>
              <w:rPr>
                <w:rFonts w:ascii="Arial" w:cs="Arial" w:eastAsia="Arial" w:hAnsi="Arial"/>
                <w:color w:val="412402"/>
                <w:sz w:val="22"/>
                <w:szCs w:val="22"/>
              </w:rPr>
              <w:t xml:space="preserve">When your offer is clearly defined, your lead capture is working, and you're consistently using a basic CRM pipeline, something shifts in how the business feels to run. The mental load drops. Things stop falling through the cracks. And from that stable base, growing becomes a matter of adding to what works — rather than trying to build and keep up at the same time.</w:t>
            </w:r>
          </w:p>
        </w:tc>
      </w:tr>
    </w:tbl>
    <w:p>
      <w:pPr>
        <w:spacing w:before="200" w:after="40"/>
      </w:pPr>
      <w:r>
        <w:t xml:space="preserve"/>
      </w:r>
    </w:p>
    <w:p>
      <w:pPr>
        <w:pBdr>
          <w:bottom w:val="single" w:color="DDDDDD" w:sz="2" w:space="1"/>
        </w:pBdr>
        <w:spacing w:before="160" w:after="160"/>
      </w:pPr>
      <w:r>
        <w:t xml:space="preserve"/>
      </w:r>
    </w:p>
    <w:p>
      <w:pPr>
        <w:spacing w:before="80" w:after="40"/>
      </w:pPr>
      <w:r>
        <w:t xml:space="preserve"/>
      </w:r>
    </w:p>
    <w:p>
      <w:pPr>
        <w:spacing w:before="0" w:after="0"/>
      </w:pPr>
      <w:r>
        <w:rPr>
          <w:rFonts w:ascii="Arial" w:cs="Arial" w:eastAsia="Arial" w:hAnsi="Arial"/>
          <w:i/>
          <w:iCs/>
          <w:color w:val="666666"/>
          <w:sz w:val="19"/>
          <w:szCs w:val="19"/>
        </w:rPr>
        <w:t xml:space="preserve">Note for students: The word count for Parts 1 + 2 of the generated report (intro, narrative, focus list, and outlook) lands at approximately 320 words of narrative text. The 500-word ceiling provides meaningful headroom for more complex profiles. This test case represents a strongly Foundation-weighted profile — mixed profiles may generate slightly longer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rPr>
        <w:color w:val="BA7517"/>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5FA3"/>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2026-03-19T19:48:56.371Z</dcterms:created>
  <dcterms:modified xsi:type="dcterms:W3CDTF">2026-03-19T19:48:56.372Z</dcterms:modified>
</cp:coreProperties>
</file>

<file path=docProps/custom.xml><?xml version="1.0" encoding="utf-8"?>
<Properties xmlns="http://schemas.openxmlformats.org/officeDocument/2006/custom-properties" xmlns:vt="http://schemas.openxmlformats.org/officeDocument/2006/docPropsVTypes"/>
</file>