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2E5FA3"/>
          <w:sz w:val="48"/>
          <w:szCs w:val="48"/>
        </w:rPr>
        <w:t xml:space="preserve">Business Systems Readiness Assessment</w:t>
      </w:r>
    </w:p>
    <w:p>
      <w:pPr>
        <w:spacing w:before="0" w:after="80"/>
      </w:pPr>
      <w:r>
        <w:rPr>
          <w:rFonts w:ascii="Arial" w:cs="Arial" w:eastAsia="Arial" w:hAnsi="Arial"/>
          <w:color w:val="666666"/>
          <w:sz w:val="28"/>
          <w:szCs w:val="28"/>
        </w:rPr>
        <w:t xml:space="preserve">Growth Pathway — Sample Test Case</w:t>
      </w:r>
    </w:p>
    <w:p>
      <w:pPr>
        <w:spacing w:before="0" w:after="400"/>
      </w:pPr>
      <w:r>
        <w:rPr>
          <w:rFonts w:ascii="Arial" w:cs="Arial" w:eastAsia="Arial" w:hAnsi="Arial"/>
          <w:i/>
          <w:iCs/>
          <w:color w:val="666666"/>
          <w:sz w:val="20"/>
          <w:szCs w:val="20"/>
        </w:rPr>
        <w:t xml:space="preserve">Prepared for student review. Demonstrates the hybrid prompt output against a realistic Growth-stage profile.</w:t>
      </w:r>
    </w:p>
    <w:p>
      <w:pPr>
        <w:pBdr>
          <w:bottom w:val="single" w:color="DDDDDD" w:sz="2" w:space="1"/>
        </w:pBdr>
        <w:spacing w:before="160" w:after="160"/>
      </w:pPr>
      <w:r>
        <w:t xml:space="preserve"/>
      </w:r>
    </w:p>
    <w:p>
      <w:pPr>
        <w:spacing w:before="120" w:after="40"/>
      </w:pPr>
      <w:r>
        <w:t xml:space="preserve"/>
      </w:r>
    </w:p>
    <w:p>
      <w:pPr>
        <w:pStyle w:val="Heading1"/>
        <w:pBdr>
          <w:bottom w:val="single" w:color="2E5FA3" w:sz="8" w:space="4"/>
        </w:pBdr>
        <w:spacing w:before="480" w:after="160"/>
      </w:pPr>
      <w:r>
        <w:rPr>
          <w:rFonts w:ascii="Arial" w:cs="Arial" w:eastAsia="Arial" w:hAnsi="Arial"/>
          <w:b/>
          <w:bCs/>
          <w:color w:val="2E5FA3"/>
          <w:sz w:val="36"/>
          <w:szCs w:val="36"/>
        </w:rPr>
        <w:t xml:space="preserve">Part 1 — Sample Growth Profile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4"/>
              <w:bottom w:val="none" w:color="FFFFFF" w:sz="0"/>
              <w:right w:val="none" w:color="FFFFFF" w:sz="0"/>
            </w:tcBorders>
            <w:shd w:fill="EEF3FB" w:val="clear"/>
            <w:tcMar>
              <w:top w:type="dxa" w:w="140"/>
              <w:left w:type="dxa" w:w="220"/>
              <w:bottom w:type="dxa" w:w="140"/>
              <w:right w:type="dxa" w:w="220"/>
            </w:tcMar>
          </w:tcPr>
          <w:p>
            <w:pPr>
              <w:spacing w:before="0" w:after="80"/>
            </w:pPr>
            <w:r>
              <w:rPr>
                <w:rFonts w:ascii="Arial" w:cs="Arial" w:eastAsia="Arial" w:hAnsi="Arial"/>
                <w:i/>
                <w:iCs/>
                <w:color w:val="1A3A6B"/>
                <w:sz w:val="20"/>
                <w:szCs w:val="20"/>
              </w:rPr>
              <w:t xml:space="preserve">This profile represents a realistic Growth-stage business owner. The answer choices reflect a service-based business owner who has solid foundations in place but is experiencing the friction of rising volume, inconsistent follow-through, and workflows that are only partially built out.</w:t>
            </w:r>
          </w:p>
          <w:p>
            <w:pPr>
              <w:spacing w:before="0" w:after="80"/>
            </w:pPr>
            <w:r>
              <w:rPr>
                <w:rFonts w:ascii="Arial" w:cs="Arial" w:eastAsia="Arial" w:hAnsi="Arial"/>
                <w:i/>
                <w:iCs/>
                <w:color w:val="1A3A6B"/>
                <w:sz w:val="20"/>
                <w:szCs w:val="20"/>
              </w:rPr>
              <w:t xml:space="preserve"/>
            </w:r>
          </w:p>
          <w:p>
            <w:pPr>
              <w:spacing w:before="0" w:after="0"/>
            </w:pPr>
            <w:r>
              <w:rPr>
                <w:rFonts w:ascii="Arial" w:cs="Arial" w:eastAsia="Arial" w:hAnsi="Arial"/>
                <w:i/>
                <w:iCs/>
                <w:color w:val="1A3A6B"/>
                <w:sz w:val="20"/>
                <w:szCs w:val="20"/>
              </w:rPr>
              <w:t xml:space="preserve">Key distinction from Foundation: offer clarity and web presence are established. The gaps are in pipeline discipline, nurture sequences, and delivery consistency.</w:t>
            </w:r>
          </w:p>
        </w:tc>
      </w:tr>
    </w:tbl>
    <w:p>
      <w:pPr>
        <w:spacing w:before="160" w:after="40"/>
      </w:pPr>
      <w:r>
        <w:t xml:space="preserve"/>
      </w:r>
    </w:p>
    <w:p>
      <w:pPr>
        <w:spacing w:before="320" w:after="120"/>
      </w:pPr>
      <w:r>
        <w:rPr>
          <w:rFonts w:ascii="Arial" w:cs="Arial" w:eastAsia="Arial" w:hAnsi="Arial"/>
          <w:b/>
          <w:bCs/>
          <w:color w:val="1A1A1A"/>
          <w:sz w:val="26"/>
          <w:szCs w:val="26"/>
        </w:rPr>
        <w:t xml:space="preserve">User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Name  </w:t>
            </w:r>
            <w:r>
              <w:rPr>
                <w:rFonts w:ascii="Arial" w:cs="Arial" w:eastAsia="Arial" w:hAnsi="Arial"/>
                <w:b/>
                <w:bCs/>
                <w:color w:val="1A1A1A"/>
                <w:sz w:val="20"/>
                <w:szCs w:val="20"/>
              </w:rPr>
              <w:t xml:space="preserve">Michelle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Pathway assigned  </w:t>
            </w:r>
            <w:r>
              <w:rPr>
                <w:rFonts w:ascii="Arial" w:cs="Arial" w:eastAsia="Arial" w:hAnsi="Arial"/>
                <w:b/>
                <w:bCs/>
                <w:color w:val="1A1A1A"/>
                <w:sz w:val="20"/>
                <w:szCs w:val="20"/>
              </w:rPr>
              <w:t xml:space="preserve">Growth Systems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Business type  </w:t>
            </w:r>
            <w:r>
              <w:rPr>
                <w:rFonts w:ascii="Arial" w:cs="Arial" w:eastAsia="Arial" w:hAnsi="Arial"/>
                <w:b/>
                <w:bCs/>
                <w:color w:val="1A1A1A"/>
                <w:sz w:val="20"/>
                <w:szCs w:val="20"/>
              </w:rPr>
              <w:t xml:space="preserve">Marketing consultant, solo + 1 contractor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Time in business  </w:t>
            </w:r>
            <w:r>
              <w:rPr>
                <w:rFonts w:ascii="Arial" w:cs="Arial" w:eastAsia="Arial" w:hAnsi="Arial"/>
                <w:b/>
                <w:bCs/>
                <w:color w:val="1A1A1A"/>
                <w:sz w:val="20"/>
                <w:szCs w:val="20"/>
              </w:rPr>
              <w:t xml:space="preserve">Approx. 3 years</w:t>
            </w:r>
          </w:p>
        </w:tc>
      </w:tr>
    </w:tbl>
    <w:p>
      <w:pPr>
        <w:spacing w:before="200" w:after="40"/>
      </w:pPr>
      <w:r>
        <w:t xml:space="preserve"/>
      </w:r>
    </w:p>
    <w:p>
      <w:pPr>
        <w:spacing w:before="320" w:after="120"/>
      </w:pPr>
      <w:r>
        <w:rPr>
          <w:rFonts w:ascii="Arial" w:cs="Arial" w:eastAsia="Arial" w:hAnsi="Arial"/>
          <w:b/>
          <w:bCs/>
          <w:color w:val="1A1A1A"/>
          <w:sz w:val="26"/>
          <w:szCs w:val="26"/>
        </w:rPr>
        <w:t xml:space="preserve">Answer choices (Q1–Q12)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  Offer clarity  </w:t>
            </w:r>
            <w:r>
              <w:rPr>
                <w:rFonts w:ascii="Arial" w:cs="Arial" w:eastAsia="Arial" w:hAnsi="Arial"/>
                <w:b/>
                <w:bCs/>
                <w:color w:val="1A1A1A"/>
                <w:sz w:val="20"/>
                <w:szCs w:val="20"/>
              </w:rPr>
              <w:t xml:space="preserve">C — One clear primary offer and CTA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Q2  Online presence  </w:t>
            </w:r>
            <w:r>
              <w:rPr>
                <w:rFonts w:ascii="Arial" w:cs="Arial" w:eastAsia="Arial" w:hAnsi="Arial"/>
                <w:b/>
                <w:bCs/>
                <w:color w:val="1A1A1A"/>
                <w:sz w:val="20"/>
                <w:szCs w:val="20"/>
              </w:rPr>
              <w:t xml:space="preserve">C — Structured website with clear conversion path</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Q3  Lead capture  </w:t>
            </w:r>
            <w:r>
              <w:rPr>
                <w:rFonts w:ascii="Arial" w:cs="Arial" w:eastAsia="Arial" w:hAnsi="Arial"/>
                <w:b/>
                <w:bCs/>
                <w:color w:val="1A1A1A"/>
                <w:sz w:val="20"/>
                <w:szCs w:val="20"/>
              </w:rPr>
              <w:t xml:space="preserve">C — Form/booking with automated confirmations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Q4  CRM  </w:t>
            </w:r>
            <w:r>
              <w:rPr>
                <w:rFonts w:ascii="Arial" w:cs="Arial" w:eastAsia="Arial" w:hAnsi="Arial"/>
                <w:b/>
                <w:bCs/>
                <w:color w:val="1A1A1A"/>
                <w:sz w:val="20"/>
                <w:szCs w:val="20"/>
              </w:rPr>
              <w:t xml:space="preserve">B — CRM exists but inconsistent use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Q5  Follow-up  </w:t>
            </w:r>
            <w:r>
              <w:rPr>
                <w:rFonts w:ascii="Arial" w:cs="Arial" w:eastAsia="Arial" w:hAnsi="Arial"/>
                <w:b/>
                <w:bCs/>
                <w:color w:val="1A1A1A"/>
                <w:sz w:val="20"/>
                <w:szCs w:val="20"/>
              </w:rPr>
              <w:t xml:space="preserve">B — Templates but no automation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Q6  Delivery  </w:t>
            </w:r>
            <w:r>
              <w:rPr>
                <w:rFonts w:ascii="Arial" w:cs="Arial" w:eastAsia="Arial" w:hAnsi="Arial"/>
                <w:b/>
                <w:bCs/>
                <w:color w:val="1A1A1A"/>
                <w:sz w:val="20"/>
                <w:szCs w:val="20"/>
              </w:rPr>
              <w:t xml:space="preserve">B — Manual checklist but inconsistent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Q7  Payments  </w:t>
            </w:r>
            <w:r>
              <w:rPr>
                <w:rFonts w:ascii="Arial" w:cs="Arial" w:eastAsia="Arial" w:hAnsi="Arial"/>
                <w:b/>
                <w:bCs/>
                <w:color w:val="1A1A1A"/>
                <w:sz w:val="20"/>
                <w:szCs w:val="20"/>
              </w:rPr>
              <w:t xml:space="preserve">B — Online payments but limited automation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Q8  Reactivation  </w:t>
            </w:r>
            <w:r>
              <w:rPr>
                <w:rFonts w:ascii="Arial" w:cs="Arial" w:eastAsia="Arial" w:hAnsi="Arial"/>
                <w:b/>
                <w:bCs/>
                <w:color w:val="1A1A1A"/>
                <w:sz w:val="20"/>
                <w:szCs w:val="20"/>
              </w:rPr>
              <w:t xml:space="preserve">B — Occasional manual outreach</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Q9  Reviews  </w:t>
            </w:r>
            <w:r>
              <w:rPr>
                <w:rFonts w:ascii="Arial" w:cs="Arial" w:eastAsia="Arial" w:hAnsi="Arial"/>
                <w:b/>
                <w:bCs/>
                <w:color w:val="1A1A1A"/>
                <w:sz w:val="20"/>
                <w:szCs w:val="20"/>
              </w:rPr>
              <w:t xml:space="preserve">B — Manual requests occasionally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Q10  AI engagement  </w:t>
            </w:r>
            <w:r>
              <w:rPr>
                <w:rFonts w:ascii="Arial" w:cs="Arial" w:eastAsia="Arial" w:hAnsi="Arial"/>
                <w:b/>
                <w:bCs/>
                <w:color w:val="1A1A1A"/>
                <w:sz w:val="20"/>
                <w:szCs w:val="20"/>
              </w:rPr>
              <w:t xml:space="preserve">A — No AI tools in use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Q11  Reporting  </w:t>
            </w:r>
            <w:r>
              <w:rPr>
                <w:rFonts w:ascii="Arial" w:cs="Arial" w:eastAsia="Arial" w:hAnsi="Arial"/>
                <w:b/>
                <w:bCs/>
                <w:color w:val="1A1A1A"/>
                <w:sz w:val="20"/>
                <w:szCs w:val="20"/>
              </w:rPr>
              <w:t xml:space="preserve">B — Checks occasionally, no structured review</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before="0" w:after="0"/>
            </w:pPr>
            <w:r>
              <w:rPr>
                <w:rFonts w:ascii="Arial" w:cs="Arial" w:eastAsia="Arial" w:hAnsi="Arial"/>
                <w:color w:val="666666"/>
                <w:sz w:val="20"/>
                <w:szCs w:val="20"/>
              </w:rPr>
              <w:t xml:space="preserve">Q12  Retention  </w:t>
            </w:r>
            <w:r>
              <w:rPr>
                <w:rFonts w:ascii="Arial" w:cs="Arial" w:eastAsia="Arial" w:hAnsi="Arial"/>
                <w:b/>
                <w:bCs/>
                <w:color w:val="1A1A1A"/>
                <w:sz w:val="20"/>
                <w:szCs w:val="20"/>
              </w:rPr>
              <w:t xml:space="preserve">B — Occasional manual upsell offers</w:t>
            </w:r>
          </w:p>
        </w:tc>
      </w:tr>
    </w:tbl>
    <w:p>
      <w:pPr>
        <w:spacing w:before="200" w:after="40"/>
      </w:pPr>
      <w:r>
        <w:t xml:space="preserve"/>
      </w:r>
    </w:p>
    <w:p>
      <w:pPr>
        <w:spacing w:before="320" w:after="120"/>
      </w:pPr>
      <w:r>
        <w:rPr>
          <w:rFonts w:ascii="Arial" w:cs="Arial" w:eastAsia="Arial" w:hAnsi="Arial"/>
          <w:b/>
          <w:bCs/>
          <w:color w:val="1A1A1A"/>
          <w:sz w:val="26"/>
          <w:szCs w:val="26"/>
        </w:rPr>
        <w:t xml:space="preserve">ML classification reasoning signals</w:t>
      </w:r>
    </w:p>
    <w:p>
      <w:pPr>
        <w:spacing w:before="0" w:after="140"/>
      </w:pPr>
      <w:r>
        <w:rPr>
          <w:rFonts w:ascii="Arial" w:cs="Arial" w:eastAsia="Arial" w:hAnsi="Arial"/>
          <w:i/>
          <w:iCs/>
          <w:color w:val="666666"/>
          <w:sz w:val="22"/>
          <w:szCs w:val="22"/>
        </w:rPr>
        <w:t xml:space="preserve">The following 5 signals were generated by the classification engine based on Michelle’s answers. These are passed directly into the narrative prompt as structured input.</w:t>
      </w:r>
    </w:p>
    <w:p>
      <w:pPr>
        <w:spacing w:before="80" w:after="40"/>
      </w:pPr>
      <w:r>
        <w:t xml:space="preserve"/>
      </w:r>
    </w:p>
    <w:p>
      <w:pPr>
        <w:pStyle w:val="ListParagraph"/>
        <w:numPr>
          <w:ilvl w:val="0"/>
          <w:numId w:val="2"/>
        </w:numPr>
        <w:spacing w:before="40" w:after="60"/>
      </w:pPr>
      <w:r>
        <w:rPr>
          <w:rFonts w:ascii="Arial" w:cs="Arial" w:eastAsia="Arial" w:hAnsi="Arial"/>
          <w:color w:val="444444"/>
          <w:sz w:val="21"/>
          <w:szCs w:val="21"/>
        </w:rPr>
        <w:t xml:space="preserve">Your offer and web presence are clearly defined, giving your business a stable foundation to build from.</w:t>
      </w:r>
    </w:p>
    <w:p>
      <w:pPr>
        <w:pStyle w:val="ListParagraph"/>
        <w:numPr>
          <w:ilvl w:val="0"/>
          <w:numId w:val="2"/>
        </w:numPr>
        <w:spacing w:before="40" w:after="60"/>
      </w:pPr>
      <w:r>
        <w:rPr>
          <w:rFonts w:ascii="Arial" w:cs="Arial" w:eastAsia="Arial" w:hAnsi="Arial"/>
          <w:color w:val="444444"/>
          <w:sz w:val="21"/>
          <w:szCs w:val="21"/>
        </w:rPr>
        <w:t xml:space="preserve">Lead capture is working with automated confirmations in place, but follow-up sequences stop there — leaving conversion to chance after the first touch.</w:t>
      </w:r>
    </w:p>
    <w:p>
      <w:pPr>
        <w:pStyle w:val="ListParagraph"/>
        <w:numPr>
          <w:ilvl w:val="0"/>
          <w:numId w:val="2"/>
        </w:numPr>
        <w:spacing w:before="40" w:after="60"/>
      </w:pPr>
      <w:r>
        <w:rPr>
          <w:rFonts w:ascii="Arial" w:cs="Arial" w:eastAsia="Arial" w:hAnsi="Arial"/>
          <w:color w:val="444444"/>
          <w:sz w:val="21"/>
          <w:szCs w:val="21"/>
        </w:rPr>
        <w:t xml:space="preserve">Your CRM is set up but used inconsistently, which means your pipeline is an incomplete picture of what’s actually happening in your business.</w:t>
      </w:r>
    </w:p>
    <w:p>
      <w:pPr>
        <w:pStyle w:val="ListParagraph"/>
        <w:numPr>
          <w:ilvl w:val="0"/>
          <w:numId w:val="2"/>
        </w:numPr>
        <w:spacing w:before="40" w:after="60"/>
      </w:pPr>
      <w:r>
        <w:rPr>
          <w:rFonts w:ascii="Arial" w:cs="Arial" w:eastAsia="Arial" w:hAnsi="Arial"/>
          <w:color w:val="444444"/>
          <w:sz w:val="21"/>
          <w:szCs w:val="21"/>
        </w:rPr>
        <w:t xml:space="preserve">Client onboarding varies depending on your bandwidth, creating uneven client experiences and increasing your own mental load.</w:t>
      </w:r>
    </w:p>
    <w:p>
      <w:pPr>
        <w:pStyle w:val="ListParagraph"/>
        <w:numPr>
          <w:ilvl w:val="0"/>
          <w:numId w:val="2"/>
        </w:numPr>
        <w:spacing w:before="40" w:after="60"/>
      </w:pPr>
      <w:r>
        <w:rPr>
          <w:rFonts w:ascii="Arial" w:cs="Arial" w:eastAsia="Arial" w:hAnsi="Arial"/>
          <w:color w:val="444444"/>
          <w:sz w:val="21"/>
          <w:szCs w:val="21"/>
        </w:rPr>
        <w:t xml:space="preserve">Your existing database is being touched occasionally but not systematically — a significant revenue opportunity that isn’t yet being captured.</w:t>
      </w:r>
    </w:p>
    <w:p>
      <w:pPr>
        <w:spacing w:before="120" w:after="40"/>
      </w:pPr>
      <w:r>
        <w:t xml:space="preserve"/>
      </w:r>
    </w:p>
    <w:p>
      <w:pPr>
        <w:spacing w:before="0" w:after="0"/>
      </w:pPr>
      <w:r>
        <w:br w:type="page"/>
      </w:r>
    </w:p>
    <w:p>
      <w:pPr>
        <w:pStyle w:val="Heading1"/>
        <w:pBdr>
          <w:bottom w:val="single" w:color="2E5FA3" w:sz="8" w:space="4"/>
        </w:pBdr>
        <w:spacing w:before="480" w:after="160"/>
      </w:pPr>
      <w:r>
        <w:rPr>
          <w:rFonts w:ascii="Arial" w:cs="Arial" w:eastAsia="Arial" w:hAnsi="Arial"/>
          <w:b/>
          <w:bCs/>
          <w:color w:val="2E5FA3"/>
          <w:sz w:val="36"/>
          <w:szCs w:val="36"/>
        </w:rPr>
        <w:t xml:space="preserve">Part 2 — Generated Report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14"/>
              <w:bottom w:val="none" w:color="FFFFFF" w:sz="0"/>
              <w:right w:val="none" w:color="FFFFFF" w:sz="0"/>
            </w:tcBorders>
            <w:shd w:fill="EEF3FB" w:val="clear"/>
            <w:tcMar>
              <w:top w:type="dxa" w:w="140"/>
              <w:left w:type="dxa" w:w="220"/>
              <w:bottom w:type="dxa" w:w="140"/>
              <w:right w:type="dxa" w:w="220"/>
            </w:tcMar>
          </w:tcPr>
          <w:p>
            <w:pPr>
              <w:spacing w:before="0" w:after="80"/>
            </w:pPr>
            <w:r>
              <w:rPr>
                <w:rFonts w:ascii="Arial" w:cs="Arial" w:eastAsia="Arial" w:hAnsi="Arial"/>
                <w:i/>
                <w:iCs/>
                <w:color w:val="1A3A6B"/>
                <w:sz w:val="20"/>
                <w:szCs w:val="20"/>
              </w:rPr>
              <w:t xml:space="preserve">The following report was generated by passing the profile above through the narrative assembly prompt (Draft 2). It demonstrates how the salutation, cohesive narrative, recommended focus areas, and graduation outlook come together for a Growth-stage user.</w:t>
            </w:r>
          </w:p>
          <w:p>
            <w:pPr>
              <w:spacing w:before="0" w:after="80"/>
            </w:pPr>
            <w:r>
              <w:rPr>
                <w:rFonts w:ascii="Arial" w:cs="Arial" w:eastAsia="Arial" w:hAnsi="Arial"/>
                <w:i/>
                <w:iCs/>
                <w:color w:val="1A3A6B"/>
                <w:sz w:val="20"/>
                <w:szCs w:val="20"/>
              </w:rPr>
              <w:t xml:space="preserve"/>
            </w:r>
          </w:p>
          <w:p>
            <w:pPr>
              <w:spacing w:before="0" w:after="0"/>
            </w:pPr>
            <w:r>
              <w:rPr>
                <w:rFonts w:ascii="Arial" w:cs="Arial" w:eastAsia="Arial" w:hAnsi="Arial"/>
                <w:i/>
                <w:iCs/>
                <w:color w:val="1A3A6B"/>
                <w:sz w:val="20"/>
                <w:szCs w:val="20"/>
              </w:rPr>
              <w:t xml:space="preserve">Note the shift in tone from the Foundation test case: less reassurance, more momentum. The narrative acknowledges real progress before naming what’s still inconsistent.</w:t>
            </w:r>
          </w:p>
        </w:tc>
      </w:tr>
    </w:tbl>
    <w:p>
      <w:pPr>
        <w:spacing w:before="160" w:after="40"/>
      </w:pPr>
      <w:r>
        <w:t xml:space="preserve"/>
      </w:r>
    </w:p>
    <w:p>
      <w:pPr>
        <w:spacing w:before="0" w:after="160"/>
      </w:pPr>
      <w:r>
        <w:rPr>
          <w:rFonts w:ascii="Arial" w:cs="Arial" w:eastAsia="Arial" w:hAnsi="Arial"/>
          <w:b/>
          <w:bCs/>
          <w:color w:val="412402"/>
          <w:sz w:val="20"/>
          <w:szCs w:val="20"/>
          <w:shd w:fill="FAEEDA" w:val="clear"/>
        </w:rPr>
        <w:t xml:space="preserve">  Growth Systems  </w:t>
      </w:r>
    </w:p>
    <w:p>
      <w:pPr>
        <w:spacing w:before="0" w:after="140"/>
      </w:pPr>
      <w:r>
        <w:rPr>
          <w:rFonts w:ascii="Arial" w:cs="Arial" w:eastAsia="Arial" w:hAnsi="Arial"/>
          <w:i w:val="false"/>
          <w:iCs w:val="false"/>
          <w:color w:val="1A1A1A"/>
          <w:sz w:val="22"/>
          <w:szCs w:val="22"/>
        </w:rPr>
        <w:t xml:space="preserve">Hi Michelle,</w:t>
      </w:r>
    </w:p>
    <w:p>
      <w:pPr>
        <w:spacing w:before="0" w:after="40"/>
      </w:pPr>
      <w:r>
        <w:t xml:space="preserve"/>
      </w:r>
    </w:p>
    <w:p>
      <w:pPr>
        <w:spacing w:before="0" w:after="140"/>
      </w:pPr>
      <w:r>
        <w:rPr>
          <w:rFonts w:ascii="Arial" w:cs="Arial" w:eastAsia="Arial" w:hAnsi="Arial"/>
          <w:i w:val="false"/>
          <w:iCs w:val="false"/>
          <w:color w:val="1A1A1A"/>
          <w:sz w:val="22"/>
          <w:szCs w:val="22"/>
        </w:rPr>
        <w:t xml:space="preserve">What your answers make clear is that you’ve done a lot of the hard early work — you have a defined offer, a website that converts, and a lead capture process that responds automatically. That’s a meaningful foundation, and it’s what puts you squarely in the Growth stage. The challenge you’re facing now isn’t about what’s missing at the base — it’s about what hasn’t been fully systematized yet, and the gap between where your business could be running and where it actually is.</w:t>
      </w:r>
    </w:p>
    <w:p>
      <w:pPr>
        <w:spacing w:before="40" w:after="40"/>
      </w:pPr>
      <w:r>
        <w:t xml:space="preserve"/>
      </w:r>
    </w:p>
    <w:p>
      <w:pPr>
        <w:spacing w:before="0" w:after="140"/>
      </w:pPr>
      <w:r>
        <w:rPr>
          <w:rFonts w:ascii="Arial" w:cs="Arial" w:eastAsia="Arial" w:hAnsi="Arial"/>
          <w:i w:val="false"/>
          <w:iCs w:val="false"/>
          <w:color w:val="1A1A1A"/>
          <w:sz w:val="22"/>
          <w:szCs w:val="22"/>
        </w:rPr>
        <w:t xml:space="preserve">The pattern that emerges across your answers is one of partial systems — things that exist but aren’t quite running on their own yet. Your CRM is in place but not being used consistently, which means your pipeline doesn’t always reflect reality. Follow-up templates exist but require you to send them manually, so whether a lead gets nurtured depends on your bandwidth that week. Client onboarding has a checklist, but it shifts depending on how busy things are, which means some clients get a polished start and others get a more improvised one. Taken together, these gaps create the feeling that the business is busy but slightly out of control — and that’s an accurate read. The good news is that the building blocks are already there. What’s needed now is closing the loop on each one so they run without requiring your personal attention every time.</w:t>
      </w:r>
    </w:p>
    <w:p>
      <w:pPr>
        <w:spacing w:before="40" w:after="40"/>
      </w:pPr>
      <w:r>
        <w:t xml:space="preserve"/>
      </w:r>
    </w:p>
    <w:p>
      <w:pPr>
        <w:spacing w:before="0" w:after="140"/>
      </w:pPr>
      <w:r>
        <w:rPr>
          <w:rFonts w:ascii="Arial" w:cs="Arial" w:eastAsia="Arial" w:hAnsi="Arial"/>
          <w:i w:val="false"/>
          <w:iCs w:val="false"/>
          <w:color w:val="1A1A1A"/>
          <w:sz w:val="22"/>
          <w:szCs w:val="22"/>
        </w:rPr>
        <w:t xml:space="preserve">When those loops are closed, the difference is significant. Consistent pipeline use gives you a reliable view of your revenue forecast. Automated nurture sequences mean leads stay warm without you chasing them. A standardized onboarding workflow means every client starts with the same strong experience — regardless of what else is happening that week. And your existing database, which you’re occasionally touching, becomes a genuine source of recurring revenue when it’s worked with intention.</w:t>
      </w:r>
    </w:p>
    <w:p>
      <w:pPr>
        <w:spacing w:before="120" w:after="40"/>
      </w:pPr>
      <w:r>
        <w:t xml:space="preserve"/>
      </w:r>
    </w:p>
    <w:p>
      <w:pPr>
        <w:spacing w:before="0" w:after="140"/>
      </w:pPr>
      <w:r>
        <w:rPr>
          <w:rFonts w:ascii="Arial" w:cs="Arial" w:eastAsia="Arial" w:hAnsi="Arial"/>
          <w:i w:val="false"/>
          <w:iCs w:val="false"/>
          <w:color w:val="1A1A1A"/>
          <w:sz w:val="22"/>
          <w:szCs w:val="22"/>
        </w:rPr>
        <w:t xml:space="preserve">Your recommended focus areas:</w:t>
      </w:r>
    </w:p>
    <w:p>
      <w:pPr>
        <w:pStyle w:val="ListParagraph"/>
        <w:numPr>
          <w:ilvl w:val="0"/>
          <w:numId w:val="3"/>
        </w:numPr>
        <w:spacing w:before="60" w:after="60"/>
      </w:pPr>
      <w:r>
        <w:rPr>
          <w:rFonts w:ascii="Arial" w:cs="Arial" w:eastAsia="Arial" w:hAnsi="Arial"/>
          <w:b/>
          <w:bCs/>
          <w:color w:val="1A1A1A"/>
          <w:sz w:val="22"/>
          <w:szCs w:val="22"/>
        </w:rPr>
        <w:t xml:space="preserve">Pipeline discipline</w:t>
      </w:r>
      <w:r>
        <w:rPr>
          <w:rFonts w:ascii="Arial" w:cs="Arial" w:eastAsia="Arial" w:hAnsi="Arial"/>
          <w:color w:val="1A1A1A"/>
          <w:sz w:val="22"/>
          <w:szCs w:val="22"/>
        </w:rPr>
        <w:t xml:space="preserve"> — define clear stages, exit criteria, and a weekly review habit so your CRM reflects your actual business</w:t>
      </w:r>
    </w:p>
    <w:p>
      <w:pPr>
        <w:pStyle w:val="ListParagraph"/>
        <w:numPr>
          <w:ilvl w:val="0"/>
          <w:numId w:val="3"/>
        </w:numPr>
        <w:spacing w:before="60" w:after="60"/>
      </w:pPr>
      <w:r>
        <w:rPr>
          <w:rFonts w:ascii="Arial" w:cs="Arial" w:eastAsia="Arial" w:hAnsi="Arial"/>
          <w:b/>
          <w:bCs/>
          <w:color w:val="1A1A1A"/>
          <w:sz w:val="22"/>
          <w:szCs w:val="22"/>
        </w:rPr>
        <w:t xml:space="preserve">Nurture sequences</w:t>
      </w:r>
      <w:r>
        <w:rPr>
          <w:rFonts w:ascii="Arial" w:cs="Arial" w:eastAsia="Arial" w:hAnsi="Arial"/>
          <w:color w:val="1A1A1A"/>
          <w:sz w:val="22"/>
          <w:szCs w:val="22"/>
        </w:rPr>
        <w:t xml:space="preserve"> — build a 7–14 day email or SMS sequence that follows up automatically after the initial confirmation</w:t>
      </w:r>
    </w:p>
    <w:p>
      <w:pPr>
        <w:pStyle w:val="ListParagraph"/>
        <w:numPr>
          <w:ilvl w:val="0"/>
          <w:numId w:val="3"/>
        </w:numPr>
        <w:spacing w:before="60" w:after="60"/>
      </w:pPr>
      <w:r>
        <w:rPr>
          <w:rFonts w:ascii="Arial" w:cs="Arial" w:eastAsia="Arial" w:hAnsi="Arial"/>
          <w:b/>
          <w:bCs/>
          <w:color w:val="1A1A1A"/>
          <w:sz w:val="22"/>
          <w:szCs w:val="22"/>
        </w:rPr>
        <w:t xml:space="preserve">Client onboarding workflow</w:t>
      </w:r>
      <w:r>
        <w:rPr>
          <w:rFonts w:ascii="Arial" w:cs="Arial" w:eastAsia="Arial" w:hAnsi="Arial"/>
          <w:color w:val="1A1A1A"/>
          <w:sz w:val="22"/>
          <w:szCs w:val="22"/>
        </w:rPr>
        <w:t xml:space="preserve"> — standardize your checklist into a triggered workflow so every client gets the same start</w:t>
      </w:r>
    </w:p>
    <w:p>
      <w:pPr>
        <w:pStyle w:val="ListParagraph"/>
        <w:numPr>
          <w:ilvl w:val="0"/>
          <w:numId w:val="3"/>
        </w:numPr>
        <w:spacing w:before="60" w:after="60"/>
      </w:pPr>
      <w:r>
        <w:rPr>
          <w:rFonts w:ascii="Arial" w:cs="Arial" w:eastAsia="Arial" w:hAnsi="Arial"/>
          <w:b/>
          <w:bCs/>
          <w:color w:val="1A1A1A"/>
          <w:sz w:val="22"/>
          <w:szCs w:val="22"/>
        </w:rPr>
        <w:t xml:space="preserve">Reactivation campaign</w:t>
      </w:r>
      <w:r>
        <w:rPr>
          <w:rFonts w:ascii="Arial" w:cs="Arial" w:eastAsia="Arial" w:hAnsi="Arial"/>
          <w:color w:val="1A1A1A"/>
          <w:sz w:val="22"/>
          <w:szCs w:val="22"/>
        </w:rPr>
        <w:t xml:space="preserve"> — move your occasional outreach into a structured win-back sequence for cold leads and past clients</w:t>
      </w:r>
    </w:p>
    <w:p>
      <w:pPr>
        <w:pStyle w:val="ListParagraph"/>
        <w:numPr>
          <w:ilvl w:val="0"/>
          <w:numId w:val="3"/>
        </w:numPr>
        <w:spacing w:before="60" w:after="60"/>
      </w:pPr>
      <w:r>
        <w:rPr>
          <w:rFonts w:ascii="Arial" w:cs="Arial" w:eastAsia="Arial" w:hAnsi="Arial"/>
          <w:b/>
          <w:bCs/>
          <w:color w:val="1A1A1A"/>
          <w:sz w:val="22"/>
          <w:szCs w:val="22"/>
        </w:rPr>
        <w:t xml:space="preserve">Basic reporting cadence</w:t>
      </w:r>
      <w:r>
        <w:rPr>
          <w:rFonts w:ascii="Arial" w:cs="Arial" w:eastAsia="Arial" w:hAnsi="Arial"/>
          <w:color w:val="1A1A1A"/>
          <w:sz w:val="22"/>
          <w:szCs w:val="22"/>
        </w:rPr>
        <w:t xml:space="preserve"> — set a weekly 15-minute review of key pipeline and conversion numbers</w:t>
      </w:r>
    </w:p>
    <w:p>
      <w:pPr>
        <w:spacing w:before="1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val="clear"/>
            <w:tcMar>
              <w:top w:type="dxa" w:w="180"/>
              <w:left w:type="dxa" w:w="220"/>
              <w:bottom w:type="dxa" w:w="180"/>
              <w:right w:type="dxa" w:w="220"/>
            </w:tcMar>
          </w:tcPr>
          <w:p>
            <w:pPr>
              <w:spacing w:before="0" w:after="80"/>
            </w:pPr>
            <w:r>
              <w:rPr>
                <w:rFonts w:ascii="Arial" w:cs="Arial" w:eastAsia="Arial" w:hAnsi="Arial"/>
                <w:b/>
                <w:bCs/>
                <w:color w:val="BA7517"/>
                <w:sz w:val="18"/>
                <w:szCs w:val="18"/>
              </w:rPr>
              <w:t xml:space="preserve">Graduation outlook</w:t>
            </w:r>
          </w:p>
          <w:p>
            <w:pPr>
              <w:spacing w:before="0" w:after="0"/>
            </w:pPr>
            <w:r>
              <w:rPr>
                <w:rFonts w:ascii="Arial" w:cs="Arial" w:eastAsia="Arial" w:hAnsi="Arial"/>
                <w:color w:val="412402"/>
                <w:sz w:val="22"/>
                <w:szCs w:val="22"/>
              </w:rPr>
              <w:t xml:space="preserve">When your workflows are running reliably and your pipeline consistently reflects what’s happening in your business, the next stage opens up in a meaningful way. Clean data and repeatable processes are what make it possible to optimize rather than just keep up — and from there, you’ll be in a position to introduce smarter automations, deeper client segmentation, and tools that genuinely accelerate what’s already working.</w:t>
            </w:r>
          </w:p>
        </w:tc>
      </w:tr>
    </w:tbl>
    <w:p>
      <w:pPr>
        <w:spacing w:before="200" w:after="40"/>
      </w:pPr>
      <w:r>
        <w:t xml:space="preserve"/>
      </w:r>
    </w:p>
    <w:p>
      <w:pPr>
        <w:pBdr>
          <w:bottom w:val="single" w:color="DDDDDD" w:sz="2" w:space="1"/>
        </w:pBdr>
        <w:spacing w:before="160" w:after="160"/>
      </w:pPr>
      <w:r>
        <w:t xml:space="preserve"/>
      </w:r>
    </w:p>
    <w:p>
      <w:pPr>
        <w:spacing w:before="80" w:after="40"/>
      </w:pPr>
      <w:r>
        <w:t xml:space="preserve"/>
      </w:r>
    </w:p>
    <w:p>
      <w:pPr>
        <w:spacing w:before="0" w:after="0"/>
      </w:pPr>
      <w:r>
        <w:rPr>
          <w:rFonts w:ascii="Arial" w:cs="Arial" w:eastAsia="Arial" w:hAnsi="Arial"/>
          <w:i/>
          <w:iCs/>
          <w:color w:val="666666"/>
          <w:sz w:val="19"/>
          <w:szCs w:val="19"/>
        </w:rPr>
        <w:t xml:space="preserve">Note for students: This Growth-stage report reflects a more confident, momentum-forward tone than the Foundation case. The narrative spends less time on reassurance and more time naming the specific pattern of ‘partial systems’ — a Growth-specific dynamic. Word count sits comfortably under 500 words, with more room than the Foundation case due to reduced need for contextual framing.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rPr>
        <w:color w:val="BA7517"/>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E5FA3"/>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2026-03-20T15:30:40.737Z</dcterms:created>
  <dcterms:modified xsi:type="dcterms:W3CDTF">2026-03-20T15:30:40.738Z</dcterms:modified>
</cp:coreProperties>
</file>

<file path=docProps/custom.xml><?xml version="1.0" encoding="utf-8"?>
<Properties xmlns="http://schemas.openxmlformats.org/officeDocument/2006/custom-properties" xmlns:vt="http://schemas.openxmlformats.org/officeDocument/2006/docPropsVTypes"/>
</file>