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0F6E56"/>
          <w:sz w:val="48"/>
          <w:szCs w:val="48"/>
        </w:rPr>
        <w:t xml:space="preserve">Business Systems Readiness Assessment</w:t>
      </w:r>
    </w:p>
    <w:p>
      <w:pPr>
        <w:spacing w:before="0" w:after="80"/>
      </w:pPr>
      <w:r>
        <w:rPr>
          <w:rFonts w:ascii="Arial" w:cs="Arial" w:eastAsia="Arial" w:hAnsi="Arial"/>
          <w:color w:val="666666"/>
          <w:sz w:val="28"/>
          <w:szCs w:val="28"/>
        </w:rPr>
        <w:t xml:space="preserve">Optimization Pathway — Sample Test Case</w:t>
      </w:r>
    </w:p>
    <w:p>
      <w:pPr>
        <w:spacing w:before="0" w:after="400"/>
      </w:pPr>
      <w:r>
        <w:rPr>
          <w:rFonts w:ascii="Arial" w:cs="Arial" w:eastAsia="Arial" w:hAnsi="Arial"/>
          <w:i/>
          <w:iCs/>
          <w:color w:val="666666"/>
          <w:sz w:val="20"/>
          <w:szCs w:val="20"/>
        </w:rPr>
        <w:t xml:space="preserve">Prepared for student review. Demonstrates the hybrid prompt output against a realistic Optimization-stage profile.</w:t>
      </w:r>
    </w:p>
    <w:p>
      <w:pPr>
        <w:pBdr>
          <w:bottom w:val="single" w:color="DDDDDD" w:sz="2" w:space="1"/>
        </w:pBdr>
        <w:spacing w:before="160" w:after="160"/>
      </w:pPr>
      <w:r>
        <w:t xml:space="preserve"/>
      </w:r>
    </w:p>
    <w:p>
      <w:pPr>
        <w:spacing w:before="120" w:after="40"/>
      </w:pPr>
      <w:r>
        <w:t xml:space="preserve"/>
      </w:r>
    </w:p>
    <w:p>
      <w:pPr>
        <w:pStyle w:val="Heading1"/>
        <w:pBdr>
          <w:bottom w:val="single" w:color="2E5FA3" w:sz="8" w:space="4"/>
        </w:pBdr>
        <w:spacing w:before="480" w:after="160"/>
      </w:pPr>
      <w:r>
        <w:rPr>
          <w:rFonts w:ascii="Arial" w:cs="Arial" w:eastAsia="Arial" w:hAnsi="Arial"/>
          <w:b/>
          <w:bCs/>
          <w:color w:val="2E5FA3"/>
          <w:sz w:val="36"/>
          <w:szCs w:val="36"/>
        </w:rPr>
        <w:t xml:space="preserve">Part 1 — Sample Optimization Profile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4"/>
              <w:bottom w:val="none" w:color="FFFFFF" w:sz="0"/>
              <w:right w:val="none" w:color="FFFFFF" w:sz="0"/>
            </w:tcBorders>
            <w:shd w:fill="E1F5EE" w:val="clear"/>
            <w:tcMar>
              <w:top w:type="dxa" w:w="140"/>
              <w:left w:type="dxa" w:w="220"/>
              <w:bottom w:type="dxa" w:w="140"/>
              <w:right w:type="dxa" w:w="220"/>
            </w:tcMar>
          </w:tcPr>
          <w:p>
            <w:pPr>
              <w:spacing w:before="0" w:after="80"/>
            </w:pPr>
            <w:r>
              <w:rPr>
                <w:rFonts w:ascii="Arial" w:cs="Arial" w:eastAsia="Arial" w:hAnsi="Arial"/>
                <w:i/>
                <w:iCs/>
                <w:color w:val="04342C"/>
                <w:sz w:val="20"/>
                <w:szCs w:val="20"/>
              </w:rPr>
              <w:t xml:space="preserve">This profile represents a realistic Optimization-stage business owner. The answer choices reflect a business that has built strong, consistent systems across the board and is now focused on performance tuning, AI acceleration, and extracting more revenue from what already exists.</w:t>
            </w:r>
          </w:p>
          <w:p>
            <w:pPr>
              <w:spacing w:before="0" w:after="80"/>
            </w:pPr>
            <w:r>
              <w:rPr>
                <w:rFonts w:ascii="Arial" w:cs="Arial" w:eastAsia="Arial" w:hAnsi="Arial"/>
                <w:i/>
                <w:iCs/>
                <w:color w:val="04342C"/>
                <w:sz w:val="20"/>
                <w:szCs w:val="20"/>
              </w:rPr>
              <w:t xml:space="preserve"/>
            </w:r>
          </w:p>
          <w:p>
            <w:pPr>
              <w:spacing w:before="0" w:after="0"/>
            </w:pPr>
            <w:r>
              <w:rPr>
                <w:rFonts w:ascii="Arial" w:cs="Arial" w:eastAsia="Arial" w:hAnsi="Arial"/>
                <w:i/>
                <w:iCs/>
                <w:color w:val="04342C"/>
                <w:sz w:val="20"/>
                <w:szCs w:val="20"/>
              </w:rPr>
              <w:t xml:space="preserve">Key distinction from Growth: workflows are running reliably, data is clean, and the focus has shifted from building to improving. AI tools are integrated, not just installed.</w:t>
            </w:r>
          </w:p>
        </w:tc>
      </w:tr>
    </w:tbl>
    <w:p>
      <w:pPr>
        <w:spacing w:before="160" w:after="40"/>
      </w:pPr>
      <w:r>
        <w:t xml:space="preserve"/>
      </w:r>
    </w:p>
    <w:p>
      <w:pPr>
        <w:spacing w:before="320" w:after="120"/>
      </w:pPr>
      <w:r>
        <w:rPr>
          <w:rFonts w:ascii="Arial" w:cs="Arial" w:eastAsia="Arial" w:hAnsi="Arial"/>
          <w:b/>
          <w:bCs/>
          <w:color w:val="1A1A1A"/>
          <w:sz w:val="26"/>
          <w:szCs w:val="26"/>
        </w:rPr>
        <w:t xml:space="preserve">User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Name  </w:t>
            </w:r>
            <w:r>
              <w:rPr>
                <w:rFonts w:ascii="Arial" w:cs="Arial" w:eastAsia="Arial" w:hAnsi="Arial"/>
                <w:b/>
                <w:bCs/>
                <w:color w:val="1A1A1A"/>
                <w:sz w:val="20"/>
                <w:szCs w:val="20"/>
              </w:rPr>
              <w:t xml:space="preserve">Renee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Pathway assigned  </w:t>
            </w:r>
            <w:r>
              <w:rPr>
                <w:rFonts w:ascii="Arial" w:cs="Arial" w:eastAsia="Arial" w:hAnsi="Arial"/>
                <w:b/>
                <w:bCs/>
                <w:color w:val="1A1A1A"/>
                <w:sz w:val="20"/>
                <w:szCs w:val="20"/>
              </w:rPr>
              <w:t xml:space="preserve">Optimization Systems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Business type  </w:t>
            </w:r>
            <w:r>
              <w:rPr>
                <w:rFonts w:ascii="Arial" w:cs="Arial" w:eastAsia="Arial" w:hAnsi="Arial"/>
                <w:b/>
                <w:bCs/>
                <w:color w:val="1A1A1A"/>
                <w:sz w:val="20"/>
                <w:szCs w:val="20"/>
              </w:rPr>
              <w:t xml:space="preserve">Online business strategist, team of 3</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Time in business  </w:t>
            </w:r>
            <w:r>
              <w:rPr>
                <w:rFonts w:ascii="Arial" w:cs="Arial" w:eastAsia="Arial" w:hAnsi="Arial"/>
                <w:b/>
                <w:bCs/>
                <w:color w:val="1A1A1A"/>
                <w:sz w:val="20"/>
                <w:szCs w:val="20"/>
              </w:rPr>
              <w:t xml:space="preserve">Approx. 6 years</w:t>
            </w:r>
          </w:p>
        </w:tc>
      </w:tr>
    </w:tbl>
    <w:p>
      <w:pPr>
        <w:spacing w:before="200" w:after="40"/>
      </w:pPr>
      <w:r>
        <w:t xml:space="preserve"/>
      </w:r>
    </w:p>
    <w:p>
      <w:pPr>
        <w:spacing w:before="320" w:after="120"/>
      </w:pPr>
      <w:r>
        <w:rPr>
          <w:rFonts w:ascii="Arial" w:cs="Arial" w:eastAsia="Arial" w:hAnsi="Arial"/>
          <w:b/>
          <w:bCs/>
          <w:color w:val="1A1A1A"/>
          <w:sz w:val="26"/>
          <w:szCs w:val="26"/>
        </w:rPr>
        <w:t xml:space="preserve">Answer choices (Q1–Q12)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  Offer clarity  </w:t>
            </w:r>
            <w:r>
              <w:rPr>
                <w:rFonts w:ascii="Arial" w:cs="Arial" w:eastAsia="Arial" w:hAnsi="Arial"/>
                <w:b/>
                <w:bCs/>
                <w:color w:val="1A1A1A"/>
                <w:sz w:val="20"/>
                <w:szCs w:val="20"/>
              </w:rPr>
              <w:t xml:space="preserve">D — One primary offer with defined positioning and proof</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Q2  Online presence  </w:t>
            </w:r>
            <w:r>
              <w:rPr>
                <w:rFonts w:ascii="Arial" w:cs="Arial" w:eastAsia="Arial" w:hAnsi="Arial"/>
                <w:b/>
                <w:bCs/>
                <w:color w:val="1A1A1A"/>
                <w:sz w:val="20"/>
                <w:szCs w:val="20"/>
              </w:rPr>
              <w:t xml:space="preserve">D — Website + targeted landing pages aligned to offers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Q3  Lead capture  </w:t>
            </w:r>
            <w:r>
              <w:rPr>
                <w:rFonts w:ascii="Arial" w:cs="Arial" w:eastAsia="Arial" w:hAnsi="Arial"/>
                <w:b/>
                <w:bCs/>
                <w:color w:val="1A1A1A"/>
                <w:sz w:val="20"/>
                <w:szCs w:val="20"/>
              </w:rPr>
              <w:t xml:space="preserve">D — Multi-step qualification (forms, conversational AI, funnels)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Q4  CRM  </w:t>
            </w:r>
            <w:r>
              <w:rPr>
                <w:rFonts w:ascii="Arial" w:cs="Arial" w:eastAsia="Arial" w:hAnsi="Arial"/>
                <w:b/>
                <w:bCs/>
                <w:color w:val="1A1A1A"/>
                <w:sz w:val="20"/>
                <w:szCs w:val="20"/>
              </w:rPr>
              <w:t xml:space="preserve">D — Lifecycle stages + segmentation + reporting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Q5  Follow-up  </w:t>
            </w:r>
            <w:r>
              <w:rPr>
                <w:rFonts w:ascii="Arial" w:cs="Arial" w:eastAsia="Arial" w:hAnsi="Arial"/>
                <w:b/>
                <w:bCs/>
                <w:color w:val="1A1A1A"/>
                <w:sz w:val="20"/>
                <w:szCs w:val="20"/>
              </w:rPr>
              <w:t xml:space="preserve">D — Multi-step nurture sequences tied to customer journey stages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Q6  Delivery  </w:t>
            </w:r>
            <w:r>
              <w:rPr>
                <w:rFonts w:ascii="Arial" w:cs="Arial" w:eastAsia="Arial" w:hAnsi="Arial"/>
                <w:b/>
                <w:bCs/>
                <w:color w:val="1A1A1A"/>
                <w:sz w:val="20"/>
                <w:szCs w:val="20"/>
              </w:rPr>
              <w:t xml:space="preserve">D — Automated lifecycle transitions (onboarding → fulfillment → retention)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Q7  Payments  </w:t>
            </w:r>
            <w:r>
              <w:rPr>
                <w:rFonts w:ascii="Arial" w:cs="Arial" w:eastAsia="Arial" w:hAnsi="Arial"/>
                <w:b/>
                <w:bCs/>
                <w:color w:val="1A1A1A"/>
                <w:sz w:val="20"/>
                <w:szCs w:val="20"/>
              </w:rPr>
              <w:t xml:space="preserve">C — Integrated checkout with confirmation workflows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Q8  Reactivation  </w:t>
            </w:r>
            <w:r>
              <w:rPr>
                <w:rFonts w:ascii="Arial" w:cs="Arial" w:eastAsia="Arial" w:hAnsi="Arial"/>
                <w:b/>
                <w:bCs/>
                <w:color w:val="1A1A1A"/>
                <w:sz w:val="20"/>
                <w:szCs w:val="20"/>
              </w:rPr>
              <w:t xml:space="preserve">C — Structured reactivation campaigns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Q9  Reviews  </w:t>
            </w:r>
            <w:r>
              <w:rPr>
                <w:rFonts w:ascii="Arial" w:cs="Arial" w:eastAsia="Arial" w:hAnsi="Arial"/>
                <w:b/>
                <w:bCs/>
                <w:color w:val="1A1A1A"/>
                <w:sz w:val="20"/>
                <w:szCs w:val="20"/>
              </w:rPr>
              <w:t xml:space="preserve">C — Structured review request workflow</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Q10  AI engagement  </w:t>
            </w:r>
            <w:r>
              <w:rPr>
                <w:rFonts w:ascii="Arial" w:cs="Arial" w:eastAsia="Arial" w:hAnsi="Arial"/>
                <w:b/>
                <w:bCs/>
                <w:color w:val="1A1A1A"/>
                <w:sz w:val="20"/>
                <w:szCs w:val="20"/>
              </w:rPr>
              <w:t xml:space="preserve">C — AI tools integrated into workflows (qualification, reminders)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Q11  Reporting  </w:t>
            </w:r>
            <w:r>
              <w:rPr>
                <w:rFonts w:ascii="Arial" w:cs="Arial" w:eastAsia="Arial" w:hAnsi="Arial"/>
                <w:b/>
                <w:bCs/>
                <w:color w:val="1A1A1A"/>
                <w:sz w:val="20"/>
                <w:szCs w:val="20"/>
              </w:rPr>
              <w:t xml:space="preserve">D — Lifecycle performance, attribution, continuous optimization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Q12  Retention  </w:t>
            </w:r>
            <w:r>
              <w:rPr>
                <w:rFonts w:ascii="Arial" w:cs="Arial" w:eastAsia="Arial" w:hAnsi="Arial"/>
                <w:b/>
                <w:bCs/>
                <w:color w:val="1A1A1A"/>
                <w:sz w:val="20"/>
                <w:szCs w:val="20"/>
              </w:rPr>
              <w:t xml:space="preserve">C — Planned follow-up offers or renewal reminders</w:t>
            </w:r>
          </w:p>
        </w:tc>
      </w:tr>
    </w:tbl>
    <w:p>
      <w:pPr>
        <w:spacing w:before="200" w:after="40"/>
      </w:pPr>
      <w:r>
        <w:t xml:space="preserve"/>
      </w:r>
    </w:p>
    <w:p>
      <w:pPr>
        <w:spacing w:before="320" w:after="120"/>
      </w:pPr>
      <w:r>
        <w:rPr>
          <w:rFonts w:ascii="Arial" w:cs="Arial" w:eastAsia="Arial" w:hAnsi="Arial"/>
          <w:b/>
          <w:bCs/>
          <w:color w:val="1A1A1A"/>
          <w:sz w:val="26"/>
          <w:szCs w:val="26"/>
        </w:rPr>
        <w:t xml:space="preserve">ML classification reasoning signals</w:t>
      </w:r>
    </w:p>
    <w:p>
      <w:pPr>
        <w:spacing w:before="0" w:after="140"/>
      </w:pPr>
      <w:r>
        <w:rPr>
          <w:rFonts w:ascii="Arial" w:cs="Arial" w:eastAsia="Arial" w:hAnsi="Arial"/>
          <w:i/>
          <w:iCs/>
          <w:color w:val="666666"/>
          <w:sz w:val="22"/>
          <w:szCs w:val="22"/>
        </w:rPr>
        <w:t xml:space="preserve">The following 6 signals were generated by the classification engine based on Renee’s answers. These are passed directly into the narrative prompt as structured input.</w:t>
      </w:r>
    </w:p>
    <w:p>
      <w:pPr>
        <w:spacing w:before="80" w:after="40"/>
      </w:pPr>
      <w:r>
        <w:t xml:space="preserve"/>
      </w:r>
    </w:p>
    <w:p>
      <w:pPr>
        <w:pStyle w:val="ListParagraph"/>
        <w:numPr>
          <w:ilvl w:val="0"/>
          <w:numId w:val="2"/>
        </w:numPr>
        <w:spacing w:before="40" w:after="60"/>
      </w:pPr>
      <w:r>
        <w:rPr>
          <w:rFonts w:ascii="Arial" w:cs="Arial" w:eastAsia="Arial" w:hAnsi="Arial"/>
          <w:color w:val="444444"/>
          <w:sz w:val="21"/>
          <w:szCs w:val="21"/>
        </w:rPr>
        <w:t xml:space="preserve">Your offer is clearly positioned with proof, and your multi-channel web presence is actively supporting lead flow and conversion.</w:t>
      </w:r>
    </w:p>
    <w:p>
      <w:pPr>
        <w:pStyle w:val="ListParagraph"/>
        <w:numPr>
          <w:ilvl w:val="0"/>
          <w:numId w:val="2"/>
        </w:numPr>
        <w:spacing w:before="40" w:after="60"/>
      </w:pPr>
      <w:r>
        <w:rPr>
          <w:rFonts w:ascii="Arial" w:cs="Arial" w:eastAsia="Arial" w:hAnsi="Arial"/>
          <w:color w:val="444444"/>
          <w:sz w:val="21"/>
          <w:szCs w:val="21"/>
        </w:rPr>
        <w:t xml:space="preserve">Lead qualification is sophisticated — leads are filtered and routed before they reach you, making your time more valuable at every stage.</w:t>
      </w:r>
    </w:p>
    <w:p>
      <w:pPr>
        <w:pStyle w:val="ListParagraph"/>
        <w:numPr>
          <w:ilvl w:val="0"/>
          <w:numId w:val="2"/>
        </w:numPr>
        <w:spacing w:before="40" w:after="60"/>
      </w:pPr>
      <w:r>
        <w:rPr>
          <w:rFonts w:ascii="Arial" w:cs="Arial" w:eastAsia="Arial" w:hAnsi="Arial"/>
          <w:color w:val="444444"/>
          <w:sz w:val="21"/>
          <w:szCs w:val="21"/>
        </w:rPr>
        <w:t xml:space="preserve">Your CRM is operating with lifecycle stages, segmentation, and reporting, giving you a real-time picture of your business’s health.</w:t>
      </w:r>
    </w:p>
    <w:p>
      <w:pPr>
        <w:pStyle w:val="ListParagraph"/>
        <w:numPr>
          <w:ilvl w:val="0"/>
          <w:numId w:val="2"/>
        </w:numPr>
        <w:spacing w:before="40" w:after="60"/>
      </w:pPr>
      <w:r>
        <w:rPr>
          <w:rFonts w:ascii="Arial" w:cs="Arial" w:eastAsia="Arial" w:hAnsi="Arial"/>
          <w:color w:val="444444"/>
          <w:sz w:val="21"/>
          <w:szCs w:val="21"/>
        </w:rPr>
        <w:t xml:space="preserve">AI tools are integrated into your workflows rather than just installed, meaning they are actively reducing manual effort and improving response speed.</w:t>
      </w:r>
    </w:p>
    <w:p>
      <w:pPr>
        <w:pStyle w:val="ListParagraph"/>
        <w:numPr>
          <w:ilvl w:val="0"/>
          <w:numId w:val="2"/>
        </w:numPr>
        <w:spacing w:before="40" w:after="60"/>
      </w:pPr>
      <w:r>
        <w:rPr>
          <w:rFonts w:ascii="Arial" w:cs="Arial" w:eastAsia="Arial" w:hAnsi="Arial"/>
          <w:color w:val="444444"/>
          <w:sz w:val="21"/>
          <w:szCs w:val="21"/>
        </w:rPr>
        <w:t xml:space="preserve">Reactivation and retention are structured but not yet fully automated — the next lever for increasing revenue from your existing base.</w:t>
      </w:r>
    </w:p>
    <w:p>
      <w:pPr>
        <w:pStyle w:val="ListParagraph"/>
        <w:numPr>
          <w:ilvl w:val="0"/>
          <w:numId w:val="2"/>
        </w:numPr>
        <w:spacing w:before="40" w:after="60"/>
      </w:pPr>
      <w:r>
        <w:rPr>
          <w:rFonts w:ascii="Arial" w:cs="Arial" w:eastAsia="Arial" w:hAnsi="Arial"/>
          <w:color w:val="444444"/>
          <w:sz w:val="21"/>
          <w:szCs w:val="21"/>
        </w:rPr>
        <w:t xml:space="preserve">Reporting runs at lifecycle and attribution level, which means you have the data visibility needed to make optimization decisions with confidence.</w:t>
      </w:r>
    </w:p>
    <w:p>
      <w:pPr>
        <w:spacing w:before="120" w:after="40"/>
      </w:pPr>
      <w:r>
        <w:t xml:space="preserve"/>
      </w:r>
    </w:p>
    <w:p>
      <w:pPr>
        <w:spacing w:before="0" w:after="0"/>
      </w:pPr>
      <w:r>
        <w:br w:type="page"/>
      </w:r>
    </w:p>
    <w:p>
      <w:pPr>
        <w:pStyle w:val="Heading1"/>
        <w:pBdr>
          <w:bottom w:val="single" w:color="2E5FA3" w:sz="8" w:space="4"/>
        </w:pBdr>
        <w:spacing w:before="480" w:after="160"/>
      </w:pPr>
      <w:r>
        <w:rPr>
          <w:rFonts w:ascii="Arial" w:cs="Arial" w:eastAsia="Arial" w:hAnsi="Arial"/>
          <w:b/>
          <w:bCs/>
          <w:color w:val="2E5FA3"/>
          <w:sz w:val="36"/>
          <w:szCs w:val="36"/>
        </w:rPr>
        <w:t xml:space="preserve">Part 2 — Generated Report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4"/>
              <w:bottom w:val="none" w:color="FFFFFF" w:sz="0"/>
              <w:right w:val="none" w:color="FFFFFF" w:sz="0"/>
            </w:tcBorders>
            <w:shd w:fill="E1F5EE" w:val="clear"/>
            <w:tcMar>
              <w:top w:type="dxa" w:w="140"/>
              <w:left w:type="dxa" w:w="220"/>
              <w:bottom w:type="dxa" w:w="140"/>
              <w:right w:type="dxa" w:w="220"/>
            </w:tcMar>
          </w:tcPr>
          <w:p>
            <w:pPr>
              <w:spacing w:before="0" w:after="80"/>
            </w:pPr>
            <w:r>
              <w:rPr>
                <w:rFonts w:ascii="Arial" w:cs="Arial" w:eastAsia="Arial" w:hAnsi="Arial"/>
                <w:i/>
                <w:iCs/>
                <w:color w:val="04342C"/>
                <w:sz w:val="20"/>
                <w:szCs w:val="20"/>
              </w:rPr>
              <w:t xml:space="preserve">The following report was generated by passing the profile above through the narrative assembly prompt (Draft 2). It demonstrates the tone and structure appropriate for an Optimization-stage user.</w:t>
            </w:r>
          </w:p>
          <w:p>
            <w:pPr>
              <w:spacing w:before="0" w:after="80"/>
            </w:pPr>
            <w:r>
              <w:rPr>
                <w:rFonts w:ascii="Arial" w:cs="Arial" w:eastAsia="Arial" w:hAnsi="Arial"/>
                <w:i/>
                <w:iCs/>
                <w:color w:val="04342C"/>
                <w:sz w:val="20"/>
                <w:szCs w:val="20"/>
              </w:rPr>
              <w:t xml:space="preserve"/>
            </w:r>
          </w:p>
          <w:p>
            <w:pPr>
              <w:spacing w:before="0" w:after="0"/>
            </w:pPr>
            <w:r>
              <w:rPr>
                <w:rFonts w:ascii="Arial" w:cs="Arial" w:eastAsia="Arial" w:hAnsi="Arial"/>
                <w:i/>
                <w:iCs/>
                <w:color w:val="04342C"/>
                <w:sz w:val="20"/>
                <w:szCs w:val="20"/>
              </w:rPr>
              <w:t xml:space="preserve">Note the shift from both previous test cases: this report assumes competence and moves quickly to what’s next. Less reassurance, less pattern-naming, more forward momentum. The narrative acknowledges what’s working before identifying the specific levers left to pull.</w:t>
            </w:r>
          </w:p>
        </w:tc>
      </w:tr>
    </w:tbl>
    <w:p>
      <w:pPr>
        <w:spacing w:before="160" w:after="40"/>
      </w:pPr>
      <w:r>
        <w:t xml:space="preserve"/>
      </w:r>
    </w:p>
    <w:p>
      <w:pPr>
        <w:spacing w:before="0" w:after="160"/>
      </w:pPr>
      <w:r>
        <w:rPr>
          <w:rFonts w:ascii="Arial" w:cs="Arial" w:eastAsia="Arial" w:hAnsi="Arial"/>
          <w:b/>
          <w:bCs/>
          <w:color w:val="04342C"/>
          <w:sz w:val="20"/>
          <w:szCs w:val="20"/>
          <w:shd w:fill="E1F5EE" w:val="clear"/>
        </w:rPr>
        <w:t xml:space="preserve">  Optimization Systems  </w:t>
      </w:r>
    </w:p>
    <w:p>
      <w:pPr>
        <w:spacing w:before="0" w:after="140"/>
      </w:pPr>
      <w:r>
        <w:rPr>
          <w:rFonts w:ascii="Arial" w:cs="Arial" w:eastAsia="Arial" w:hAnsi="Arial"/>
          <w:i w:val="false"/>
          <w:iCs w:val="false"/>
          <w:color w:val="1A1A1A"/>
          <w:sz w:val="22"/>
          <w:szCs w:val="22"/>
        </w:rPr>
        <w:t xml:space="preserve">Hi Renee,</w:t>
      </w:r>
    </w:p>
    <w:p>
      <w:pPr>
        <w:spacing w:before="0" w:after="40"/>
      </w:pPr>
      <w:r>
        <w:t xml:space="preserve"/>
      </w:r>
    </w:p>
    <w:p>
      <w:pPr>
        <w:spacing w:before="0" w:after="140"/>
      </w:pPr>
      <w:r>
        <w:rPr>
          <w:rFonts w:ascii="Arial" w:cs="Arial" w:eastAsia="Arial" w:hAnsi="Arial"/>
          <w:i w:val="false"/>
          <w:iCs w:val="false"/>
          <w:color w:val="1A1A1A"/>
          <w:sz w:val="22"/>
          <w:szCs w:val="22"/>
        </w:rPr>
        <w:t xml:space="preserve">Your answers reflect a business that has done the hard work of building real systems — not just tools in place, but tools that are actually running. Your offer is clearly positioned, your lead qualification process is doing real filtering work before leads reach you, your CRM is tracking lifecycle stages and generating reporting you can act on, and your delivery system moves clients through onboarding and fulfillment automatically. That’s an uncommon level of operational maturity, and it’s exactly what makes the Optimization stage possible.</w:t>
      </w:r>
    </w:p>
    <w:p>
      <w:pPr>
        <w:spacing w:before="40" w:after="40"/>
      </w:pPr>
      <w:r>
        <w:t xml:space="preserve"/>
      </w:r>
    </w:p>
    <w:p>
      <w:pPr>
        <w:spacing w:before="0" w:after="140"/>
      </w:pPr>
      <w:r>
        <w:rPr>
          <w:rFonts w:ascii="Arial" w:cs="Arial" w:eastAsia="Arial" w:hAnsi="Arial"/>
          <w:i w:val="false"/>
          <w:iCs w:val="false"/>
          <w:color w:val="1A1A1A"/>
          <w:sz w:val="22"/>
          <w:szCs w:val="22"/>
        </w:rPr>
        <w:t xml:space="preserve">The opportunity at this stage isn’t about building new foundations — it’s about squeezing more performance out of what’s already working and closing the remaining gaps that are leaving revenue on the table. Your reactivation campaigns are structured but not yet automated at a lifecycle level, which means win-back sequences are running on intention rather than triggers. Your review process is consistent but hasn’t moved to automated follow-up and response workflows yet, which limits how much social proof you’re generating at scale. And while AI is integrated into your qualification and reminder workflows, voice and conversational agents haven’t yet been deployed to handle engagement at the scale your systems could support. These aren’t gaps — they’re the next set of levers, and your business is ready to pull them.</w:t>
      </w:r>
    </w:p>
    <w:p>
      <w:pPr>
        <w:spacing w:before="120" w:after="40"/>
      </w:pPr>
      <w:r>
        <w:t xml:space="preserve"/>
      </w:r>
    </w:p>
    <w:p>
      <w:pPr>
        <w:spacing w:before="0" w:after="140"/>
      </w:pPr>
      <w:r>
        <w:rPr>
          <w:rFonts w:ascii="Arial" w:cs="Arial" w:eastAsia="Arial" w:hAnsi="Arial"/>
          <w:i w:val="false"/>
          <w:iCs w:val="false"/>
          <w:color w:val="1A1A1A"/>
          <w:sz w:val="22"/>
          <w:szCs w:val="22"/>
        </w:rPr>
        <w:t xml:space="preserve">Your recommended focus areas:</w:t>
      </w:r>
    </w:p>
    <w:p>
      <w:pPr>
        <w:pStyle w:val="ListParagraph"/>
        <w:numPr>
          <w:ilvl w:val="0"/>
          <w:numId w:val="3"/>
        </w:numPr>
        <w:spacing w:before="60" w:after="60"/>
      </w:pPr>
      <w:r>
        <w:rPr>
          <w:rFonts w:ascii="Arial" w:cs="Arial" w:eastAsia="Arial" w:hAnsi="Arial"/>
          <w:b/>
          <w:bCs/>
          <w:color w:val="1A1A1A"/>
          <w:sz w:val="22"/>
          <w:szCs w:val="22"/>
        </w:rPr>
        <w:t xml:space="preserve">Lifecycle-based reactivation automation</w:t>
      </w:r>
      <w:r>
        <w:rPr>
          <w:rFonts w:ascii="Arial" w:cs="Arial" w:eastAsia="Arial" w:hAnsi="Arial"/>
          <w:color w:val="1A1A1A"/>
          <w:sz w:val="22"/>
          <w:szCs w:val="22"/>
        </w:rPr>
        <w:t xml:space="preserve"> — move win-back campaigns from manual triggers to automated sequences based on contact behavior and inactivity signals</w:t>
      </w:r>
    </w:p>
    <w:p>
      <w:pPr>
        <w:pStyle w:val="ListParagraph"/>
        <w:numPr>
          <w:ilvl w:val="0"/>
          <w:numId w:val="3"/>
        </w:numPr>
        <w:spacing w:before="60" w:after="60"/>
      </w:pPr>
      <w:r>
        <w:rPr>
          <w:rFonts w:ascii="Arial" w:cs="Arial" w:eastAsia="Arial" w:hAnsi="Arial"/>
          <w:b/>
          <w:bCs/>
          <w:color w:val="1A1A1A"/>
          <w:sz w:val="22"/>
          <w:szCs w:val="22"/>
        </w:rPr>
        <w:t xml:space="preserve">Reviews AI implementation</w:t>
      </w:r>
      <w:r>
        <w:rPr>
          <w:rFonts w:ascii="Arial" w:cs="Arial" w:eastAsia="Arial" w:hAnsi="Arial"/>
          <w:color w:val="1A1A1A"/>
          <w:sz w:val="22"/>
          <w:szCs w:val="22"/>
        </w:rPr>
        <w:t xml:space="preserve"> — automate review requests, responses, and follow-up to build social proof consistently at scale</w:t>
      </w:r>
    </w:p>
    <w:p>
      <w:pPr>
        <w:pStyle w:val="ListParagraph"/>
        <w:numPr>
          <w:ilvl w:val="0"/>
          <w:numId w:val="3"/>
        </w:numPr>
        <w:spacing w:before="60" w:after="60"/>
      </w:pPr>
      <w:r>
        <w:rPr>
          <w:rFonts w:ascii="Arial" w:cs="Arial" w:eastAsia="Arial" w:hAnsi="Arial"/>
          <w:b/>
          <w:bCs/>
          <w:color w:val="1A1A1A"/>
          <w:sz w:val="22"/>
          <w:szCs w:val="22"/>
        </w:rPr>
        <w:t xml:space="preserve">AI voice and conversational agents</w:t>
      </w:r>
      <w:r>
        <w:rPr>
          <w:rFonts w:ascii="Arial" w:cs="Arial" w:eastAsia="Arial" w:hAnsi="Arial"/>
          <w:color w:val="1A1A1A"/>
          <w:sz w:val="22"/>
          <w:szCs w:val="22"/>
        </w:rPr>
        <w:t xml:space="preserve"> — extend your existing AI integration to handle inbound qualification and follow-up at scale</w:t>
      </w:r>
    </w:p>
    <w:p>
      <w:pPr>
        <w:pStyle w:val="ListParagraph"/>
        <w:numPr>
          <w:ilvl w:val="0"/>
          <w:numId w:val="3"/>
        </w:numPr>
        <w:spacing w:before="60" w:after="60"/>
      </w:pPr>
      <w:r>
        <w:rPr>
          <w:rFonts w:ascii="Arial" w:cs="Arial" w:eastAsia="Arial" w:hAnsi="Arial"/>
          <w:b/>
          <w:bCs/>
          <w:color w:val="1A1A1A"/>
          <w:sz w:val="22"/>
          <w:szCs w:val="22"/>
        </w:rPr>
        <w:t xml:space="preserve">Outreach AI campaigns</w:t>
      </w:r>
      <w:r>
        <w:rPr>
          <w:rFonts w:ascii="Arial" w:cs="Arial" w:eastAsia="Arial" w:hAnsi="Arial"/>
          <w:color w:val="1A1A1A"/>
          <w:sz w:val="22"/>
          <w:szCs w:val="22"/>
        </w:rPr>
        <w:t xml:space="preserve"> — build structured outbound sequences tied to your CRM segments to activate your existing database more aggressively</w:t>
      </w:r>
    </w:p>
    <w:p>
      <w:pPr>
        <w:pStyle w:val="ListParagraph"/>
        <w:numPr>
          <w:ilvl w:val="0"/>
          <w:numId w:val="3"/>
        </w:numPr>
        <w:spacing w:before="60" w:after="60"/>
      </w:pPr>
      <w:r>
        <w:rPr>
          <w:rFonts w:ascii="Arial" w:cs="Arial" w:eastAsia="Arial" w:hAnsi="Arial"/>
          <w:b/>
          <w:bCs/>
          <w:color w:val="1A1A1A"/>
          <w:sz w:val="22"/>
          <w:szCs w:val="22"/>
        </w:rPr>
        <w:t xml:space="preserve">Retention and expansion workflows</w:t>
      </w:r>
      <w:r>
        <w:rPr>
          <w:rFonts w:ascii="Arial" w:cs="Arial" w:eastAsia="Arial" w:hAnsi="Arial"/>
          <w:color w:val="1A1A1A"/>
          <w:sz w:val="22"/>
          <w:szCs w:val="22"/>
        </w:rPr>
        <w:t xml:space="preserve"> — automate renewal reminders and upsell offers based on client lifecycle stage rather than manual timing</w:t>
      </w:r>
    </w:p>
    <w:p>
      <w:pPr>
        <w:spacing w:before="1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80"/>
              <w:left w:type="dxa" w:w="220"/>
              <w:bottom w:type="dxa" w:w="180"/>
              <w:right w:type="dxa" w:w="220"/>
            </w:tcMar>
          </w:tcPr>
          <w:p>
            <w:pPr>
              <w:spacing w:before="0" w:after="80"/>
            </w:pPr>
            <w:r>
              <w:rPr>
                <w:rFonts w:ascii="Arial" w:cs="Arial" w:eastAsia="Arial" w:hAnsi="Arial"/>
                <w:b/>
                <w:bCs/>
                <w:color w:val="0F6E56"/>
                <w:sz w:val="18"/>
                <w:szCs w:val="18"/>
              </w:rPr>
              <w:t xml:space="preserve">Graduation outlook</w:t>
            </w:r>
          </w:p>
          <w:p>
            <w:pPr>
              <w:spacing w:before="0" w:after="0"/>
            </w:pPr>
            <w:r>
              <w:rPr>
                <w:rFonts w:ascii="Arial" w:cs="Arial" w:eastAsia="Arial" w:hAnsi="Arial"/>
                <w:color w:val="04342C"/>
                <w:sz w:val="22"/>
                <w:szCs w:val="22"/>
              </w:rPr>
              <w:t xml:space="preserve">The systems you’ve built are genuinely working, and the path from here is about precision rather than construction. As lifecycle automation deepens, AI agents take on more of the engagement load, and your database becomes a consistently monetized asset, the business moves toward a model where growth is driven by optimization rather than effort. That’s a sustainable position — and you’re already most of the way there.</w:t>
            </w:r>
          </w:p>
        </w:tc>
      </w:tr>
    </w:tbl>
    <w:p>
      <w:pPr>
        <w:spacing w:before="200" w:after="40"/>
      </w:pPr>
      <w:r>
        <w:t xml:space="preserve"/>
      </w:r>
    </w:p>
    <w:p>
      <w:pPr>
        <w:pBdr>
          <w:bottom w:val="single" w:color="DDDDDD" w:sz="2" w:space="1"/>
        </w:pBdr>
        <w:spacing w:before="160" w:after="160"/>
      </w:pPr>
      <w:r>
        <w:t xml:space="preserve"/>
      </w:r>
    </w:p>
    <w:p>
      <w:pPr>
        <w:spacing w:before="80" w:after="40"/>
      </w:pPr>
      <w:r>
        <w:t xml:space="preserve"/>
      </w:r>
    </w:p>
    <w:p>
      <w:pPr>
        <w:spacing w:before="0" w:after="0"/>
      </w:pPr>
      <w:r>
        <w:rPr>
          <w:rFonts w:ascii="Arial" w:cs="Arial" w:eastAsia="Arial" w:hAnsi="Arial"/>
          <w:i/>
          <w:iCs/>
          <w:color w:val="666666"/>
          <w:sz w:val="19"/>
          <w:szCs w:val="19"/>
        </w:rPr>
        <w:t xml:space="preserve">Note for students: The Optimization report is the most concise of the three — coming in well under 400 words. This is intentional. Optimization-stage users need less framing and more direction. The tone assumes competence, skips reassurance, and moves directly to what the next levers are. Compare the opening sentence across all three test cases to see how the entry point shifts with each pathway.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rPr>
        <w:color w:val="BA7517"/>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E5FA3"/>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2026-03-20T15:30:40.743Z</dcterms:created>
  <dcterms:modified xsi:type="dcterms:W3CDTF">2026-03-20T15:30:40.743Z</dcterms:modified>
</cp:coreProperties>
</file>

<file path=docProps/custom.xml><?xml version="1.0" encoding="utf-8"?>
<Properties xmlns="http://schemas.openxmlformats.org/officeDocument/2006/custom-properties" xmlns:vt="http://schemas.openxmlformats.org/officeDocument/2006/docPropsVTypes"/>
</file>