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72639"/>
          <w:sz w:val="60"/>
        </w:rPr>
        <w:t>Delta Exchange</w:t>
        <w:br/>
        <w:t>Deep Research Package</w:t>
      </w:r>
    </w:p>
    <w:p>
      <w:pPr>
        <w:jc w:val="center"/>
      </w:pPr>
      <w:r>
        <w:rPr>
          <w:color w:val="555555"/>
          <w:sz w:val="28"/>
        </w:rPr>
        <w:t>Product Manager opportunity research | Public-source final report</w:t>
      </w:r>
    </w:p>
    <w:p>
      <w:pPr>
        <w:jc w:val="center"/>
      </w:pPr>
      <w:r>
        <w:rPr>
          <w:color w:val="646464"/>
          <w:sz w:val="20"/>
        </w:rPr>
        <w:t>Regenerated downloadable package | 16 July 2026</w:t>
      </w:r>
    </w:p>
    <w:p>
      <w:pPr>
        <w:spacing w:before="100" w:after="140"/>
      </w:pPr>
      <w:r>
        <w:rPr>
          <w:b/>
          <w:color w:val="172639"/>
          <w:sz w:val="24"/>
        </w:rPr>
        <w:t>Core thesis: Delta Exchange can build a defensible product advantage by becoming the most explainable and trustworthy INR-native crypto-derivatives platform when traders face stress: volatile markets, order uncertainty, P&amp;L confusion, withdrawals and automated strategies.</w:t>
      </w:r>
    </w:p>
    <w:p>
      <w:pPr>
        <w:spacing w:after="60"/>
      </w:pPr>
      <w:r>
        <w:rPr>
          <w:color w:val="5F5F5F"/>
          <w:sz w:val="16"/>
        </w:rPr>
        <w:t>Public-source research only. Not investment, legal or tax advice. User-generated reviews are treated as signals for investigation, not verified facts or prevalence estimates.</w:t>
      </w:r>
    </w:p>
    <w:p>
      <w:r>
        <w:br w:type="page"/>
      </w:r>
    </w:p>
    <w:p>
      <w:pPr>
        <w:pStyle w:val="Heading1"/>
      </w:pPr>
      <w:r>
        <w:t>Executive summary</w:t>
      </w:r>
    </w:p>
    <w:p>
      <w:r>
        <w:t>This report turns public-source research into a product-manager-grade opportunity thesis for Delta Exchange. It is designed for executive outreach, PM interviews and product-strategy discussion.</w:t>
      </w:r>
    </w:p>
    <w:p>
      <w:r>
        <w:t>Delta's public product footprint suggests a stronger story than a conventional exchange profile: INR settlement, crypto futures/options, current public spot claims, API access, TradingView execution, a trading bot, AI API Copilot and an Algo Marketplace. The combined story is a progression from manual trading to automation.</w:t>
      </w:r>
    </w:p>
    <w:p>
      <w:r>
        <w:t>The most important gap is not simply a missing feature. It is confidence. Public surfaces leave open questions about product scope and custody language. Reviews and support themes suggest that the most stressful moments are order state, stop-loss behavior, liquidation, P&amp;L reconciliation, app state, support and withdrawals.</w:t>
      </w:r>
    </w:p>
    <w:p>
      <w:r>
        <w:t>The strongest product recommendation is a trust-and-explainability roadmap: Public Product Truth Audit, Trade Integrity Center, Explainable Trade Economics, Withdrawal Assurance, Algo Safe Deploy and Marketplace Trust Scorecard.</w:t>
      </w:r>
    </w:p>
    <w:p>
      <w:pPr>
        <w:pStyle w:val="Heading2"/>
      </w:pPr>
      <w:r>
        <w:t>What would impress Delta leadership</w:t>
      </w:r>
    </w:p>
    <w:p>
      <w:pPr>
        <w:pStyle w:val="ListBullet"/>
        <w:spacing w:after="40"/>
      </w:pPr>
      <w:r>
        <w:t>Lead with a sharp, useful product insight rather than a generic 100-page report.</w:t>
      </w:r>
    </w:p>
    <w:p>
      <w:pPr>
        <w:pStyle w:val="ListBullet"/>
        <w:spacing w:after="40"/>
      </w:pPr>
      <w:r>
        <w:t>Show that you understand derivatives, trust, regulatory ambiguity, user anxiety and product metrics.</w:t>
      </w:r>
    </w:p>
    <w:p>
      <w:pPr>
        <w:pStyle w:val="ListBullet"/>
        <w:spacing w:after="40"/>
      </w:pPr>
      <w:r>
        <w:t>Admit unknowns that require internal data; do not fake certainty.</w:t>
      </w:r>
    </w:p>
    <w:p>
      <w:pPr>
        <w:pStyle w:val="ListBullet"/>
        <w:spacing w:after="40"/>
      </w:pPr>
      <w:r>
        <w:t>Frame recommendations as experiments with success and guardrail metrics.</w:t>
      </w:r>
    </w:p>
    <w:p>
      <w:pPr>
        <w:pStyle w:val="ListBullet"/>
        <w:spacing w:after="40"/>
      </w:pPr>
      <w:r>
        <w:t>Tie every product idea to customer pain, business value, risk controls and Delta's differentiation.</w:t>
      </w:r>
    </w:p>
    <w:p>
      <w:pPr>
        <w:pStyle w:val="Heading1"/>
      </w:pPr>
      <w:r>
        <w:t>1. Research method and scope</w:t>
      </w:r>
    </w:p>
    <w:p>
      <w:r>
        <w:t>The research followed an iterative loop: define the target, gather official sources, map product surfaces, compare competitor positioning, analyze visible review themes, identify contradictions, generate product hypotheses, red-team the conclusions, and document unresolved questions.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232"/>
            <w:vAlign w:val="top"/>
            <w:shd w:fill="24364B"/>
          </w:tcPr>
          <w:p>
            <w:pPr>
              <w:spacing w:after="0"/>
            </w:pPr>
            <w:r/>
            <w:r>
              <w:rPr>
                <w:rFonts w:ascii="Aptos" w:hAnsi="Aptos"/>
                <w:b/>
                <w:color w:val="FFFFFF"/>
                <w:sz w:val="16"/>
              </w:rPr>
              <w:t>Workstream</w:t>
            </w:r>
          </w:p>
        </w:tc>
        <w:tc>
          <w:tcPr>
            <w:tcW w:type="dxa" w:w="2304"/>
            <w:vAlign w:val="top"/>
            <w:shd w:fill="24364B"/>
          </w:tcPr>
          <w:p>
            <w:pPr>
              <w:spacing w:after="0"/>
            </w:pPr>
            <w:r/>
            <w:r>
              <w:rPr>
                <w:rFonts w:ascii="Aptos" w:hAnsi="Aptos"/>
                <w:b/>
                <w:color w:val="FFFFFF"/>
                <w:sz w:val="16"/>
              </w:rPr>
              <w:t>Status</w:t>
            </w:r>
          </w:p>
        </w:tc>
        <w:tc>
          <w:tcPr>
            <w:tcW w:type="dxa" w:w="1728"/>
            <w:vAlign w:val="top"/>
            <w:shd w:fill="24364B"/>
          </w:tcPr>
          <w:p>
            <w:pPr>
              <w:spacing w:after="0"/>
            </w:pPr>
            <w:r/>
            <w:r>
              <w:rPr>
                <w:rFonts w:ascii="Aptos" w:hAnsi="Aptos"/>
                <w:b/>
                <w:color w:val="FFFFFF"/>
                <w:sz w:val="16"/>
              </w:rPr>
              <w:t>Confidence</w:t>
            </w:r>
          </w:p>
        </w:tc>
        <w:tc>
          <w:tcPr>
            <w:tcW w:type="dxa" w:w="5040"/>
            <w:vAlign w:val="top"/>
            <w:shd w:fill="24364B"/>
          </w:tcPr>
          <w:p>
            <w:pPr>
              <w:spacing w:after="0"/>
            </w:pPr>
            <w:r/>
            <w:r>
              <w:rPr>
                <w:rFonts w:ascii="Aptos" w:hAnsi="Aptos"/>
                <w:b/>
                <w:color w:val="FFFFFF"/>
                <w:sz w:val="16"/>
              </w:rPr>
              <w:t>Notes</w:t>
            </w:r>
          </w:p>
        </w:tc>
      </w:tr>
      <w:tr>
        <w:tc>
          <w:tcPr>
            <w:tcW w:type="dxa" w:w="2232"/>
            <w:vAlign w:val="top"/>
          </w:tcPr>
          <w:p>
            <w:pPr>
              <w:spacing w:after="0"/>
            </w:pPr>
            <w:r/>
            <w:r>
              <w:rPr>
                <w:rFonts w:ascii="Aptos" w:hAnsi="Aptos"/>
                <w:b w:val="0"/>
                <w:sz w:val="16"/>
              </w:rPr>
              <w:t>Entity and official surfaces</w:t>
            </w:r>
          </w:p>
        </w:tc>
        <w:tc>
          <w:tcPr>
            <w:tcW w:type="dxa" w:w="2304"/>
            <w:vAlign w:val="top"/>
          </w:tcPr>
          <w:p>
            <w:pPr>
              <w:spacing w:after="0"/>
            </w:pPr>
            <w:r/>
            <w:r>
              <w:rPr>
                <w:rFonts w:ascii="Aptos" w:hAnsi="Aptos"/>
                <w:b w:val="0"/>
                <w:sz w:val="16"/>
              </w:rPr>
              <w:t>Completed public-source pass</w:t>
            </w:r>
          </w:p>
        </w:tc>
        <w:tc>
          <w:tcPr>
            <w:tcW w:type="dxa" w:w="1728"/>
            <w:vAlign w:val="top"/>
          </w:tcPr>
          <w:p>
            <w:pPr>
              <w:spacing w:after="0"/>
            </w:pPr>
            <w:r/>
            <w:r>
              <w:rPr>
                <w:rFonts w:ascii="Aptos" w:hAnsi="Aptos"/>
                <w:b w:val="0"/>
                <w:sz w:val="16"/>
              </w:rPr>
              <w:t>Medium-high</w:t>
            </w:r>
          </w:p>
        </w:tc>
        <w:tc>
          <w:tcPr>
            <w:tcW w:type="dxa" w:w="5040"/>
            <w:vAlign w:val="top"/>
          </w:tcPr>
          <w:p>
            <w:pPr>
              <w:spacing w:after="0"/>
            </w:pPr>
            <w:r/>
            <w:r>
              <w:rPr>
                <w:rFonts w:ascii="Aptos" w:hAnsi="Aptos"/>
                <w:b w:val="0"/>
                <w:sz w:val="16"/>
              </w:rPr>
              <w:t>Terms identify Excelium Technologies Private Limited for India-facing terms; exact role employer must be verified internally. [S1]</w:t>
            </w:r>
          </w:p>
        </w:tc>
      </w:tr>
      <w:tr>
        <w:tc>
          <w:tcPr>
            <w:tcW w:type="dxa" w:w="2232"/>
            <w:vAlign w:val="top"/>
            <w:shd w:fill="F5F7FA"/>
          </w:tcPr>
          <w:p>
            <w:pPr>
              <w:spacing w:after="0"/>
            </w:pPr>
            <w:r/>
            <w:r>
              <w:rPr>
                <w:rFonts w:ascii="Aptos" w:hAnsi="Aptos"/>
                <w:b w:val="0"/>
                <w:sz w:val="16"/>
              </w:rPr>
              <w:t>Product inventory</w:t>
            </w:r>
          </w:p>
        </w:tc>
        <w:tc>
          <w:tcPr>
            <w:tcW w:type="dxa" w:w="2304"/>
            <w:vAlign w:val="top"/>
            <w:shd w:fill="F5F7FA"/>
          </w:tcPr>
          <w:p>
            <w:pPr>
              <w:spacing w:after="0"/>
            </w:pPr>
            <w:r/>
            <w:r>
              <w:rPr>
                <w:rFonts w:ascii="Aptos" w:hAnsi="Aptos"/>
                <w:b w:val="0"/>
                <w:sz w:val="16"/>
              </w:rPr>
              <w:t>Completed public-source pass</w:t>
            </w:r>
          </w:p>
        </w:tc>
        <w:tc>
          <w:tcPr>
            <w:tcW w:type="dxa" w:w="1728"/>
            <w:vAlign w:val="top"/>
            <w:shd w:fill="F5F7FA"/>
          </w:tcPr>
          <w:p>
            <w:pPr>
              <w:spacing w:after="0"/>
            </w:pPr>
            <w:r/>
            <w:r>
              <w:rPr>
                <w:rFonts w:ascii="Aptos" w:hAnsi="Aptos"/>
                <w:b w:val="0"/>
                <w:sz w:val="16"/>
              </w:rPr>
              <w:t>Medium-high</w:t>
            </w:r>
          </w:p>
        </w:tc>
        <w:tc>
          <w:tcPr>
            <w:tcW w:type="dxa" w:w="5040"/>
            <w:vAlign w:val="top"/>
            <w:shd w:fill="F5F7FA"/>
          </w:tcPr>
          <w:p>
            <w:pPr>
              <w:spacing w:after="0"/>
            </w:pPr>
            <w:r/>
            <w:r>
              <w:rPr>
                <w:rFonts w:ascii="Aptos" w:hAnsi="Aptos"/>
                <w:b w:val="0"/>
                <w:sz w:val="16"/>
              </w:rPr>
              <w:t>Includes fee page, app listing, API Copilot, TradingView, Algo Marketplace and support pages. [S2-S9]</w:t>
            </w:r>
          </w:p>
        </w:tc>
      </w:tr>
      <w:tr>
        <w:tc>
          <w:tcPr>
            <w:tcW w:type="dxa" w:w="2232"/>
            <w:vAlign w:val="top"/>
          </w:tcPr>
          <w:p>
            <w:pPr>
              <w:spacing w:after="0"/>
            </w:pPr>
            <w:r/>
            <w:r>
              <w:rPr>
                <w:rFonts w:ascii="Aptos" w:hAnsi="Aptos"/>
                <w:b w:val="0"/>
                <w:sz w:val="16"/>
              </w:rPr>
              <w:t>Review intelligence</w:t>
            </w:r>
          </w:p>
        </w:tc>
        <w:tc>
          <w:tcPr>
            <w:tcW w:type="dxa" w:w="2304"/>
            <w:vAlign w:val="top"/>
          </w:tcPr>
          <w:p>
            <w:pPr>
              <w:spacing w:after="0"/>
            </w:pPr>
            <w:r/>
            <w:r>
              <w:rPr>
                <w:rFonts w:ascii="Aptos" w:hAnsi="Aptos"/>
                <w:b w:val="0"/>
                <w:sz w:val="16"/>
              </w:rPr>
              <w:t>Directional only</w:t>
            </w:r>
          </w:p>
        </w:tc>
        <w:tc>
          <w:tcPr>
            <w:tcW w:type="dxa" w:w="1728"/>
            <w:vAlign w:val="top"/>
          </w:tcPr>
          <w:p>
            <w:pPr>
              <w:spacing w:after="0"/>
            </w:pPr>
            <w:r/>
            <w:r>
              <w:rPr>
                <w:rFonts w:ascii="Aptos" w:hAnsi="Aptos"/>
                <w:b w:val="0"/>
                <w:sz w:val="16"/>
              </w:rPr>
              <w:t>Medium-low</w:t>
            </w:r>
          </w:p>
        </w:tc>
        <w:tc>
          <w:tcPr>
            <w:tcW w:type="dxa" w:w="5040"/>
            <w:vAlign w:val="top"/>
          </w:tcPr>
          <w:p>
            <w:pPr>
              <w:spacing w:after="0"/>
            </w:pPr>
            <w:r/>
            <w:r>
              <w:rPr>
                <w:rFonts w:ascii="Aptos" w:hAnsi="Aptos"/>
                <w:b w:val="0"/>
                <w:sz w:val="16"/>
              </w:rPr>
              <w:t>Public reviews identify high-consequence failure modes but not prevalence. [S10]</w:t>
            </w:r>
          </w:p>
        </w:tc>
      </w:tr>
      <w:tr>
        <w:tc>
          <w:tcPr>
            <w:tcW w:type="dxa" w:w="2232"/>
            <w:vAlign w:val="top"/>
            <w:shd w:fill="F5F7FA"/>
          </w:tcPr>
          <w:p>
            <w:pPr>
              <w:spacing w:after="0"/>
            </w:pPr>
            <w:r/>
            <w:r>
              <w:rPr>
                <w:rFonts w:ascii="Aptos" w:hAnsi="Aptos"/>
                <w:b w:val="0"/>
                <w:sz w:val="16"/>
              </w:rPr>
              <w:t>Competitor comparison</w:t>
            </w:r>
          </w:p>
        </w:tc>
        <w:tc>
          <w:tcPr>
            <w:tcW w:type="dxa" w:w="2304"/>
            <w:vAlign w:val="top"/>
            <w:shd w:fill="F5F7FA"/>
          </w:tcPr>
          <w:p>
            <w:pPr>
              <w:spacing w:after="0"/>
            </w:pPr>
            <w:r/>
            <w:r>
              <w:rPr>
                <w:rFonts w:ascii="Aptos" w:hAnsi="Aptos"/>
                <w:b w:val="0"/>
                <w:sz w:val="16"/>
              </w:rPr>
              <w:t>Completed public-source pass</w:t>
            </w:r>
          </w:p>
        </w:tc>
        <w:tc>
          <w:tcPr>
            <w:tcW w:type="dxa" w:w="1728"/>
            <w:vAlign w:val="top"/>
            <w:shd w:fill="F5F7FA"/>
          </w:tcPr>
          <w:p>
            <w:pPr>
              <w:spacing w:after="0"/>
            </w:pPr>
            <w:r/>
            <w:r>
              <w:rPr>
                <w:rFonts w:ascii="Aptos" w:hAnsi="Aptos"/>
                <w:b w:val="0"/>
                <w:sz w:val="16"/>
              </w:rPr>
              <w:t>Medium</w:t>
            </w:r>
          </w:p>
        </w:tc>
        <w:tc>
          <w:tcPr>
            <w:tcW w:type="dxa" w:w="5040"/>
            <w:vAlign w:val="top"/>
            <w:shd w:fill="F5F7FA"/>
          </w:tcPr>
          <w:p>
            <w:pPr>
              <w:spacing w:after="0"/>
            </w:pPr>
            <w:r/>
            <w:r>
              <w:rPr>
                <w:rFonts w:ascii="Aptos" w:hAnsi="Aptos"/>
                <w:b w:val="0"/>
                <w:sz w:val="16"/>
              </w:rPr>
              <w:t>Enough to form positioning and gap hypotheses; live fee/spread testing remains open. [S11-S18]</w:t>
            </w:r>
          </w:p>
        </w:tc>
      </w:tr>
      <w:tr>
        <w:tc>
          <w:tcPr>
            <w:tcW w:type="dxa" w:w="2232"/>
            <w:vAlign w:val="top"/>
          </w:tcPr>
          <w:p>
            <w:pPr>
              <w:spacing w:after="0"/>
            </w:pPr>
            <w:r/>
            <w:r>
              <w:rPr>
                <w:rFonts w:ascii="Aptos" w:hAnsi="Aptos"/>
                <w:b w:val="0"/>
                <w:sz w:val="16"/>
              </w:rPr>
              <w:t>Regulatory baseline</w:t>
            </w:r>
          </w:p>
        </w:tc>
        <w:tc>
          <w:tcPr>
            <w:tcW w:type="dxa" w:w="2304"/>
            <w:vAlign w:val="top"/>
          </w:tcPr>
          <w:p>
            <w:pPr>
              <w:spacing w:after="0"/>
            </w:pPr>
            <w:r/>
            <w:r>
              <w:rPr>
                <w:rFonts w:ascii="Aptos" w:hAnsi="Aptos"/>
                <w:b w:val="0"/>
                <w:sz w:val="16"/>
              </w:rPr>
              <w:t>Completed public-source baseline</w:t>
            </w:r>
          </w:p>
        </w:tc>
        <w:tc>
          <w:tcPr>
            <w:tcW w:type="dxa" w:w="1728"/>
            <w:vAlign w:val="top"/>
          </w:tcPr>
          <w:p>
            <w:pPr>
              <w:spacing w:after="0"/>
            </w:pPr>
            <w:r/>
            <w:r>
              <w:rPr>
                <w:rFonts w:ascii="Aptos" w:hAnsi="Aptos"/>
                <w:b w:val="0"/>
                <w:sz w:val="16"/>
              </w:rPr>
              <w:t>Medium</w:t>
            </w:r>
          </w:p>
        </w:tc>
        <w:tc>
          <w:tcPr>
            <w:tcW w:type="dxa" w:w="5040"/>
            <w:vAlign w:val="top"/>
          </w:tcPr>
          <w:p>
            <w:pPr>
              <w:spacing w:after="0"/>
            </w:pPr>
            <w:r/>
            <w:r>
              <w:rPr>
                <w:rFonts w:ascii="Aptos" w:hAnsi="Aptos"/>
                <w:b w:val="0"/>
                <w:sz w:val="16"/>
              </w:rPr>
              <w:t>Primary Indian PMLA and tax sources included; no legal advice. [S19-S20]</w:t>
            </w:r>
          </w:p>
        </w:tc>
      </w:tr>
      <w:tr>
        <w:tc>
          <w:tcPr>
            <w:tcW w:type="dxa" w:w="2232"/>
            <w:vAlign w:val="top"/>
            <w:shd w:fill="F5F7FA"/>
          </w:tcPr>
          <w:p>
            <w:pPr>
              <w:spacing w:after="0"/>
            </w:pPr>
            <w:r/>
            <w:r>
              <w:rPr>
                <w:rFonts w:ascii="Aptos" w:hAnsi="Aptos"/>
                <w:b w:val="0"/>
                <w:sz w:val="16"/>
              </w:rPr>
              <w:t>Internal data</w:t>
            </w:r>
          </w:p>
        </w:tc>
        <w:tc>
          <w:tcPr>
            <w:tcW w:type="dxa" w:w="2304"/>
            <w:vAlign w:val="top"/>
            <w:shd w:fill="F5F7FA"/>
          </w:tcPr>
          <w:p>
            <w:pPr>
              <w:spacing w:after="0"/>
            </w:pPr>
            <w:r/>
            <w:r>
              <w:rPr>
                <w:rFonts w:ascii="Aptos" w:hAnsi="Aptos"/>
                <w:b w:val="0"/>
                <w:sz w:val="16"/>
              </w:rPr>
              <w:t>Not available</w:t>
            </w:r>
          </w:p>
        </w:tc>
        <w:tc>
          <w:tcPr>
            <w:tcW w:type="dxa" w:w="1728"/>
            <w:vAlign w:val="top"/>
            <w:shd w:fill="F5F7FA"/>
          </w:tcPr>
          <w:p>
            <w:pPr>
              <w:spacing w:after="0"/>
            </w:pPr>
            <w:r/>
            <w:r>
              <w:rPr>
                <w:rFonts w:ascii="Aptos" w:hAnsi="Aptos"/>
                <w:b w:val="0"/>
                <w:sz w:val="16"/>
              </w:rPr>
              <w:t>Low</w:t>
            </w:r>
          </w:p>
        </w:tc>
        <w:tc>
          <w:tcPr>
            <w:tcW w:type="dxa" w:w="5040"/>
            <w:vAlign w:val="top"/>
            <w:shd w:fill="F5F7FA"/>
          </w:tcPr>
          <w:p>
            <w:pPr>
              <w:spacing w:after="0"/>
            </w:pPr>
            <w:r/>
            <w:r>
              <w:rPr>
                <w:rFonts w:ascii="Aptos" w:hAnsi="Aptos"/>
                <w:b w:val="0"/>
                <w:sz w:val="16"/>
              </w:rPr>
              <w:t>Cohorts, support volume, liquidity, outages and revenue require Delta internal data.</w:t>
            </w:r>
          </w:p>
        </w:tc>
      </w:tr>
    </w:tbl>
    <w:p/>
    <w:p>
      <w:pPr>
        <w:pStyle w:val="Heading1"/>
      </w:pPr>
      <w:r>
        <w:t>2. Company and entity baseline</w:t>
      </w:r>
    </w:p>
    <w:p>
      <w:r>
        <w:t>Delta's India-facing Terms of Service state that the services are made available by Excelium Technologies Private Limited, incorporated in India, with a Mumbai registered office. The same terms define the platform as website, mobile application or API and define products broadly to include spot transactions, derivatives, supported digital assets and other platform features. [S1]</w:t>
      </w:r>
    </w:p>
    <w:p>
      <w:r>
        <w:t>Because crypto platforms may operate through multiple entities, the PM candidate should verify the precise employer, jurisdiction and product scope for the target role before outreach or interviews. This is a strategic question, not a clerical one: entity scope affects regulation, product availability, custody model, data, roadmap and user eligibility.</w:t>
      </w:r>
    </w:p>
    <w:p>
      <w:pPr>
        <w:pStyle w:val="Heading1"/>
      </w:pPr>
      <w:r>
        <w:t>3. Product inventory</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top"/>
            <w:shd w:fill="24364B"/>
          </w:tcPr>
          <w:p>
            <w:pPr>
              <w:spacing w:after="0"/>
            </w:pPr>
            <w:r/>
            <w:r>
              <w:rPr>
                <w:rFonts w:ascii="Aptos" w:hAnsi="Aptos"/>
                <w:b/>
                <w:color w:val="FFFFFF"/>
                <w:sz w:val="16"/>
              </w:rPr>
              <w:t>Product area</w:t>
            </w:r>
          </w:p>
        </w:tc>
        <w:tc>
          <w:tcPr>
            <w:tcW w:type="dxa" w:w="4608"/>
            <w:vAlign w:val="top"/>
            <w:shd w:fill="24364B"/>
          </w:tcPr>
          <w:p>
            <w:pPr>
              <w:spacing w:after="0"/>
            </w:pPr>
            <w:r/>
            <w:r>
              <w:rPr>
                <w:rFonts w:ascii="Aptos" w:hAnsi="Aptos"/>
                <w:b/>
                <w:color w:val="FFFFFF"/>
                <w:sz w:val="16"/>
              </w:rPr>
              <w:t>Public evidence</w:t>
            </w:r>
          </w:p>
        </w:tc>
        <w:tc>
          <w:tcPr>
            <w:tcW w:type="dxa" w:w="3456"/>
            <w:vAlign w:val="top"/>
            <w:shd w:fill="24364B"/>
          </w:tcPr>
          <w:p>
            <w:pPr>
              <w:spacing w:after="0"/>
            </w:pPr>
            <w:r/>
            <w:r>
              <w:rPr>
                <w:rFonts w:ascii="Aptos" w:hAnsi="Aptos"/>
                <w:b/>
                <w:color w:val="FFFFFF"/>
                <w:sz w:val="16"/>
              </w:rPr>
              <w:t>Product implication</w:t>
            </w:r>
          </w:p>
        </w:tc>
      </w:tr>
      <w:tr>
        <w:tc>
          <w:tcPr>
            <w:tcW w:type="dxa" w:w="2160"/>
            <w:vAlign w:val="top"/>
          </w:tcPr>
          <w:p>
            <w:pPr>
              <w:spacing w:after="0"/>
            </w:pPr>
            <w:r/>
            <w:r>
              <w:rPr>
                <w:rFonts w:ascii="Aptos" w:hAnsi="Aptos"/>
                <w:b w:val="0"/>
                <w:sz w:val="16"/>
              </w:rPr>
              <w:t>Futures/options</w:t>
            </w:r>
          </w:p>
        </w:tc>
        <w:tc>
          <w:tcPr>
            <w:tcW w:type="dxa" w:w="4608"/>
            <w:vAlign w:val="top"/>
          </w:tcPr>
          <w:p>
            <w:pPr>
              <w:spacing w:after="0"/>
            </w:pPr>
            <w:r/>
            <w:r>
              <w:rPr>
                <w:rFonts w:ascii="Aptos" w:hAnsi="Aptos"/>
                <w:b w:val="0"/>
                <w:sz w:val="16"/>
              </w:rPr>
              <w:t>Fee page lists futures/options fee categories and examples. [S2]</w:t>
            </w:r>
          </w:p>
        </w:tc>
        <w:tc>
          <w:tcPr>
            <w:tcW w:type="dxa" w:w="3456"/>
            <w:vAlign w:val="top"/>
          </w:tcPr>
          <w:p>
            <w:pPr>
              <w:spacing w:after="0"/>
            </w:pPr>
            <w:r/>
            <w:r>
              <w:rPr>
                <w:rFonts w:ascii="Aptos" w:hAnsi="Aptos"/>
                <w:b w:val="0"/>
                <w:sz w:val="16"/>
              </w:rPr>
              <w:t>Core derivative trading proposition.</w:t>
            </w:r>
          </w:p>
        </w:tc>
      </w:tr>
      <w:tr>
        <w:tc>
          <w:tcPr>
            <w:tcW w:type="dxa" w:w="2160"/>
            <w:vAlign w:val="top"/>
            <w:shd w:fill="F5F7FA"/>
          </w:tcPr>
          <w:p>
            <w:pPr>
              <w:spacing w:after="0"/>
            </w:pPr>
            <w:r/>
            <w:r>
              <w:rPr>
                <w:rFonts w:ascii="Aptos" w:hAnsi="Aptos"/>
                <w:b w:val="0"/>
                <w:sz w:val="16"/>
              </w:rPr>
              <w:t>Spot</w:t>
            </w:r>
          </w:p>
        </w:tc>
        <w:tc>
          <w:tcPr>
            <w:tcW w:type="dxa" w:w="4608"/>
            <w:vAlign w:val="top"/>
            <w:shd w:fill="F5F7FA"/>
          </w:tcPr>
          <w:p>
            <w:pPr>
              <w:spacing w:after="0"/>
            </w:pPr>
            <w:r/>
            <w:r>
              <w:rPr>
                <w:rFonts w:ascii="Aptos" w:hAnsi="Aptos"/>
                <w:b w:val="0"/>
                <w:sz w:val="16"/>
              </w:rPr>
              <w:t>Fee page includes spot; app listing claims spot trading. [S2-S3]</w:t>
            </w:r>
          </w:p>
        </w:tc>
        <w:tc>
          <w:tcPr>
            <w:tcW w:type="dxa" w:w="3456"/>
            <w:vAlign w:val="top"/>
            <w:shd w:fill="F5F7FA"/>
          </w:tcPr>
          <w:p>
            <w:pPr>
              <w:spacing w:after="0"/>
            </w:pPr>
            <w:r/>
            <w:r>
              <w:rPr>
                <w:rFonts w:ascii="Aptos" w:hAnsi="Aptos"/>
                <w:b w:val="0"/>
                <w:sz w:val="16"/>
              </w:rPr>
              <w:t>Needs product-truth/custody clarity because some help/security copy may be stale or entity-specific.</w:t>
            </w:r>
          </w:p>
        </w:tc>
      </w:tr>
      <w:tr>
        <w:tc>
          <w:tcPr>
            <w:tcW w:type="dxa" w:w="2160"/>
            <w:vAlign w:val="top"/>
          </w:tcPr>
          <w:p>
            <w:pPr>
              <w:spacing w:after="0"/>
            </w:pPr>
            <w:r/>
            <w:r>
              <w:rPr>
                <w:rFonts w:ascii="Aptos" w:hAnsi="Aptos"/>
                <w:b w:val="0"/>
                <w:sz w:val="16"/>
              </w:rPr>
              <w:t>TradingView integration</w:t>
            </w:r>
          </w:p>
        </w:tc>
        <w:tc>
          <w:tcPr>
            <w:tcW w:type="dxa" w:w="4608"/>
            <w:vAlign w:val="top"/>
          </w:tcPr>
          <w:p>
            <w:pPr>
              <w:spacing w:after="0"/>
            </w:pPr>
            <w:r/>
            <w:r>
              <w:rPr>
                <w:rFonts w:ascii="Aptos" w:hAnsi="Aptos"/>
                <w:b w:val="0"/>
                <w:sz w:val="16"/>
              </w:rPr>
              <w:t>Official support guide covers integration. [S6]</w:t>
            </w:r>
          </w:p>
        </w:tc>
        <w:tc>
          <w:tcPr>
            <w:tcW w:type="dxa" w:w="3456"/>
            <w:vAlign w:val="top"/>
          </w:tcPr>
          <w:p>
            <w:pPr>
              <w:spacing w:after="0"/>
            </w:pPr>
            <w:r/>
            <w:r>
              <w:rPr>
                <w:rFonts w:ascii="Aptos" w:hAnsi="Aptos"/>
                <w:b w:val="0"/>
                <w:sz w:val="16"/>
              </w:rPr>
              <w:t>Acquisition and retention surface for chart-first traders.</w:t>
            </w:r>
          </w:p>
        </w:tc>
      </w:tr>
      <w:tr>
        <w:tc>
          <w:tcPr>
            <w:tcW w:type="dxa" w:w="2160"/>
            <w:vAlign w:val="top"/>
            <w:shd w:fill="F5F7FA"/>
          </w:tcPr>
          <w:p>
            <w:pPr>
              <w:spacing w:after="0"/>
            </w:pPr>
            <w:r/>
            <w:r>
              <w:rPr>
                <w:rFonts w:ascii="Aptos" w:hAnsi="Aptos"/>
                <w:b w:val="0"/>
                <w:sz w:val="16"/>
              </w:rPr>
              <w:t>API and AI Copilot</w:t>
            </w:r>
          </w:p>
        </w:tc>
        <w:tc>
          <w:tcPr>
            <w:tcW w:type="dxa" w:w="4608"/>
            <w:vAlign w:val="top"/>
            <w:shd w:fill="F5F7FA"/>
          </w:tcPr>
          <w:p>
            <w:pPr>
              <w:spacing w:after="0"/>
            </w:pPr>
            <w:r/>
            <w:r>
              <w:rPr>
                <w:rFonts w:ascii="Aptos" w:hAnsi="Aptos"/>
                <w:b w:val="0"/>
                <w:sz w:val="16"/>
              </w:rPr>
              <w:t>Official guide explains API Copilot and limitations. [S4]</w:t>
            </w:r>
          </w:p>
        </w:tc>
        <w:tc>
          <w:tcPr>
            <w:tcW w:type="dxa" w:w="3456"/>
            <w:vAlign w:val="top"/>
            <w:shd w:fill="F5F7FA"/>
          </w:tcPr>
          <w:p>
            <w:pPr>
              <w:spacing w:after="0"/>
            </w:pPr>
            <w:r/>
            <w:r>
              <w:rPr>
                <w:rFonts w:ascii="Aptos" w:hAnsi="Aptos"/>
                <w:b w:val="0"/>
                <w:sz w:val="16"/>
              </w:rPr>
              <w:t>A strong bridge to developer/algo traders; needs safety layer.</w:t>
            </w:r>
          </w:p>
        </w:tc>
      </w:tr>
      <w:tr>
        <w:tc>
          <w:tcPr>
            <w:tcW w:type="dxa" w:w="2160"/>
            <w:vAlign w:val="top"/>
          </w:tcPr>
          <w:p>
            <w:pPr>
              <w:spacing w:after="0"/>
            </w:pPr>
            <w:r/>
            <w:r>
              <w:rPr>
                <w:rFonts w:ascii="Aptos" w:hAnsi="Aptos"/>
                <w:b w:val="0"/>
                <w:sz w:val="16"/>
              </w:rPr>
              <w:t>Trading Bot/Algo Marketplace</w:t>
            </w:r>
          </w:p>
        </w:tc>
        <w:tc>
          <w:tcPr>
            <w:tcW w:type="dxa" w:w="4608"/>
            <w:vAlign w:val="top"/>
          </w:tcPr>
          <w:p>
            <w:pPr>
              <w:spacing w:after="0"/>
            </w:pPr>
            <w:r/>
            <w:r>
              <w:rPr>
                <w:rFonts w:ascii="Aptos" w:hAnsi="Aptos"/>
                <w:b w:val="0"/>
                <w:sz w:val="16"/>
              </w:rPr>
              <w:t>Official marketplace guide describes algo discovery and usage. [S5]</w:t>
            </w:r>
          </w:p>
        </w:tc>
        <w:tc>
          <w:tcPr>
            <w:tcW w:type="dxa" w:w="3456"/>
            <w:vAlign w:val="top"/>
          </w:tcPr>
          <w:p>
            <w:pPr>
              <w:spacing w:after="0"/>
            </w:pPr>
            <w:r/>
            <w:r>
              <w:rPr>
                <w:rFonts w:ascii="Aptos" w:hAnsi="Aptos"/>
                <w:b w:val="0"/>
                <w:sz w:val="16"/>
              </w:rPr>
              <w:t>Potential ecosystem moat if risk reporting and trust are strong.</w:t>
            </w:r>
          </w:p>
        </w:tc>
      </w:tr>
      <w:tr>
        <w:tc>
          <w:tcPr>
            <w:tcW w:type="dxa" w:w="2160"/>
            <w:vAlign w:val="top"/>
            <w:shd w:fill="F5F7FA"/>
          </w:tcPr>
          <w:p>
            <w:pPr>
              <w:spacing w:after="0"/>
            </w:pPr>
            <w:r/>
            <w:r>
              <w:rPr>
                <w:rFonts w:ascii="Aptos" w:hAnsi="Aptos"/>
                <w:b w:val="0"/>
                <w:sz w:val="16"/>
              </w:rPr>
              <w:t>Withdrawals and security</w:t>
            </w:r>
          </w:p>
        </w:tc>
        <w:tc>
          <w:tcPr>
            <w:tcW w:type="dxa" w:w="4608"/>
            <w:vAlign w:val="top"/>
            <w:shd w:fill="F5F7FA"/>
          </w:tcPr>
          <w:p>
            <w:pPr>
              <w:spacing w:after="0"/>
            </w:pPr>
            <w:r/>
            <w:r>
              <w:rPr>
                <w:rFonts w:ascii="Aptos" w:hAnsi="Aptos"/>
                <w:b w:val="0"/>
                <w:sz w:val="16"/>
              </w:rPr>
              <w:t>Official support pages describe timelines, manual audits, security, and bug bounty. [S7-S9]</w:t>
            </w:r>
          </w:p>
        </w:tc>
        <w:tc>
          <w:tcPr>
            <w:tcW w:type="dxa" w:w="3456"/>
            <w:vAlign w:val="top"/>
            <w:shd w:fill="F5F7FA"/>
          </w:tcPr>
          <w:p>
            <w:pPr>
              <w:spacing w:after="0"/>
            </w:pPr>
            <w:r/>
            <w:r>
              <w:rPr>
                <w:rFonts w:ascii="Aptos" w:hAnsi="Aptos"/>
                <w:b w:val="0"/>
                <w:sz w:val="16"/>
              </w:rPr>
              <w:t>Trust moment and support deflection opportunity.</w:t>
            </w:r>
          </w:p>
        </w:tc>
      </w:tr>
    </w:tbl>
    <w:p/>
    <w:p>
      <w:pPr>
        <w:pStyle w:val="Heading1"/>
      </w:pPr>
      <w:r>
        <w:t>4. Product-truth and trust gap</w:t>
      </w:r>
    </w:p>
    <w:p>
      <w:pPr>
        <w:spacing w:before="100" w:after="140"/>
      </w:pPr>
      <w:r>
        <w:rPr>
          <w:b/>
          <w:color w:val="172639"/>
          <w:sz w:val="24"/>
        </w:rPr>
        <w:t>The immediate PM opportunity is a Public Product Truth Audit: reconcile spot, custody, funds, wallet, fee, leverage and help-center language across every official surface.</w:t>
      </w:r>
    </w:p>
    <w:p>
      <w:r>
        <w:t>The fee page shows a spot fee row, while the app listing markets spot trading. The Terms define digital-asset wallets, supported digital assets and custodial services. If the security/help article still describes all funds as held in INR and no crypto holdings, users may perceive a contradiction even if the legal explanation is valid. [S1-S3, S7]</w:t>
      </w:r>
    </w:p>
    <w:p>
      <w:r>
        <w:t>In derivatives, ambiguity becomes anxiety. A user does not need legal drafting; they need a simple product truth table: what is available, for whom, in which entity, where assets sit, who custodies them, what fees apply and what happens in failure states.</w:t>
      </w:r>
    </w:p>
    <w:p>
      <w:pPr>
        <w:pStyle w:val="Heading2"/>
      </w:pPr>
      <w:r>
        <w:t>Public Product Truth Audit - MVP</w:t>
      </w:r>
    </w:p>
    <w:p>
      <w:pPr>
        <w:pStyle w:val="ListBullet"/>
        <w:spacing w:after="40"/>
      </w:pPr>
      <w:r>
        <w:t>Single public product matrix by entity, jurisdiction and availability: futures, options, spot, deposits, withdrawals, API, TradingView, bots and marketplace.</w:t>
      </w:r>
    </w:p>
    <w:p>
      <w:pPr>
        <w:pStyle w:val="ListBullet"/>
        <w:spacing w:after="40"/>
      </w:pPr>
      <w:r>
        <w:t>Plain-language custody diagram: INR funds, supported digital assets, custody providers, omnibus arrangements, contractual rights and risk boundaries.</w:t>
      </w:r>
    </w:p>
    <w:p>
      <w:pPr>
        <w:pStyle w:val="ListBullet"/>
        <w:spacing w:after="40"/>
      </w:pPr>
      <w:r>
        <w:t>Help-center freshness system: each article shows last reviewed date, accountable owner and related legal/product dependency.</w:t>
      </w:r>
    </w:p>
    <w:p>
      <w:pPr>
        <w:pStyle w:val="ListBullet"/>
        <w:spacing w:after="40"/>
      </w:pPr>
      <w:r>
        <w:t>Automated content QA checklist before app-store, fee, legal or help-center changes ship.</w:t>
      </w:r>
    </w:p>
    <w:p>
      <w:pPr>
        <w:pStyle w:val="ListBullet"/>
        <w:spacing w:after="40"/>
      </w:pPr>
      <w:r>
        <w:t>Support macro and onboarding copy update whenever product/legal surfaces change.</w:t>
      </w:r>
    </w:p>
    <w:p>
      <w:pPr>
        <w:pStyle w:val="Heading1"/>
      </w:pPr>
      <w:r>
        <w:t>5. Customer pain synthesis</w:t>
      </w:r>
    </w:p>
    <w:p>
      <w:r>
        <w:t>The public review sample cannot tell us how common each problem is. But it does tell us where a trader's trust can break. The review themes should be tested with support tickets, logs and cohort data.</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72"/>
            <w:vAlign w:val="top"/>
            <w:shd w:fill="24364B"/>
          </w:tcPr>
          <w:p>
            <w:pPr>
              <w:spacing w:after="0"/>
            </w:pPr>
            <w:r/>
            <w:r>
              <w:rPr>
                <w:rFonts w:ascii="Aptos" w:hAnsi="Aptos"/>
                <w:b/>
                <w:color w:val="FFFFFF"/>
                <w:sz w:val="16"/>
              </w:rPr>
              <w:t>Pain cluster</w:t>
            </w:r>
          </w:p>
        </w:tc>
        <w:tc>
          <w:tcPr>
            <w:tcW w:type="dxa" w:w="3168"/>
            <w:vAlign w:val="top"/>
            <w:shd w:fill="24364B"/>
          </w:tcPr>
          <w:p>
            <w:pPr>
              <w:spacing w:after="0"/>
            </w:pPr>
            <w:r/>
            <w:r>
              <w:rPr>
                <w:rFonts w:ascii="Aptos" w:hAnsi="Aptos"/>
                <w:b/>
                <w:color w:val="FFFFFF"/>
                <w:sz w:val="16"/>
              </w:rPr>
              <w:t>Likely user sentence</w:t>
            </w:r>
          </w:p>
        </w:tc>
        <w:tc>
          <w:tcPr>
            <w:tcW w:type="dxa" w:w="2448"/>
            <w:vAlign w:val="top"/>
            <w:shd w:fill="24364B"/>
          </w:tcPr>
          <w:p>
            <w:pPr>
              <w:spacing w:after="0"/>
            </w:pPr>
            <w:r/>
            <w:r>
              <w:rPr>
                <w:rFonts w:ascii="Aptos" w:hAnsi="Aptos"/>
                <w:b/>
                <w:color w:val="FFFFFF"/>
                <w:sz w:val="16"/>
              </w:rPr>
              <w:t>Business risk</w:t>
            </w:r>
          </w:p>
        </w:tc>
        <w:tc>
          <w:tcPr>
            <w:tcW w:type="dxa" w:w="3456"/>
            <w:vAlign w:val="top"/>
            <w:shd w:fill="24364B"/>
          </w:tcPr>
          <w:p>
            <w:pPr>
              <w:spacing w:after="0"/>
            </w:pPr>
            <w:r/>
            <w:r>
              <w:rPr>
                <w:rFonts w:ascii="Aptos" w:hAnsi="Aptos"/>
                <w:b/>
                <w:color w:val="FFFFFF"/>
                <w:sz w:val="16"/>
              </w:rPr>
              <w:t>Validation data</w:t>
            </w:r>
          </w:p>
        </w:tc>
      </w:tr>
      <w:tr>
        <w:tc>
          <w:tcPr>
            <w:tcW w:type="dxa" w:w="1872"/>
            <w:vAlign w:val="top"/>
          </w:tcPr>
          <w:p>
            <w:pPr>
              <w:spacing w:after="0"/>
            </w:pPr>
            <w:r/>
            <w:r>
              <w:rPr>
                <w:rFonts w:ascii="Aptos" w:hAnsi="Aptos"/>
                <w:b w:val="0"/>
                <w:sz w:val="16"/>
              </w:rPr>
              <w:t>Execution confidence</w:t>
            </w:r>
          </w:p>
        </w:tc>
        <w:tc>
          <w:tcPr>
            <w:tcW w:type="dxa" w:w="3168"/>
            <w:vAlign w:val="top"/>
          </w:tcPr>
          <w:p>
            <w:pPr>
              <w:spacing w:after="0"/>
            </w:pPr>
            <w:r/>
            <w:r>
              <w:rPr>
                <w:rFonts w:ascii="Aptos" w:hAnsi="Aptos"/>
                <w:b w:val="0"/>
                <w:sz w:val="16"/>
              </w:rPr>
              <w:t>Did my stop-loss actually trigger correctly?</w:t>
            </w:r>
          </w:p>
        </w:tc>
        <w:tc>
          <w:tcPr>
            <w:tcW w:type="dxa" w:w="2448"/>
            <w:vAlign w:val="top"/>
          </w:tcPr>
          <w:p>
            <w:pPr>
              <w:spacing w:after="0"/>
            </w:pPr>
            <w:r/>
            <w:r>
              <w:rPr>
                <w:rFonts w:ascii="Aptos" w:hAnsi="Aptos"/>
                <w:b w:val="0"/>
                <w:sz w:val="16"/>
              </w:rPr>
              <w:t>Disputes, churn, reputational risk</w:t>
            </w:r>
          </w:p>
        </w:tc>
        <w:tc>
          <w:tcPr>
            <w:tcW w:type="dxa" w:w="3456"/>
            <w:vAlign w:val="top"/>
          </w:tcPr>
          <w:p>
            <w:pPr>
              <w:spacing w:after="0"/>
            </w:pPr>
            <w:r/>
            <w:r>
              <w:rPr>
                <w:rFonts w:ascii="Aptos" w:hAnsi="Aptos"/>
                <w:b w:val="0"/>
                <w:sz w:val="16"/>
              </w:rPr>
              <w:t>Order event logs, trigger latency, fill reconciliation, incident tickets</w:t>
            </w:r>
          </w:p>
        </w:tc>
      </w:tr>
      <w:tr>
        <w:tc>
          <w:tcPr>
            <w:tcW w:type="dxa" w:w="1872"/>
            <w:vAlign w:val="top"/>
            <w:shd w:fill="F5F7FA"/>
          </w:tcPr>
          <w:p>
            <w:pPr>
              <w:spacing w:after="0"/>
            </w:pPr>
            <w:r/>
            <w:r>
              <w:rPr>
                <w:rFonts w:ascii="Aptos" w:hAnsi="Aptos"/>
                <w:b w:val="0"/>
                <w:sz w:val="16"/>
              </w:rPr>
              <w:t>Stale state/connectivity</w:t>
            </w:r>
          </w:p>
        </w:tc>
        <w:tc>
          <w:tcPr>
            <w:tcW w:type="dxa" w:w="3168"/>
            <w:vAlign w:val="top"/>
            <w:shd w:fill="F5F7FA"/>
          </w:tcPr>
          <w:p>
            <w:pPr>
              <w:spacing w:after="0"/>
            </w:pPr>
            <w:r/>
            <w:r>
              <w:rPr>
                <w:rFonts w:ascii="Aptos" w:hAnsi="Aptos"/>
                <w:b w:val="0"/>
                <w:sz w:val="16"/>
              </w:rPr>
              <w:t>Is this balance/order screen current?</w:t>
            </w:r>
          </w:p>
        </w:tc>
        <w:tc>
          <w:tcPr>
            <w:tcW w:type="dxa" w:w="2448"/>
            <w:vAlign w:val="top"/>
            <w:shd w:fill="F5F7FA"/>
          </w:tcPr>
          <w:p>
            <w:pPr>
              <w:spacing w:after="0"/>
            </w:pPr>
            <w:r/>
            <w:r>
              <w:rPr>
                <w:rFonts w:ascii="Aptos" w:hAnsi="Aptos"/>
                <w:b w:val="0"/>
                <w:sz w:val="16"/>
              </w:rPr>
              <w:t>Trading errors, support load</w:t>
            </w:r>
          </w:p>
        </w:tc>
        <w:tc>
          <w:tcPr>
            <w:tcW w:type="dxa" w:w="3456"/>
            <w:vAlign w:val="top"/>
            <w:shd w:fill="F5F7FA"/>
          </w:tcPr>
          <w:p>
            <w:pPr>
              <w:spacing w:after="0"/>
            </w:pPr>
            <w:r/>
            <w:r>
              <w:rPr>
                <w:rFonts w:ascii="Aptos" w:hAnsi="Aptos"/>
                <w:b w:val="0"/>
                <w:sz w:val="16"/>
              </w:rPr>
              <w:t>WebSocket disconnects, app stale-data thresholds, crash-free sessions</w:t>
            </w:r>
          </w:p>
        </w:tc>
      </w:tr>
      <w:tr>
        <w:tc>
          <w:tcPr>
            <w:tcW w:type="dxa" w:w="1872"/>
            <w:vAlign w:val="top"/>
          </w:tcPr>
          <w:p>
            <w:pPr>
              <w:spacing w:after="0"/>
            </w:pPr>
            <w:r/>
            <w:r>
              <w:rPr>
                <w:rFonts w:ascii="Aptos" w:hAnsi="Aptos"/>
                <w:b w:val="0"/>
                <w:sz w:val="16"/>
              </w:rPr>
              <w:t>Withdrawal anxiety</w:t>
            </w:r>
          </w:p>
        </w:tc>
        <w:tc>
          <w:tcPr>
            <w:tcW w:type="dxa" w:w="3168"/>
            <w:vAlign w:val="top"/>
          </w:tcPr>
          <w:p>
            <w:pPr>
              <w:spacing w:after="0"/>
            </w:pPr>
            <w:r/>
            <w:r>
              <w:rPr>
                <w:rFonts w:ascii="Aptos" w:hAnsi="Aptos"/>
                <w:b w:val="0"/>
                <w:sz w:val="16"/>
              </w:rPr>
              <w:t>Where is my money and why is it delayed?</w:t>
            </w:r>
          </w:p>
        </w:tc>
        <w:tc>
          <w:tcPr>
            <w:tcW w:type="dxa" w:w="2448"/>
            <w:vAlign w:val="top"/>
          </w:tcPr>
          <w:p>
            <w:pPr>
              <w:spacing w:after="0"/>
            </w:pPr>
            <w:r/>
            <w:r>
              <w:rPr>
                <w:rFonts w:ascii="Aptos" w:hAnsi="Aptos"/>
                <w:b w:val="0"/>
                <w:sz w:val="16"/>
              </w:rPr>
              <w:t>Loss of trust after funding</w:t>
            </w:r>
          </w:p>
        </w:tc>
        <w:tc>
          <w:tcPr>
            <w:tcW w:type="dxa" w:w="3456"/>
            <w:vAlign w:val="top"/>
          </w:tcPr>
          <w:p>
            <w:pPr>
              <w:spacing w:after="0"/>
            </w:pPr>
            <w:r/>
            <w:r>
              <w:rPr>
                <w:rFonts w:ascii="Aptos" w:hAnsi="Aptos"/>
                <w:b w:val="0"/>
                <w:sz w:val="16"/>
              </w:rPr>
              <w:t>P50/P95 withdrawal time by reason, manual audit share, status views</w:t>
            </w:r>
          </w:p>
        </w:tc>
      </w:tr>
      <w:tr>
        <w:tc>
          <w:tcPr>
            <w:tcW w:type="dxa" w:w="1872"/>
            <w:vAlign w:val="top"/>
            <w:shd w:fill="F5F7FA"/>
          </w:tcPr>
          <w:p>
            <w:pPr>
              <w:spacing w:after="0"/>
            </w:pPr>
            <w:r/>
            <w:r>
              <w:rPr>
                <w:rFonts w:ascii="Aptos" w:hAnsi="Aptos"/>
                <w:b w:val="0"/>
                <w:sz w:val="16"/>
              </w:rPr>
              <w:t>Fee/P&amp;L clarity</w:t>
            </w:r>
          </w:p>
        </w:tc>
        <w:tc>
          <w:tcPr>
            <w:tcW w:type="dxa" w:w="3168"/>
            <w:vAlign w:val="top"/>
            <w:shd w:fill="F5F7FA"/>
          </w:tcPr>
          <w:p>
            <w:pPr>
              <w:spacing w:after="0"/>
            </w:pPr>
            <w:r/>
            <w:r>
              <w:rPr>
                <w:rFonts w:ascii="Aptos" w:hAnsi="Aptos"/>
                <w:b w:val="0"/>
                <w:sz w:val="16"/>
              </w:rPr>
              <w:t>Why did my profit shrink after fees and settlement?</w:t>
            </w:r>
          </w:p>
        </w:tc>
        <w:tc>
          <w:tcPr>
            <w:tcW w:type="dxa" w:w="2448"/>
            <w:vAlign w:val="top"/>
            <w:shd w:fill="F5F7FA"/>
          </w:tcPr>
          <w:p>
            <w:pPr>
              <w:spacing w:after="0"/>
            </w:pPr>
            <w:r/>
            <w:r>
              <w:rPr>
                <w:rFonts w:ascii="Aptos" w:hAnsi="Aptos"/>
                <w:b w:val="0"/>
                <w:sz w:val="16"/>
              </w:rPr>
              <w:t>Fee complaints, lower repeat trading</w:t>
            </w:r>
          </w:p>
        </w:tc>
        <w:tc>
          <w:tcPr>
            <w:tcW w:type="dxa" w:w="3456"/>
            <w:vAlign w:val="top"/>
            <w:shd w:fill="F5F7FA"/>
          </w:tcPr>
          <w:p>
            <w:pPr>
              <w:spacing w:after="0"/>
            </w:pPr>
            <w:r/>
            <w:r>
              <w:rPr>
                <w:rFonts w:ascii="Aptos" w:hAnsi="Aptos"/>
                <w:b w:val="0"/>
                <w:sz w:val="16"/>
              </w:rPr>
              <w:t>Fee calculator usage, support tags, P&amp;L explainability engagement</w:t>
            </w:r>
          </w:p>
        </w:tc>
      </w:tr>
      <w:tr>
        <w:tc>
          <w:tcPr>
            <w:tcW w:type="dxa" w:w="1872"/>
            <w:vAlign w:val="top"/>
          </w:tcPr>
          <w:p>
            <w:pPr>
              <w:spacing w:after="0"/>
            </w:pPr>
            <w:r/>
            <w:r>
              <w:rPr>
                <w:rFonts w:ascii="Aptos" w:hAnsi="Aptos"/>
                <w:b w:val="0"/>
                <w:sz w:val="16"/>
              </w:rPr>
              <w:t>Support recovery</w:t>
            </w:r>
          </w:p>
        </w:tc>
        <w:tc>
          <w:tcPr>
            <w:tcW w:type="dxa" w:w="3168"/>
            <w:vAlign w:val="top"/>
          </w:tcPr>
          <w:p>
            <w:pPr>
              <w:spacing w:after="0"/>
            </w:pPr>
            <w:r/>
            <w:r>
              <w:rPr>
                <w:rFonts w:ascii="Aptos" w:hAnsi="Aptos"/>
                <w:b w:val="0"/>
                <w:sz w:val="16"/>
              </w:rPr>
              <w:t>Why do I have to explain the same issue again?</w:t>
            </w:r>
          </w:p>
        </w:tc>
        <w:tc>
          <w:tcPr>
            <w:tcW w:type="dxa" w:w="2448"/>
            <w:vAlign w:val="top"/>
          </w:tcPr>
          <w:p>
            <w:pPr>
              <w:spacing w:after="0"/>
            </w:pPr>
            <w:r/>
            <w:r>
              <w:rPr>
                <w:rFonts w:ascii="Aptos" w:hAnsi="Aptos"/>
                <w:b w:val="0"/>
                <w:sz w:val="16"/>
              </w:rPr>
              <w:t>Escalation and negative reviews</w:t>
            </w:r>
          </w:p>
        </w:tc>
        <w:tc>
          <w:tcPr>
            <w:tcW w:type="dxa" w:w="3456"/>
            <w:vAlign w:val="top"/>
          </w:tcPr>
          <w:p>
            <w:pPr>
              <w:spacing w:after="0"/>
            </w:pPr>
            <w:r/>
            <w:r>
              <w:rPr>
                <w:rFonts w:ascii="Aptos" w:hAnsi="Aptos"/>
                <w:b w:val="0"/>
                <w:sz w:val="16"/>
              </w:rPr>
              <w:t>Resolution time, reopen rate, CSAT, full-context ticket creation</w:t>
            </w:r>
          </w:p>
        </w:tc>
      </w:tr>
    </w:tbl>
    <w:p/>
    <w:p>
      <w:pPr>
        <w:pStyle w:val="Heading1"/>
      </w:pPr>
      <w:r>
        <w:t>6. Competitive position</w:t>
      </w:r>
    </w:p>
    <w:p>
      <w:r>
        <w:t>Delta should not try to out-broaden CoinDCX or Mudrex. Its stronger route is to out-specialize competitors in derivatives, INR-native settlement and automation. Pi42 is the closest India-native derivatives comparator. Deribit is the global pro-options benchmark.</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top"/>
            <w:shd w:fill="24364B"/>
          </w:tcPr>
          <w:p>
            <w:pPr>
              <w:spacing w:after="0"/>
            </w:pPr>
            <w:r/>
            <w:r>
              <w:rPr>
                <w:rFonts w:ascii="Aptos" w:hAnsi="Aptos"/>
                <w:b/>
                <w:color w:val="FFFFFF"/>
                <w:sz w:val="16"/>
              </w:rPr>
              <w:t>Company</w:t>
            </w:r>
          </w:p>
        </w:tc>
        <w:tc>
          <w:tcPr>
            <w:tcW w:type="dxa" w:w="3744"/>
            <w:vAlign w:val="top"/>
            <w:shd w:fill="24364B"/>
          </w:tcPr>
          <w:p>
            <w:pPr>
              <w:spacing w:after="0"/>
            </w:pPr>
            <w:r/>
            <w:r>
              <w:rPr>
                <w:rFonts w:ascii="Aptos" w:hAnsi="Aptos"/>
                <w:b/>
                <w:color w:val="FFFFFF"/>
                <w:sz w:val="16"/>
              </w:rPr>
              <w:t>Likely position</w:t>
            </w:r>
          </w:p>
        </w:tc>
        <w:tc>
          <w:tcPr>
            <w:tcW w:type="dxa" w:w="4752"/>
            <w:vAlign w:val="top"/>
            <w:shd w:fill="24364B"/>
          </w:tcPr>
          <w:p>
            <w:pPr>
              <w:spacing w:after="0"/>
            </w:pPr>
            <w:r/>
            <w:r>
              <w:rPr>
                <w:rFonts w:ascii="Aptos" w:hAnsi="Aptos"/>
                <w:b/>
                <w:color w:val="FFFFFF"/>
                <w:sz w:val="16"/>
              </w:rPr>
              <w:t>Delta lesson</w:t>
            </w:r>
          </w:p>
        </w:tc>
      </w:tr>
      <w:tr>
        <w:tc>
          <w:tcPr>
            <w:tcW w:type="dxa" w:w="2160"/>
            <w:vAlign w:val="top"/>
          </w:tcPr>
          <w:p>
            <w:pPr>
              <w:spacing w:after="0"/>
            </w:pPr>
            <w:r/>
            <w:r>
              <w:rPr>
                <w:rFonts w:ascii="Aptos" w:hAnsi="Aptos"/>
                <w:b w:val="0"/>
                <w:sz w:val="16"/>
              </w:rPr>
              <w:t>Delta Exchange</w:t>
            </w:r>
          </w:p>
        </w:tc>
        <w:tc>
          <w:tcPr>
            <w:tcW w:type="dxa" w:w="3744"/>
            <w:vAlign w:val="top"/>
          </w:tcPr>
          <w:p>
            <w:pPr>
              <w:spacing w:after="0"/>
            </w:pPr>
            <w:r/>
            <w:r>
              <w:rPr>
                <w:rFonts w:ascii="Aptos" w:hAnsi="Aptos"/>
                <w:b w:val="0"/>
                <w:sz w:val="16"/>
              </w:rPr>
              <w:t>India derivatives + automation stack</w:t>
            </w:r>
          </w:p>
        </w:tc>
        <w:tc>
          <w:tcPr>
            <w:tcW w:type="dxa" w:w="4752"/>
            <w:vAlign w:val="top"/>
          </w:tcPr>
          <w:p>
            <w:pPr>
              <w:spacing w:after="0"/>
            </w:pPr>
            <w:r/>
            <w:r>
              <w:rPr>
                <w:rFonts w:ascii="Aptos" w:hAnsi="Aptos"/>
                <w:b w:val="0"/>
                <w:sz w:val="16"/>
              </w:rPr>
              <w:t>Public product truth/custody consistency; trust explainability</w:t>
            </w:r>
          </w:p>
        </w:tc>
      </w:tr>
      <w:tr>
        <w:tc>
          <w:tcPr>
            <w:tcW w:type="dxa" w:w="2160"/>
            <w:vAlign w:val="top"/>
            <w:shd w:fill="F5F7FA"/>
          </w:tcPr>
          <w:p>
            <w:pPr>
              <w:spacing w:after="0"/>
            </w:pPr>
            <w:r/>
            <w:r>
              <w:rPr>
                <w:rFonts w:ascii="Aptos" w:hAnsi="Aptos"/>
                <w:b w:val="0"/>
                <w:sz w:val="16"/>
              </w:rPr>
              <w:t>Pi42</w:t>
            </w:r>
          </w:p>
        </w:tc>
        <w:tc>
          <w:tcPr>
            <w:tcW w:type="dxa" w:w="3744"/>
            <w:vAlign w:val="top"/>
            <w:shd w:fill="F5F7FA"/>
          </w:tcPr>
          <w:p>
            <w:pPr>
              <w:spacing w:after="0"/>
            </w:pPr>
            <w:r/>
            <w:r>
              <w:rPr>
                <w:rFonts w:ascii="Aptos" w:hAnsi="Aptos"/>
                <w:b w:val="0"/>
                <w:sz w:val="16"/>
              </w:rPr>
              <w:t>India-native crypto F&amp;O specialist</w:t>
            </w:r>
          </w:p>
        </w:tc>
        <w:tc>
          <w:tcPr>
            <w:tcW w:type="dxa" w:w="4752"/>
            <w:vAlign w:val="top"/>
            <w:shd w:fill="F5F7FA"/>
          </w:tcPr>
          <w:p>
            <w:pPr>
              <w:spacing w:after="0"/>
            </w:pPr>
            <w:r/>
            <w:r>
              <w:rPr>
                <w:rFonts w:ascii="Aptos" w:hAnsi="Aptos"/>
                <w:b w:val="0"/>
                <w:sz w:val="16"/>
              </w:rPr>
              <w:t>Smaller visible ecosystem; compare liquidity/fees/UX live</w:t>
            </w:r>
          </w:p>
        </w:tc>
      </w:tr>
      <w:tr>
        <w:tc>
          <w:tcPr>
            <w:tcW w:type="dxa" w:w="2160"/>
            <w:vAlign w:val="top"/>
          </w:tcPr>
          <w:p>
            <w:pPr>
              <w:spacing w:after="0"/>
            </w:pPr>
            <w:r/>
            <w:r>
              <w:rPr>
                <w:rFonts w:ascii="Aptos" w:hAnsi="Aptos"/>
                <w:b w:val="0"/>
                <w:sz w:val="16"/>
              </w:rPr>
              <w:t>Mudrex</w:t>
            </w:r>
          </w:p>
        </w:tc>
        <w:tc>
          <w:tcPr>
            <w:tcW w:type="dxa" w:w="3744"/>
            <w:vAlign w:val="top"/>
          </w:tcPr>
          <w:p>
            <w:pPr>
              <w:spacing w:after="0"/>
            </w:pPr>
            <w:r/>
            <w:r>
              <w:rPr>
                <w:rFonts w:ascii="Aptos" w:hAnsi="Aptos"/>
                <w:b w:val="0"/>
                <w:sz w:val="16"/>
              </w:rPr>
              <w:t>Broad consumer crypto platform</w:t>
            </w:r>
          </w:p>
        </w:tc>
        <w:tc>
          <w:tcPr>
            <w:tcW w:type="dxa" w:w="4752"/>
            <w:vAlign w:val="top"/>
          </w:tcPr>
          <w:p>
            <w:pPr>
              <w:spacing w:after="0"/>
            </w:pPr>
            <w:r/>
            <w:r>
              <w:rPr>
                <w:rFonts w:ascii="Aptos" w:hAnsi="Aptos"/>
                <w:b w:val="0"/>
                <w:sz w:val="16"/>
              </w:rPr>
              <w:t>Less specialized public options/automation story</w:t>
            </w:r>
          </w:p>
        </w:tc>
      </w:tr>
      <w:tr>
        <w:tc>
          <w:tcPr>
            <w:tcW w:type="dxa" w:w="2160"/>
            <w:vAlign w:val="top"/>
            <w:shd w:fill="F5F7FA"/>
          </w:tcPr>
          <w:p>
            <w:pPr>
              <w:spacing w:after="0"/>
            </w:pPr>
            <w:r/>
            <w:r>
              <w:rPr>
                <w:rFonts w:ascii="Aptos" w:hAnsi="Aptos"/>
                <w:b w:val="0"/>
                <w:sz w:val="16"/>
              </w:rPr>
              <w:t>CoinDCX</w:t>
            </w:r>
          </w:p>
        </w:tc>
        <w:tc>
          <w:tcPr>
            <w:tcW w:type="dxa" w:w="3744"/>
            <w:vAlign w:val="top"/>
            <w:shd w:fill="F5F7FA"/>
          </w:tcPr>
          <w:p>
            <w:pPr>
              <w:spacing w:after="0"/>
            </w:pPr>
            <w:r/>
            <w:r>
              <w:rPr>
                <w:rFonts w:ascii="Aptos" w:hAnsi="Aptos"/>
                <w:b w:val="0"/>
                <w:sz w:val="16"/>
              </w:rPr>
              <w:t>Mass-market India crypto platform</w:t>
            </w:r>
          </w:p>
        </w:tc>
        <w:tc>
          <w:tcPr>
            <w:tcW w:type="dxa" w:w="4752"/>
            <w:vAlign w:val="top"/>
            <w:shd w:fill="F5F7FA"/>
          </w:tcPr>
          <w:p>
            <w:pPr>
              <w:spacing w:after="0"/>
            </w:pPr>
            <w:r/>
            <w:r>
              <w:rPr>
                <w:rFonts w:ascii="Aptos" w:hAnsi="Aptos"/>
                <w:b w:val="0"/>
                <w:sz w:val="16"/>
              </w:rPr>
              <w:t>Delta can out-specialize in derivatives and automation</w:t>
            </w:r>
          </w:p>
        </w:tc>
      </w:tr>
      <w:tr>
        <w:tc>
          <w:tcPr>
            <w:tcW w:type="dxa" w:w="2160"/>
            <w:vAlign w:val="top"/>
          </w:tcPr>
          <w:p>
            <w:pPr>
              <w:spacing w:after="0"/>
            </w:pPr>
            <w:r/>
            <w:r>
              <w:rPr>
                <w:rFonts w:ascii="Aptos" w:hAnsi="Aptos"/>
                <w:b w:val="0"/>
                <w:sz w:val="16"/>
              </w:rPr>
              <w:t>Deribit</w:t>
            </w:r>
          </w:p>
        </w:tc>
        <w:tc>
          <w:tcPr>
            <w:tcW w:type="dxa" w:w="3744"/>
            <w:vAlign w:val="top"/>
          </w:tcPr>
          <w:p>
            <w:pPr>
              <w:spacing w:after="0"/>
            </w:pPr>
            <w:r/>
            <w:r>
              <w:rPr>
                <w:rFonts w:ascii="Aptos" w:hAnsi="Aptos"/>
                <w:b w:val="0"/>
                <w:sz w:val="16"/>
              </w:rPr>
              <w:t>Global crypto-options benchmark</w:t>
            </w:r>
          </w:p>
        </w:tc>
        <w:tc>
          <w:tcPr>
            <w:tcW w:type="dxa" w:w="4752"/>
            <w:vAlign w:val="top"/>
          </w:tcPr>
          <w:p>
            <w:pPr>
              <w:spacing w:after="0"/>
            </w:pPr>
            <w:r/>
            <w:r>
              <w:rPr>
                <w:rFonts w:ascii="Aptos" w:hAnsi="Aptos"/>
                <w:b w:val="0"/>
                <w:sz w:val="16"/>
              </w:rPr>
              <w:t>Not India-native INR onboarding; more sophisticated audience</w:t>
            </w:r>
          </w:p>
        </w:tc>
      </w:tr>
    </w:tbl>
    <w:p/>
    <w:p>
      <w:pPr>
        <w:pStyle w:val="Heading1"/>
      </w:pPr>
      <w:r>
        <w:t>7. North-star and guardrail metrics</w:t>
      </w:r>
    </w:p>
    <w:p>
      <w:pPr>
        <w:spacing w:before="100" w:after="140"/>
      </w:pPr>
      <w:r>
        <w:rPr>
          <w:b/>
          <w:color w:val="172639"/>
          <w:sz w:val="24"/>
        </w:rPr>
        <w:t>Recommended north-star: 30-day retained funded traders with successful activity in at least two separate weeks.</w:t>
      </w:r>
    </w:p>
    <w:p>
      <w:r>
        <w:t>This avoids optimizing only for sign-ups or volume. It rewards funded, returning and successfully transacting users. It must be segmented by native terminal, TradingView, API, bot and marketplace usage.</w:t>
      </w:r>
    </w:p>
    <w:tbl>
      <w:tblPr>
        <w:tblStyle w:val="TableGrid"/>
        <w:tblW w:type="auto" w:w="0"/>
        <w:jc w:val="center"/>
        <w:tblLook w:firstColumn="1" w:firstRow="1" w:lastColumn="0" w:lastRow="0" w:noHBand="0" w:noVBand="1" w:val="04A0"/>
      </w:tblPr>
      <w:tblGrid>
        <w:gridCol w:w="5083"/>
        <w:gridCol w:w="5083"/>
      </w:tblGrid>
      <w:tr>
        <w:tc>
          <w:tcPr>
            <w:tcW w:type="dxa" w:w="3168"/>
            <w:vAlign w:val="top"/>
            <w:shd w:fill="24364B"/>
          </w:tcPr>
          <w:p>
            <w:pPr>
              <w:spacing w:after="0"/>
            </w:pPr>
            <w:r/>
            <w:r>
              <w:rPr>
                <w:rFonts w:ascii="Aptos" w:hAnsi="Aptos"/>
                <w:b/>
                <w:color w:val="FFFFFF"/>
                <w:sz w:val="16"/>
              </w:rPr>
              <w:t>Guardrail metric</w:t>
            </w:r>
          </w:p>
        </w:tc>
        <w:tc>
          <w:tcPr>
            <w:tcW w:type="dxa" w:w="7200"/>
            <w:vAlign w:val="top"/>
            <w:shd w:fill="24364B"/>
          </w:tcPr>
          <w:p>
            <w:pPr>
              <w:spacing w:after="0"/>
            </w:pPr>
            <w:r/>
            <w:r>
              <w:rPr>
                <w:rFonts w:ascii="Aptos" w:hAnsi="Aptos"/>
                <w:b/>
                <w:color w:val="FFFFFF"/>
                <w:sz w:val="16"/>
              </w:rPr>
              <w:t>Why it matters</w:t>
            </w:r>
          </w:p>
        </w:tc>
      </w:tr>
      <w:tr>
        <w:tc>
          <w:tcPr>
            <w:tcW w:type="dxa" w:w="3168"/>
            <w:vAlign w:val="top"/>
          </w:tcPr>
          <w:p>
            <w:pPr>
              <w:spacing w:after="0"/>
            </w:pPr>
            <w:r/>
            <w:r>
              <w:rPr>
                <w:rFonts w:ascii="Aptos" w:hAnsi="Aptos"/>
                <w:b w:val="0"/>
                <w:sz w:val="16"/>
              </w:rPr>
              <w:t>Order acknowledgement success</w:t>
            </w:r>
          </w:p>
        </w:tc>
        <w:tc>
          <w:tcPr>
            <w:tcW w:type="dxa" w:w="7200"/>
            <w:vAlign w:val="top"/>
          </w:tcPr>
          <w:p>
            <w:pPr>
              <w:spacing w:after="0"/>
            </w:pPr>
            <w:r/>
            <w:r>
              <w:rPr>
                <w:rFonts w:ascii="Aptos" w:hAnsi="Aptos"/>
                <w:b w:val="0"/>
                <w:sz w:val="16"/>
              </w:rPr>
              <w:t>Protects against execution uncertainty and order-state disputes.</w:t>
            </w:r>
          </w:p>
        </w:tc>
      </w:tr>
      <w:tr>
        <w:tc>
          <w:tcPr>
            <w:tcW w:type="dxa" w:w="3168"/>
            <w:vAlign w:val="top"/>
            <w:shd w:fill="F5F7FA"/>
          </w:tcPr>
          <w:p>
            <w:pPr>
              <w:spacing w:after="0"/>
            </w:pPr>
            <w:r/>
            <w:r>
              <w:rPr>
                <w:rFonts w:ascii="Aptos" w:hAnsi="Aptos"/>
                <w:b w:val="0"/>
                <w:sz w:val="16"/>
              </w:rPr>
              <w:t>Stop trigger integrity</w:t>
            </w:r>
          </w:p>
        </w:tc>
        <w:tc>
          <w:tcPr>
            <w:tcW w:type="dxa" w:w="7200"/>
            <w:vAlign w:val="top"/>
            <w:shd w:fill="F5F7FA"/>
          </w:tcPr>
          <w:p>
            <w:pPr>
              <w:spacing w:after="0"/>
            </w:pPr>
            <w:r/>
            <w:r>
              <w:rPr>
                <w:rFonts w:ascii="Aptos" w:hAnsi="Aptos"/>
                <w:b w:val="0"/>
                <w:sz w:val="16"/>
              </w:rPr>
              <w:t>Critical for leveraged and volatile-market trust.</w:t>
            </w:r>
          </w:p>
        </w:tc>
      </w:tr>
      <w:tr>
        <w:tc>
          <w:tcPr>
            <w:tcW w:type="dxa" w:w="3168"/>
            <w:vAlign w:val="top"/>
          </w:tcPr>
          <w:p>
            <w:pPr>
              <w:spacing w:after="0"/>
            </w:pPr>
            <w:r/>
            <w:r>
              <w:rPr>
                <w:rFonts w:ascii="Aptos" w:hAnsi="Aptos"/>
                <w:b w:val="0"/>
                <w:sz w:val="16"/>
              </w:rPr>
              <w:t>Stale market-data exposure</w:t>
            </w:r>
          </w:p>
        </w:tc>
        <w:tc>
          <w:tcPr>
            <w:tcW w:type="dxa" w:w="7200"/>
            <w:vAlign w:val="top"/>
          </w:tcPr>
          <w:p>
            <w:pPr>
              <w:spacing w:after="0"/>
            </w:pPr>
            <w:r/>
            <w:r>
              <w:rPr>
                <w:rFonts w:ascii="Aptos" w:hAnsi="Aptos"/>
                <w:b w:val="0"/>
                <w:sz w:val="16"/>
              </w:rPr>
              <w:t>Prevents users from trading on outdated app state.</w:t>
            </w:r>
          </w:p>
        </w:tc>
      </w:tr>
      <w:tr>
        <w:tc>
          <w:tcPr>
            <w:tcW w:type="dxa" w:w="3168"/>
            <w:vAlign w:val="top"/>
            <w:shd w:fill="F5F7FA"/>
          </w:tcPr>
          <w:p>
            <w:pPr>
              <w:spacing w:after="0"/>
            </w:pPr>
            <w:r/>
            <w:r>
              <w:rPr>
                <w:rFonts w:ascii="Aptos" w:hAnsi="Aptos"/>
                <w:b w:val="0"/>
                <w:sz w:val="16"/>
              </w:rPr>
              <w:t>Withdrawal P95 completion by path</w:t>
            </w:r>
          </w:p>
        </w:tc>
        <w:tc>
          <w:tcPr>
            <w:tcW w:type="dxa" w:w="7200"/>
            <w:vAlign w:val="top"/>
            <w:shd w:fill="F5F7FA"/>
          </w:tcPr>
          <w:p>
            <w:pPr>
              <w:spacing w:after="0"/>
            </w:pPr>
            <w:r/>
            <w:r>
              <w:rPr>
                <w:rFonts w:ascii="Aptos" w:hAnsi="Aptos"/>
                <w:b w:val="0"/>
                <w:sz w:val="16"/>
              </w:rPr>
              <w:t>Exposes money-movement friction and manual audit pain.</w:t>
            </w:r>
          </w:p>
        </w:tc>
      </w:tr>
      <w:tr>
        <w:tc>
          <w:tcPr>
            <w:tcW w:type="dxa" w:w="3168"/>
            <w:vAlign w:val="top"/>
          </w:tcPr>
          <w:p>
            <w:pPr>
              <w:spacing w:after="0"/>
            </w:pPr>
            <w:r/>
            <w:r>
              <w:rPr>
                <w:rFonts w:ascii="Aptos" w:hAnsi="Aptos"/>
                <w:b w:val="0"/>
                <w:sz w:val="16"/>
              </w:rPr>
              <w:t>Fee/P&amp;L support contacts</w:t>
            </w:r>
          </w:p>
        </w:tc>
        <w:tc>
          <w:tcPr>
            <w:tcW w:type="dxa" w:w="7200"/>
            <w:vAlign w:val="top"/>
          </w:tcPr>
          <w:p>
            <w:pPr>
              <w:spacing w:after="0"/>
            </w:pPr>
            <w:r/>
            <w:r>
              <w:rPr>
                <w:rFonts w:ascii="Aptos" w:hAnsi="Aptos"/>
                <w:b w:val="0"/>
                <w:sz w:val="16"/>
              </w:rPr>
              <w:t>Measures whether economic explainability is working.</w:t>
            </w:r>
          </w:p>
        </w:tc>
      </w:tr>
      <w:tr>
        <w:tc>
          <w:tcPr>
            <w:tcW w:type="dxa" w:w="3168"/>
            <w:vAlign w:val="top"/>
            <w:shd w:fill="F5F7FA"/>
          </w:tcPr>
          <w:p>
            <w:pPr>
              <w:spacing w:after="0"/>
            </w:pPr>
            <w:r/>
            <w:r>
              <w:rPr>
                <w:rFonts w:ascii="Aptos" w:hAnsi="Aptos"/>
                <w:b w:val="0"/>
                <w:sz w:val="16"/>
              </w:rPr>
              <w:t>Severe avoidable liquidation rate</w:t>
            </w:r>
          </w:p>
        </w:tc>
        <w:tc>
          <w:tcPr>
            <w:tcW w:type="dxa" w:w="7200"/>
            <w:vAlign w:val="top"/>
            <w:shd w:fill="F5F7FA"/>
          </w:tcPr>
          <w:p>
            <w:pPr>
              <w:spacing w:after="0"/>
            </w:pPr>
            <w:r/>
            <w:r>
              <w:rPr>
                <w:rFonts w:ascii="Aptos" w:hAnsi="Aptos"/>
                <w:b w:val="0"/>
                <w:sz w:val="16"/>
              </w:rPr>
              <w:t>Prevents growth or gamification from increasing user harm.</w:t>
            </w:r>
          </w:p>
        </w:tc>
      </w:tr>
      <w:tr>
        <w:tc>
          <w:tcPr>
            <w:tcW w:type="dxa" w:w="3168"/>
            <w:vAlign w:val="top"/>
          </w:tcPr>
          <w:p>
            <w:pPr>
              <w:spacing w:after="0"/>
            </w:pPr>
            <w:r/>
            <w:r>
              <w:rPr>
                <w:rFonts w:ascii="Aptos" w:hAnsi="Aptos"/>
                <w:b w:val="0"/>
                <w:sz w:val="16"/>
              </w:rPr>
              <w:t>Crash-free trading sessions</w:t>
            </w:r>
          </w:p>
        </w:tc>
        <w:tc>
          <w:tcPr>
            <w:tcW w:type="dxa" w:w="7200"/>
            <w:vAlign w:val="top"/>
          </w:tcPr>
          <w:p>
            <w:pPr>
              <w:spacing w:after="0"/>
            </w:pPr>
            <w:r/>
            <w:r>
              <w:rPr>
                <w:rFonts w:ascii="Aptos" w:hAnsi="Aptos"/>
                <w:b w:val="0"/>
                <w:sz w:val="16"/>
              </w:rPr>
              <w:t>Basic reliability requirement for an exchange app.</w:t>
            </w:r>
          </w:p>
        </w:tc>
      </w:tr>
      <w:tr>
        <w:tc>
          <w:tcPr>
            <w:tcW w:type="dxa" w:w="3168"/>
            <w:vAlign w:val="top"/>
            <w:shd w:fill="F5F7FA"/>
          </w:tcPr>
          <w:p>
            <w:pPr>
              <w:spacing w:after="0"/>
            </w:pPr>
            <w:r/>
            <w:r>
              <w:rPr>
                <w:rFonts w:ascii="Aptos" w:hAnsi="Aptos"/>
                <w:b w:val="0"/>
                <w:sz w:val="16"/>
              </w:rPr>
              <w:t>Incident truth time</w:t>
            </w:r>
          </w:p>
        </w:tc>
        <w:tc>
          <w:tcPr>
            <w:tcW w:type="dxa" w:w="7200"/>
            <w:vAlign w:val="top"/>
            <w:shd w:fill="F5F7FA"/>
          </w:tcPr>
          <w:p>
            <w:pPr>
              <w:spacing w:after="0"/>
            </w:pPr>
            <w:r/>
            <w:r>
              <w:rPr>
                <w:rFonts w:ascii="Aptos" w:hAnsi="Aptos"/>
                <w:b w:val="0"/>
                <w:sz w:val="16"/>
              </w:rPr>
              <w:t>Measures time from detection to user-facing explanation during platform stress.</w:t>
            </w:r>
          </w:p>
        </w:tc>
      </w:tr>
    </w:tbl>
    <w:p/>
    <w:p>
      <w:pPr>
        <w:pStyle w:val="Heading1"/>
      </w:pPr>
      <w:r>
        <w:t>8. Opportunity prioritization</w:t>
      </w:r>
    </w:p>
    <w:p>
      <w:r>
        <w:t>The following opportunities are ranked by a simplified RICE-style framework: reach, impact, confidence and effort. The scores are directional and should be recalibrated using Delta internal data.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88"/>
            <w:vAlign w:val="top"/>
            <w:shd w:fill="24364B"/>
          </w:tcPr>
          <w:p>
            <w:pPr>
              <w:spacing w:after="0"/>
            </w:pPr>
            <w:r/>
            <w:r>
              <w:rPr>
                <w:rFonts w:ascii="Aptos" w:hAnsi="Aptos"/>
                <w:b/>
                <w:color w:val="FFFFFF"/>
                <w:sz w:val="14"/>
              </w:rPr>
              <w:t>Opportunity</w:t>
            </w:r>
          </w:p>
        </w:tc>
        <w:tc>
          <w:tcPr>
            <w:tcW w:type="dxa" w:w="1440"/>
            <w:vAlign w:val="top"/>
            <w:shd w:fill="24364B"/>
          </w:tcPr>
          <w:p>
            <w:pPr>
              <w:spacing w:after="0"/>
            </w:pPr>
            <w:r/>
            <w:r>
              <w:rPr>
                <w:rFonts w:ascii="Aptos" w:hAnsi="Aptos"/>
                <w:b/>
                <w:color w:val="FFFFFF"/>
                <w:sz w:val="14"/>
              </w:rPr>
              <w:t>Horizon</w:t>
            </w:r>
          </w:p>
        </w:tc>
        <w:tc>
          <w:tcPr>
            <w:tcW w:type="dxa" w:w="1008"/>
            <w:vAlign w:val="top"/>
            <w:shd w:fill="24364B"/>
          </w:tcPr>
          <w:p>
            <w:pPr>
              <w:spacing w:after="0"/>
            </w:pPr>
            <w:r/>
            <w:r>
              <w:rPr>
                <w:rFonts w:ascii="Aptos" w:hAnsi="Aptos"/>
                <w:b/>
                <w:color w:val="FFFFFF"/>
                <w:sz w:val="14"/>
              </w:rPr>
              <w:t>RICE-lite</w:t>
            </w:r>
          </w:p>
        </w:tc>
        <w:tc>
          <w:tcPr>
            <w:tcW w:type="dxa" w:w="3456"/>
            <w:vAlign w:val="top"/>
            <w:shd w:fill="24364B"/>
          </w:tcPr>
          <w:p>
            <w:pPr>
              <w:spacing w:after="0"/>
            </w:pPr>
            <w:r/>
            <w:r>
              <w:rPr>
                <w:rFonts w:ascii="Aptos" w:hAnsi="Aptos"/>
                <w:b/>
                <w:color w:val="FFFFFF"/>
                <w:sz w:val="14"/>
              </w:rPr>
              <w:t>Problem</w:t>
            </w:r>
          </w:p>
        </w:tc>
        <w:tc>
          <w:tcPr>
            <w:tcW w:type="dxa" w:w="2880"/>
            <w:vAlign w:val="top"/>
            <w:shd w:fill="24364B"/>
          </w:tcPr>
          <w:p>
            <w:pPr>
              <w:spacing w:after="0"/>
            </w:pPr>
            <w:r/>
            <w:r>
              <w:rPr>
                <w:rFonts w:ascii="Aptos" w:hAnsi="Aptos"/>
                <w:b/>
                <w:color w:val="FFFFFF"/>
                <w:sz w:val="14"/>
              </w:rPr>
              <w:t>Primary success signal</w:t>
            </w:r>
          </w:p>
        </w:tc>
      </w:tr>
      <w:tr>
        <w:tc>
          <w:tcPr>
            <w:tcW w:type="dxa" w:w="2088"/>
            <w:vAlign w:val="top"/>
          </w:tcPr>
          <w:p>
            <w:pPr>
              <w:spacing w:after="0"/>
            </w:pPr>
            <w:r/>
            <w:r>
              <w:rPr>
                <w:rFonts w:ascii="Aptos" w:hAnsi="Aptos"/>
                <w:b w:val="0"/>
                <w:sz w:val="14"/>
              </w:rPr>
              <w:t>Public Product Truth Audit</w:t>
            </w:r>
          </w:p>
        </w:tc>
        <w:tc>
          <w:tcPr>
            <w:tcW w:type="dxa" w:w="1440"/>
            <w:vAlign w:val="top"/>
          </w:tcPr>
          <w:p>
            <w:pPr>
              <w:spacing w:after="0"/>
            </w:pPr>
            <w:r/>
            <w:r>
              <w:rPr>
                <w:rFonts w:ascii="Aptos" w:hAnsi="Aptos"/>
                <w:b w:val="0"/>
                <w:sz w:val="14"/>
              </w:rPr>
              <w:t>Immediate</w:t>
            </w:r>
          </w:p>
        </w:tc>
        <w:tc>
          <w:tcPr>
            <w:tcW w:type="dxa" w:w="1008"/>
            <w:vAlign w:val="top"/>
          </w:tcPr>
          <w:p>
            <w:pPr>
              <w:spacing w:after="0"/>
            </w:pPr>
            <w:r/>
            <w:r>
              <w:rPr>
                <w:rFonts w:ascii="Aptos" w:hAnsi="Aptos"/>
                <w:b w:val="0"/>
                <w:sz w:val="14"/>
              </w:rPr>
              <w:t>100.0</w:t>
            </w:r>
          </w:p>
        </w:tc>
        <w:tc>
          <w:tcPr>
            <w:tcW w:type="dxa" w:w="3456"/>
            <w:vAlign w:val="top"/>
          </w:tcPr>
          <w:p>
            <w:pPr>
              <w:spacing w:after="0"/>
            </w:pPr>
            <w:r/>
            <w:r>
              <w:rPr>
                <w:rFonts w:ascii="Aptos" w:hAnsi="Aptos"/>
                <w:b w:val="0"/>
                <w:sz w:val="14"/>
              </w:rPr>
              <w:t>Official surfaces conflict or appear stale on product scope/custody/spot language.</w:t>
            </w:r>
          </w:p>
        </w:tc>
        <w:tc>
          <w:tcPr>
            <w:tcW w:type="dxa" w:w="2880"/>
            <w:vAlign w:val="top"/>
          </w:tcPr>
          <w:p>
            <w:pPr>
              <w:spacing w:after="0"/>
            </w:pPr>
            <w:r/>
            <w:r>
              <w:rPr>
                <w:rFonts w:ascii="Aptos" w:hAnsi="Aptos"/>
                <w:b w:val="0"/>
                <w:sz w:val="14"/>
              </w:rPr>
              <w:t>Pages updated; fewer product/custody confusion tickets; higher signup completion</w:t>
            </w:r>
          </w:p>
        </w:tc>
      </w:tr>
      <w:tr>
        <w:tc>
          <w:tcPr>
            <w:tcW w:type="dxa" w:w="2088"/>
            <w:vAlign w:val="top"/>
            <w:shd w:fill="F5F7FA"/>
          </w:tcPr>
          <w:p>
            <w:pPr>
              <w:spacing w:after="0"/>
            </w:pPr>
            <w:r/>
            <w:r>
              <w:rPr>
                <w:rFonts w:ascii="Aptos" w:hAnsi="Aptos"/>
                <w:b w:val="0"/>
                <w:sz w:val="14"/>
              </w:rPr>
              <w:t>Trade Integrity Center</w:t>
            </w:r>
          </w:p>
        </w:tc>
        <w:tc>
          <w:tcPr>
            <w:tcW w:type="dxa" w:w="1440"/>
            <w:vAlign w:val="top"/>
            <w:shd w:fill="F5F7FA"/>
          </w:tcPr>
          <w:p>
            <w:pPr>
              <w:spacing w:after="0"/>
            </w:pPr>
            <w:r/>
            <w:r>
              <w:rPr>
                <w:rFonts w:ascii="Aptos" w:hAnsi="Aptos"/>
                <w:b w:val="0"/>
                <w:sz w:val="14"/>
              </w:rPr>
              <w:t>Foundational</w:t>
            </w:r>
          </w:p>
        </w:tc>
        <w:tc>
          <w:tcPr>
            <w:tcW w:type="dxa" w:w="1008"/>
            <w:vAlign w:val="top"/>
            <w:shd w:fill="F5F7FA"/>
          </w:tcPr>
          <w:p>
            <w:pPr>
              <w:spacing w:after="0"/>
            </w:pPr>
            <w:r/>
            <w:r>
              <w:rPr>
                <w:rFonts w:ascii="Aptos" w:hAnsi="Aptos"/>
                <w:b w:val="0"/>
                <w:sz w:val="14"/>
              </w:rPr>
              <w:t>20.0</w:t>
            </w:r>
          </w:p>
        </w:tc>
        <w:tc>
          <w:tcPr>
            <w:tcW w:type="dxa" w:w="3456"/>
            <w:vAlign w:val="top"/>
            <w:shd w:fill="F5F7FA"/>
          </w:tcPr>
          <w:p>
            <w:pPr>
              <w:spacing w:after="0"/>
            </w:pPr>
            <w:r/>
            <w:r>
              <w:rPr>
                <w:rFonts w:ascii="Aptos" w:hAnsi="Aptos"/>
                <w:b w:val="0"/>
                <w:sz w:val="14"/>
              </w:rPr>
              <w:t>Users need to prove what happened to orders, stops, fills, balances and incidents.</w:t>
            </w:r>
          </w:p>
        </w:tc>
        <w:tc>
          <w:tcPr>
            <w:tcW w:type="dxa" w:w="2880"/>
            <w:vAlign w:val="top"/>
            <w:shd w:fill="F5F7FA"/>
          </w:tcPr>
          <w:p>
            <w:pPr>
              <w:spacing w:after="0"/>
            </w:pPr>
            <w:r/>
            <w:r>
              <w:rPr>
                <w:rFonts w:ascii="Aptos" w:hAnsi="Aptos"/>
                <w:b w:val="0"/>
                <w:sz w:val="14"/>
              </w:rPr>
              <w:t>Trade-dispute tickets down; resolution time down; stale-state incidents surfaced</w:t>
            </w:r>
          </w:p>
        </w:tc>
      </w:tr>
      <w:tr>
        <w:tc>
          <w:tcPr>
            <w:tcW w:type="dxa" w:w="2088"/>
            <w:vAlign w:val="top"/>
          </w:tcPr>
          <w:p>
            <w:pPr>
              <w:spacing w:after="0"/>
            </w:pPr>
            <w:r/>
            <w:r>
              <w:rPr>
                <w:rFonts w:ascii="Aptos" w:hAnsi="Aptos"/>
                <w:b w:val="0"/>
                <w:sz w:val="14"/>
              </w:rPr>
              <w:t>Explainable Trade Economics</w:t>
            </w:r>
          </w:p>
        </w:tc>
        <w:tc>
          <w:tcPr>
            <w:tcW w:type="dxa" w:w="1440"/>
            <w:vAlign w:val="top"/>
          </w:tcPr>
          <w:p>
            <w:pPr>
              <w:spacing w:after="0"/>
            </w:pPr>
            <w:r/>
            <w:r>
              <w:rPr>
                <w:rFonts w:ascii="Aptos" w:hAnsi="Aptos"/>
                <w:b w:val="0"/>
                <w:sz w:val="14"/>
              </w:rPr>
              <w:t>Immediate/Near-term</w:t>
            </w:r>
          </w:p>
        </w:tc>
        <w:tc>
          <w:tcPr>
            <w:tcW w:type="dxa" w:w="1008"/>
            <w:vAlign w:val="top"/>
          </w:tcPr>
          <w:p>
            <w:pPr>
              <w:spacing w:after="0"/>
            </w:pPr>
            <w:r/>
            <w:r>
              <w:rPr>
                <w:rFonts w:ascii="Aptos" w:hAnsi="Aptos"/>
                <w:b w:val="0"/>
                <w:sz w:val="14"/>
              </w:rPr>
              <w:t>26.7</w:t>
            </w:r>
          </w:p>
        </w:tc>
        <w:tc>
          <w:tcPr>
            <w:tcW w:type="dxa" w:w="3456"/>
            <w:vAlign w:val="top"/>
          </w:tcPr>
          <w:p>
            <w:pPr>
              <w:spacing w:after="0"/>
            </w:pPr>
            <w:r/>
            <w:r>
              <w:rPr>
                <w:rFonts w:ascii="Aptos" w:hAnsi="Aptos"/>
                <w:b w:val="0"/>
                <w:sz w:val="14"/>
              </w:rPr>
              <w:t>Fees, GST, premium caps, funding and P&amp;L are hard to reconcile.</w:t>
            </w:r>
          </w:p>
        </w:tc>
        <w:tc>
          <w:tcPr>
            <w:tcW w:type="dxa" w:w="2880"/>
            <w:vAlign w:val="top"/>
          </w:tcPr>
          <w:p>
            <w:pPr>
              <w:spacing w:after="0"/>
            </w:pPr>
            <w:r/>
            <w:r>
              <w:rPr>
                <w:rFonts w:ascii="Aptos" w:hAnsi="Aptos"/>
                <w:b w:val="0"/>
                <w:sz w:val="14"/>
              </w:rPr>
              <w:t>Fee/P&amp;L support tickets down; preview-to-trade quality up; no harm guardrail breach</w:t>
            </w:r>
          </w:p>
        </w:tc>
      </w:tr>
      <w:tr>
        <w:tc>
          <w:tcPr>
            <w:tcW w:type="dxa" w:w="2088"/>
            <w:vAlign w:val="top"/>
            <w:shd w:fill="F5F7FA"/>
          </w:tcPr>
          <w:p>
            <w:pPr>
              <w:spacing w:after="0"/>
            </w:pPr>
            <w:r/>
            <w:r>
              <w:rPr>
                <w:rFonts w:ascii="Aptos" w:hAnsi="Aptos"/>
                <w:b w:val="0"/>
                <w:sz w:val="14"/>
              </w:rPr>
              <w:t>Withdrawal Assurance</w:t>
            </w:r>
          </w:p>
        </w:tc>
        <w:tc>
          <w:tcPr>
            <w:tcW w:type="dxa" w:w="1440"/>
            <w:vAlign w:val="top"/>
            <w:shd w:fill="F5F7FA"/>
          </w:tcPr>
          <w:p>
            <w:pPr>
              <w:spacing w:after="0"/>
            </w:pPr>
            <w:r/>
            <w:r>
              <w:rPr>
                <w:rFonts w:ascii="Aptos" w:hAnsi="Aptos"/>
                <w:b w:val="0"/>
                <w:sz w:val="14"/>
              </w:rPr>
              <w:t>Near-term</w:t>
            </w:r>
          </w:p>
        </w:tc>
        <w:tc>
          <w:tcPr>
            <w:tcW w:type="dxa" w:w="1008"/>
            <w:vAlign w:val="top"/>
            <w:shd w:fill="F5F7FA"/>
          </w:tcPr>
          <w:p>
            <w:pPr>
              <w:spacing w:after="0"/>
            </w:pPr>
            <w:r/>
            <w:r>
              <w:rPr>
                <w:rFonts w:ascii="Aptos" w:hAnsi="Aptos"/>
                <w:b w:val="0"/>
                <w:sz w:val="14"/>
              </w:rPr>
              <w:t>32.0</w:t>
            </w:r>
          </w:p>
        </w:tc>
        <w:tc>
          <w:tcPr>
            <w:tcW w:type="dxa" w:w="3456"/>
            <w:vAlign w:val="top"/>
            <w:shd w:fill="F5F7FA"/>
          </w:tcPr>
          <w:p>
            <w:pPr>
              <w:spacing w:after="0"/>
            </w:pPr>
            <w:r/>
            <w:r>
              <w:rPr>
                <w:rFonts w:ascii="Aptos" w:hAnsi="Aptos"/>
                <w:b w:val="0"/>
                <w:sz w:val="14"/>
              </w:rPr>
              <w:t>Manual audits and withdrawal status can feel opaque during money movement.</w:t>
            </w:r>
          </w:p>
        </w:tc>
        <w:tc>
          <w:tcPr>
            <w:tcW w:type="dxa" w:w="2880"/>
            <w:vAlign w:val="top"/>
            <w:shd w:fill="F5F7FA"/>
          </w:tcPr>
          <w:p>
            <w:pPr>
              <w:spacing w:after="0"/>
            </w:pPr>
            <w:r/>
            <w:r>
              <w:rPr>
                <w:rFonts w:ascii="Aptos" w:hAnsi="Aptos"/>
                <w:b w:val="0"/>
                <w:sz w:val="14"/>
              </w:rPr>
              <w:t>P95 clarity improved; cancellation/escalation contacts down</w:t>
            </w:r>
          </w:p>
        </w:tc>
      </w:tr>
      <w:tr>
        <w:tc>
          <w:tcPr>
            <w:tcW w:type="dxa" w:w="2088"/>
            <w:vAlign w:val="top"/>
          </w:tcPr>
          <w:p>
            <w:pPr>
              <w:spacing w:after="0"/>
            </w:pPr>
            <w:r/>
            <w:r>
              <w:rPr>
                <w:rFonts w:ascii="Aptos" w:hAnsi="Aptos"/>
                <w:b w:val="0"/>
                <w:sz w:val="14"/>
              </w:rPr>
              <w:t>Algo Safe Deploy</w:t>
            </w:r>
          </w:p>
        </w:tc>
        <w:tc>
          <w:tcPr>
            <w:tcW w:type="dxa" w:w="1440"/>
            <w:vAlign w:val="top"/>
          </w:tcPr>
          <w:p>
            <w:pPr>
              <w:spacing w:after="0"/>
            </w:pPr>
            <w:r/>
            <w:r>
              <w:rPr>
                <w:rFonts w:ascii="Aptos" w:hAnsi="Aptos"/>
                <w:b w:val="0"/>
                <w:sz w:val="14"/>
              </w:rPr>
              <w:t>Strategic</w:t>
            </w:r>
          </w:p>
        </w:tc>
        <w:tc>
          <w:tcPr>
            <w:tcW w:type="dxa" w:w="1008"/>
            <w:vAlign w:val="top"/>
          </w:tcPr>
          <w:p>
            <w:pPr>
              <w:spacing w:after="0"/>
            </w:pPr>
            <w:r/>
            <w:r>
              <w:rPr>
                <w:rFonts w:ascii="Aptos" w:hAnsi="Aptos"/>
                <w:b w:val="0"/>
                <w:sz w:val="14"/>
              </w:rPr>
              <w:t>9.0</w:t>
            </w:r>
          </w:p>
        </w:tc>
        <w:tc>
          <w:tcPr>
            <w:tcW w:type="dxa" w:w="3456"/>
            <w:vAlign w:val="top"/>
          </w:tcPr>
          <w:p>
            <w:pPr>
              <w:spacing w:after="0"/>
            </w:pPr>
            <w:r/>
            <w:r>
              <w:rPr>
                <w:rFonts w:ascii="Aptos" w:hAnsi="Aptos"/>
                <w:b w:val="0"/>
                <w:sz w:val="14"/>
              </w:rPr>
              <w:t>API Copilot can generate code but does not test, execute or monitor strategies.</w:t>
            </w:r>
          </w:p>
        </w:tc>
        <w:tc>
          <w:tcPr>
            <w:tcW w:type="dxa" w:w="2880"/>
            <w:vAlign w:val="top"/>
          </w:tcPr>
          <w:p>
            <w:pPr>
              <w:spacing w:after="0"/>
            </w:pPr>
            <w:r/>
            <w:r>
              <w:rPr>
                <w:rFonts w:ascii="Aptos" w:hAnsi="Aptos"/>
                <w:b w:val="0"/>
                <w:sz w:val="14"/>
              </w:rPr>
              <w:t>Testnet-to-live conversion; invalid-order errors down; kill-switch adoption</w:t>
            </w:r>
          </w:p>
        </w:tc>
      </w:tr>
      <w:tr>
        <w:tc>
          <w:tcPr>
            <w:tcW w:type="dxa" w:w="2088"/>
            <w:vAlign w:val="top"/>
            <w:shd w:fill="F5F7FA"/>
          </w:tcPr>
          <w:p>
            <w:pPr>
              <w:spacing w:after="0"/>
            </w:pPr>
            <w:r/>
            <w:r>
              <w:rPr>
                <w:rFonts w:ascii="Aptos" w:hAnsi="Aptos"/>
                <w:b w:val="0"/>
                <w:sz w:val="14"/>
              </w:rPr>
              <w:t>Marketplace Trust Scorecard</w:t>
            </w:r>
          </w:p>
        </w:tc>
        <w:tc>
          <w:tcPr>
            <w:tcW w:type="dxa" w:w="1440"/>
            <w:vAlign w:val="top"/>
            <w:shd w:fill="F5F7FA"/>
          </w:tcPr>
          <w:p>
            <w:pPr>
              <w:spacing w:after="0"/>
            </w:pPr>
            <w:r/>
            <w:r>
              <w:rPr>
                <w:rFonts w:ascii="Aptos" w:hAnsi="Aptos"/>
                <w:b w:val="0"/>
                <w:sz w:val="14"/>
              </w:rPr>
              <w:t>Strategic</w:t>
            </w:r>
          </w:p>
        </w:tc>
        <w:tc>
          <w:tcPr>
            <w:tcW w:type="dxa" w:w="1008"/>
            <w:vAlign w:val="top"/>
            <w:shd w:fill="F5F7FA"/>
          </w:tcPr>
          <w:p>
            <w:pPr>
              <w:spacing w:after="0"/>
            </w:pPr>
            <w:r/>
            <w:r>
              <w:rPr>
                <w:rFonts w:ascii="Aptos" w:hAnsi="Aptos"/>
                <w:b w:val="0"/>
                <w:sz w:val="14"/>
              </w:rPr>
              <w:t>9.0</w:t>
            </w:r>
          </w:p>
        </w:tc>
        <w:tc>
          <w:tcPr>
            <w:tcW w:type="dxa" w:w="3456"/>
            <w:vAlign w:val="top"/>
            <w:shd w:fill="F5F7FA"/>
          </w:tcPr>
          <w:p>
            <w:pPr>
              <w:spacing w:after="0"/>
            </w:pPr>
            <w:r/>
            <w:r>
              <w:rPr>
                <w:rFonts w:ascii="Aptos" w:hAnsi="Aptos"/>
                <w:b w:val="0"/>
                <w:sz w:val="14"/>
              </w:rPr>
              <w:t>Algo Marketplace needs risk-adjusted and live-performance context to avoid misunderstanding.</w:t>
            </w:r>
          </w:p>
        </w:tc>
        <w:tc>
          <w:tcPr>
            <w:tcW w:type="dxa" w:w="2880"/>
            <w:vAlign w:val="top"/>
            <w:shd w:fill="F5F7FA"/>
          </w:tcPr>
          <w:p>
            <w:pPr>
              <w:spacing w:after="0"/>
            </w:pPr>
            <w:r/>
            <w:r>
              <w:rPr>
                <w:rFonts w:ascii="Aptos" w:hAnsi="Aptos"/>
                <w:b w:val="0"/>
                <w:sz w:val="14"/>
              </w:rPr>
              <w:t>Live/paper/backtest separation; strategy retention; complaint rate guardrail</w:t>
            </w:r>
          </w:p>
        </w:tc>
      </w:tr>
    </w:tbl>
    <w:p/>
    <w:p>
      <w:pPr>
        <w:pStyle w:val="Heading1"/>
      </w:pPr>
      <w:r>
        <w:t>9. Product proposal 1 - Delta Trade Integrity Center</w:t>
      </w:r>
    </w:p>
    <w:p>
      <w:pPr>
        <w:spacing w:before="100" w:after="140"/>
      </w:pPr>
      <w:r>
        <w:rPr>
          <w:b/>
          <w:color w:val="172639"/>
          <w:sz w:val="24"/>
        </w:rPr>
        <w:t>A user-facing forensic timeline for every order, trigger, fill, liquidation, balance movement and incident.</w:t>
      </w:r>
    </w:p>
    <w:p>
      <w:r>
        <w:t>This proposal addresses the highest-stress trader question: 'What exactly happened?' It should be generated from authoritative backend event logs, not reconstructed from client state.</w:t>
      </w:r>
    </w:p>
    <w:p>
      <w:pPr>
        <w:pStyle w:val="ListBullet"/>
        <w:spacing w:after="40"/>
      </w:pPr>
      <w:r>
        <w:t>Order timeline: created, accepted, queued, triggered, matched, partially filled, cancelled, rejected or liquidated.</w:t>
      </w:r>
    </w:p>
    <w:p>
      <w:pPr>
        <w:pStyle w:val="ListBullet"/>
        <w:spacing w:after="40"/>
      </w:pPr>
      <w:r>
        <w:t>Market context: index price, mark price, best bid/ask and data freshness at critical events.</w:t>
      </w:r>
    </w:p>
    <w:p>
      <w:pPr>
        <w:pStyle w:val="ListBullet"/>
        <w:spacing w:after="40"/>
      </w:pPr>
      <w:r>
        <w:t>Trigger explanation: why a stop-loss or take-profit fired or did not fire.</w:t>
      </w:r>
    </w:p>
    <w:p>
      <w:pPr>
        <w:pStyle w:val="ListBullet"/>
        <w:spacing w:after="40"/>
      </w:pPr>
      <w:r>
        <w:t>Balance reconciliation: realized P&amp;L, unrealized P&amp;L, fees, GST, funding, settlement and liquidation components.</w:t>
      </w:r>
    </w:p>
    <w:p>
      <w:pPr>
        <w:pStyle w:val="ListBullet"/>
        <w:spacing w:after="40"/>
      </w:pPr>
      <w:r>
        <w:t>Incident linkage: affected users see public incident timeline and private trade impact.</w:t>
      </w:r>
    </w:p>
    <w:p>
      <w:pPr>
        <w:pStyle w:val="ListBullet"/>
        <w:spacing w:after="40"/>
      </w:pPr>
      <w:r>
        <w:t>One-click support export: full context arrives with the support ticket.</w:t>
      </w:r>
    </w:p>
    <w:p>
      <w:r>
        <w:t>Success metrics: trade-dispute contacts per active trader, resolution time, reopened tickets, stale-state incidents, user trust score after volatile-market incidents.</w:t>
      </w:r>
    </w:p>
    <w:p>
      <w:r>
        <w:t>Risk: If the timeline is incomplete or inconsistent with support records, it will worsen trust. Build from event-sourced logs and test with historical incidents.</w:t>
      </w:r>
    </w:p>
    <w:p>
      <w:pPr>
        <w:pStyle w:val="Heading1"/>
      </w:pPr>
      <w:r>
        <w:t>10. Product proposal 2 - Explainable Trade Economics</w:t>
      </w:r>
    </w:p>
    <w:p>
      <w:pPr>
        <w:spacing w:before="100" w:after="140"/>
      </w:pPr>
      <w:r>
        <w:rPr>
          <w:b/>
          <w:color w:val="172639"/>
          <w:sz w:val="24"/>
        </w:rPr>
        <w:t>A pre-trade and post-trade rupee-denominated explanation layer for fees, GST, funding, premium, liquidation distance and net P&amp;L.</w:t>
      </w:r>
    </w:p>
    <w:p>
      <w:pPr>
        <w:pStyle w:val="ListBullet"/>
        <w:spacing w:after="40"/>
      </w:pPr>
      <w:r>
        <w:t>Before confirmation: entry fee, estimated exit fee, GST, funding exposure, break-even move and liquidation distance.</w:t>
      </w:r>
    </w:p>
    <w:p>
      <w:pPr>
        <w:pStyle w:val="ListBullet"/>
        <w:spacing w:after="40"/>
      </w:pPr>
      <w:r>
        <w:t>For options: premium, fee cap, maximum loss, payoff at expiry and time-decay explanation.</w:t>
      </w:r>
    </w:p>
    <w:p>
      <w:pPr>
        <w:pStyle w:val="ListBullet"/>
        <w:spacing w:after="40"/>
      </w:pPr>
      <w:r>
        <w:t>After close: a waterfall from gross P&amp;L to net balance change.</w:t>
      </w:r>
    </w:p>
    <w:p>
      <w:pPr>
        <w:pStyle w:val="ListBullet"/>
        <w:spacing w:after="40"/>
      </w:pPr>
      <w:r>
        <w:t>Scenario slider: impact of price, volatility, holding time and fee type.</w:t>
      </w:r>
    </w:p>
    <w:p>
      <w:pPr>
        <w:pStyle w:val="ListBullet"/>
        <w:spacing w:after="40"/>
      </w:pPr>
      <w:r>
        <w:t>Links to exact fee schedule and product-specific examples.</w:t>
      </w:r>
    </w:p>
    <w:p>
      <w:r>
        <w:t>Success metrics: fee/P&amp;L tickets down, successful first trade quality up, repeat trading up without liquidation/harm guardrail breach.</w:t>
      </w:r>
    </w:p>
    <w:p>
      <w:pPr>
        <w:pStyle w:val="Heading1"/>
      </w:pPr>
      <w:r>
        <w:t>11. Product proposal 3 - Algo Safe Deploy</w:t>
      </w:r>
    </w:p>
    <w:p>
      <w:pPr>
        <w:spacing w:before="100" w:after="140"/>
      </w:pPr>
      <w:r>
        <w:rPr>
          <w:b/>
          <w:color w:val="172639"/>
          <w:sz w:val="24"/>
        </w:rPr>
        <w:t>Turn API Copilot from code help into a safe path from idea to testnet to monitored live deployment.</w:t>
      </w:r>
    </w:p>
    <w:p>
      <w:r>
        <w:t>Delta's API Copilot guide is clear that generated code must be tested and that the tool does not execute or monitor trades. That limitation is exactly the product opportunity. [S4]</w:t>
      </w:r>
    </w:p>
    <w:p>
      <w:pPr>
        <w:pStyle w:val="ListBullet"/>
        <w:spacing w:after="40"/>
      </w:pPr>
      <w:r>
        <w:t>Static checks: API-key scope, rate limits, unsafe order sizing, missing error handling.</w:t>
      </w:r>
    </w:p>
    <w:p>
      <w:pPr>
        <w:pStyle w:val="ListBullet"/>
        <w:spacing w:after="40"/>
      </w:pPr>
      <w:r>
        <w:t>Replay: backtest-like sanity checks with explicit caveats, not performance promises.</w:t>
      </w:r>
    </w:p>
    <w:p>
      <w:pPr>
        <w:pStyle w:val="ListBullet"/>
        <w:spacing w:after="40"/>
      </w:pPr>
      <w:r>
        <w:t>Testnet requirement: observe behavior before live deployment.</w:t>
      </w:r>
    </w:p>
    <w:p>
      <w:pPr>
        <w:pStyle w:val="ListBullet"/>
        <w:spacing w:after="40"/>
      </w:pPr>
      <w:r>
        <w:t>Capital and loss limits: per-strategy max capital, max daily loss and max order frequency.</w:t>
      </w:r>
    </w:p>
    <w:p>
      <w:pPr>
        <w:pStyle w:val="ListBullet"/>
        <w:spacing w:after="40"/>
      </w:pPr>
      <w:r>
        <w:t>Kill switch: user, risk system and platform-initiated controls.</w:t>
      </w:r>
    </w:p>
    <w:p>
      <w:pPr>
        <w:pStyle w:val="ListBullet"/>
        <w:spacing w:after="40"/>
      </w:pPr>
      <w:r>
        <w:t>Monitoring: rejected orders, latency, slippage, deviation from intended strategy and error spikes.</w:t>
      </w:r>
    </w:p>
    <w:p>
      <w:pPr>
        <w:pStyle w:val="ListBullet"/>
        <w:spacing w:after="40"/>
      </w:pPr>
      <w:r>
        <w:t>Marketplace extension: show live/paper/backtest separation, max drawdown, strategy age, regime sensitivity and fee-adjusted results.</w:t>
      </w:r>
    </w:p>
    <w:p>
      <w:pPr>
        <w:pStyle w:val="Heading1"/>
      </w:pPr>
      <w:r>
        <w:t>12. Product proposal 4 - Withdrawal Assurance</w:t>
      </w:r>
    </w:p>
    <w:p>
      <w:pPr>
        <w:spacing w:before="100" w:after="140"/>
      </w:pPr>
      <w:r>
        <w:rPr>
          <w:b/>
          <w:color w:val="172639"/>
          <w:sz w:val="24"/>
        </w:rPr>
        <w:t>Make withdrawal waiting time understandable, not mysterious.</w:t>
      </w:r>
    </w:p>
    <w:p>
      <w:r>
        <w:t>Manual audits may be necessary for security and compliance, but users experience opaque audits as risk. A strong status product can transform a trust liability into a safety signal. [S9]</w:t>
      </w:r>
    </w:p>
    <w:p>
      <w:pPr>
        <w:pStyle w:val="ListBullet"/>
        <w:spacing w:after="40"/>
      </w:pPr>
      <w:r>
        <w:t>Status steps: initiated, validations, manual audit, bank processing, completed/failed.</w:t>
      </w:r>
    </w:p>
    <w:p>
      <w:pPr>
        <w:pStyle w:val="ListBullet"/>
        <w:spacing w:after="40"/>
      </w:pPr>
      <w:r>
        <w:t>Expected-time range by reason, not a generic promise.</w:t>
      </w:r>
    </w:p>
    <w:p>
      <w:pPr>
        <w:pStyle w:val="ListBullet"/>
        <w:spacing w:after="40"/>
      </w:pPr>
      <w:r>
        <w:t>Reason codes in plain language.</w:t>
      </w:r>
    </w:p>
    <w:p>
      <w:pPr>
        <w:pStyle w:val="ListBullet"/>
        <w:spacing w:after="40"/>
      </w:pPr>
      <w:r>
        <w:t>What the user can do next: wait, retry, update bank details, contact support, or file grievance.</w:t>
      </w:r>
    </w:p>
    <w:p>
      <w:pPr>
        <w:pStyle w:val="ListBullet"/>
        <w:spacing w:after="40"/>
      </w:pPr>
      <w:r>
        <w:t>Post-delay explanation and apology flow when platform-side delays occur.</w:t>
      </w:r>
    </w:p>
    <w:p>
      <w:pPr>
        <w:pStyle w:val="Heading1"/>
      </w:pPr>
      <w:r>
        <w:t>13. Roadmap</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top"/>
            <w:shd w:fill="24364B"/>
          </w:tcPr>
          <w:p>
            <w:pPr>
              <w:spacing w:after="0"/>
            </w:pPr>
            <w:r/>
            <w:r>
              <w:rPr>
                <w:rFonts w:ascii="Aptos" w:hAnsi="Aptos"/>
                <w:b/>
                <w:color w:val="FFFFFF"/>
                <w:sz w:val="16"/>
              </w:rPr>
              <w:t>Timeframe</w:t>
            </w:r>
          </w:p>
        </w:tc>
        <w:tc>
          <w:tcPr>
            <w:tcW w:type="dxa" w:w="5472"/>
            <w:vAlign w:val="top"/>
            <w:shd w:fill="24364B"/>
          </w:tcPr>
          <w:p>
            <w:pPr>
              <w:spacing w:after="0"/>
            </w:pPr>
            <w:r/>
            <w:r>
              <w:rPr>
                <w:rFonts w:ascii="Aptos" w:hAnsi="Aptos"/>
                <w:b/>
                <w:color w:val="FFFFFF"/>
                <w:sz w:val="16"/>
              </w:rPr>
              <w:t>Initiatives</w:t>
            </w:r>
          </w:p>
        </w:tc>
        <w:tc>
          <w:tcPr>
            <w:tcW w:type="dxa" w:w="3168"/>
            <w:vAlign w:val="top"/>
            <w:shd w:fill="24364B"/>
          </w:tcPr>
          <w:p>
            <w:pPr>
              <w:spacing w:after="0"/>
            </w:pPr>
            <w:r/>
            <w:r>
              <w:rPr>
                <w:rFonts w:ascii="Aptos" w:hAnsi="Aptos"/>
                <w:b/>
                <w:color w:val="FFFFFF"/>
                <w:sz w:val="16"/>
              </w:rPr>
              <w:t>Why</w:t>
            </w:r>
          </w:p>
        </w:tc>
      </w:tr>
      <w:tr>
        <w:tc>
          <w:tcPr>
            <w:tcW w:type="dxa" w:w="1728"/>
            <w:vAlign w:val="top"/>
          </w:tcPr>
          <w:p>
            <w:pPr>
              <w:spacing w:after="0"/>
            </w:pPr>
            <w:r/>
            <w:r>
              <w:rPr>
                <w:rFonts w:ascii="Aptos" w:hAnsi="Aptos"/>
                <w:b w:val="0"/>
                <w:sz w:val="16"/>
              </w:rPr>
              <w:t>0-30 days</w:t>
            </w:r>
          </w:p>
        </w:tc>
        <w:tc>
          <w:tcPr>
            <w:tcW w:type="dxa" w:w="5472"/>
            <w:vAlign w:val="top"/>
          </w:tcPr>
          <w:p>
            <w:pPr>
              <w:spacing w:after="0"/>
            </w:pPr>
            <w:r/>
            <w:r>
              <w:rPr>
                <w:rFonts w:ascii="Aptos" w:hAnsi="Aptos"/>
                <w:b w:val="0"/>
                <w:sz w:val="16"/>
              </w:rPr>
              <w:t>Public Product Truth Audit; fee/P&amp;L copy fixes; support taxonomy; instrumentation plan</w:t>
            </w:r>
          </w:p>
        </w:tc>
        <w:tc>
          <w:tcPr>
            <w:tcW w:type="dxa" w:w="3168"/>
            <w:vAlign w:val="top"/>
          </w:tcPr>
          <w:p>
            <w:pPr>
              <w:spacing w:after="0"/>
            </w:pPr>
            <w:r/>
            <w:r>
              <w:rPr>
                <w:rFonts w:ascii="Aptos" w:hAnsi="Aptos"/>
                <w:b w:val="0"/>
                <w:sz w:val="16"/>
              </w:rPr>
              <w:t>Fast trust wins and evidence foundation.</w:t>
            </w:r>
          </w:p>
        </w:tc>
      </w:tr>
      <w:tr>
        <w:tc>
          <w:tcPr>
            <w:tcW w:type="dxa" w:w="1728"/>
            <w:vAlign w:val="top"/>
            <w:shd w:fill="F5F7FA"/>
          </w:tcPr>
          <w:p>
            <w:pPr>
              <w:spacing w:after="0"/>
            </w:pPr>
            <w:r/>
            <w:r>
              <w:rPr>
                <w:rFonts w:ascii="Aptos" w:hAnsi="Aptos"/>
                <w:b w:val="0"/>
                <w:sz w:val="16"/>
              </w:rPr>
              <w:t>30-90 days</w:t>
            </w:r>
          </w:p>
        </w:tc>
        <w:tc>
          <w:tcPr>
            <w:tcW w:type="dxa" w:w="5472"/>
            <w:vAlign w:val="top"/>
            <w:shd w:fill="F5F7FA"/>
          </w:tcPr>
          <w:p>
            <w:pPr>
              <w:spacing w:after="0"/>
            </w:pPr>
            <w:r/>
            <w:r>
              <w:rPr>
                <w:rFonts w:ascii="Aptos" w:hAnsi="Aptos"/>
                <w:b w:val="0"/>
                <w:sz w:val="16"/>
              </w:rPr>
              <w:t>Explainable Trade Economics MVP; withdrawal status improvements; support-context export</w:t>
            </w:r>
          </w:p>
        </w:tc>
        <w:tc>
          <w:tcPr>
            <w:tcW w:type="dxa" w:w="3168"/>
            <w:vAlign w:val="top"/>
            <w:shd w:fill="F5F7FA"/>
          </w:tcPr>
          <w:p>
            <w:pPr>
              <w:spacing w:after="0"/>
            </w:pPr>
            <w:r/>
            <w:r>
              <w:rPr>
                <w:rFonts w:ascii="Aptos" w:hAnsi="Aptos"/>
                <w:b w:val="0"/>
                <w:sz w:val="16"/>
              </w:rPr>
              <w:t>Reduces repeated confusion and money-movement anxiety.</w:t>
            </w:r>
          </w:p>
        </w:tc>
      </w:tr>
      <w:tr>
        <w:tc>
          <w:tcPr>
            <w:tcW w:type="dxa" w:w="1728"/>
            <w:vAlign w:val="top"/>
          </w:tcPr>
          <w:p>
            <w:pPr>
              <w:spacing w:after="0"/>
            </w:pPr>
            <w:r/>
            <w:r>
              <w:rPr>
                <w:rFonts w:ascii="Aptos" w:hAnsi="Aptos"/>
                <w:b w:val="0"/>
                <w:sz w:val="16"/>
              </w:rPr>
              <w:t>90-180 days</w:t>
            </w:r>
          </w:p>
        </w:tc>
        <w:tc>
          <w:tcPr>
            <w:tcW w:type="dxa" w:w="5472"/>
            <w:vAlign w:val="top"/>
          </w:tcPr>
          <w:p>
            <w:pPr>
              <w:spacing w:after="0"/>
            </w:pPr>
            <w:r/>
            <w:r>
              <w:rPr>
                <w:rFonts w:ascii="Aptos" w:hAnsi="Aptos"/>
                <w:b w:val="0"/>
                <w:sz w:val="16"/>
              </w:rPr>
              <w:t>Trade Integrity Center MVP; incident communication integration; order timeline beta</w:t>
            </w:r>
          </w:p>
        </w:tc>
        <w:tc>
          <w:tcPr>
            <w:tcW w:type="dxa" w:w="3168"/>
            <w:vAlign w:val="top"/>
          </w:tcPr>
          <w:p>
            <w:pPr>
              <w:spacing w:after="0"/>
            </w:pPr>
            <w:r/>
            <w:r>
              <w:rPr>
                <w:rFonts w:ascii="Aptos" w:hAnsi="Aptos"/>
                <w:b w:val="0"/>
                <w:sz w:val="16"/>
              </w:rPr>
              <w:t>Builds differentiated trust layer.</w:t>
            </w:r>
          </w:p>
        </w:tc>
      </w:tr>
      <w:tr>
        <w:tc>
          <w:tcPr>
            <w:tcW w:type="dxa" w:w="1728"/>
            <w:vAlign w:val="top"/>
            <w:shd w:fill="F5F7FA"/>
          </w:tcPr>
          <w:p>
            <w:pPr>
              <w:spacing w:after="0"/>
            </w:pPr>
            <w:r/>
            <w:r>
              <w:rPr>
                <w:rFonts w:ascii="Aptos" w:hAnsi="Aptos"/>
                <w:b w:val="0"/>
                <w:sz w:val="16"/>
              </w:rPr>
              <w:t>6-12 months</w:t>
            </w:r>
          </w:p>
        </w:tc>
        <w:tc>
          <w:tcPr>
            <w:tcW w:type="dxa" w:w="5472"/>
            <w:vAlign w:val="top"/>
            <w:shd w:fill="F5F7FA"/>
          </w:tcPr>
          <w:p>
            <w:pPr>
              <w:spacing w:after="0"/>
            </w:pPr>
            <w:r/>
            <w:r>
              <w:rPr>
                <w:rFonts w:ascii="Aptos" w:hAnsi="Aptos"/>
                <w:b w:val="0"/>
                <w:sz w:val="16"/>
              </w:rPr>
              <w:t>Algo Safe Deploy; Marketplace Trust Scorecard; risk-adjusted strategy discovery</w:t>
            </w:r>
          </w:p>
        </w:tc>
        <w:tc>
          <w:tcPr>
            <w:tcW w:type="dxa" w:w="3168"/>
            <w:vAlign w:val="top"/>
            <w:shd w:fill="F5F7FA"/>
          </w:tcPr>
          <w:p>
            <w:pPr>
              <w:spacing w:after="0"/>
            </w:pPr>
            <w:r/>
            <w:r>
              <w:rPr>
                <w:rFonts w:ascii="Aptos" w:hAnsi="Aptos"/>
                <w:b w:val="0"/>
                <w:sz w:val="16"/>
              </w:rPr>
              <w:t>Turns automation stack into a safer moat.</w:t>
            </w:r>
          </w:p>
        </w:tc>
      </w:tr>
    </w:tbl>
    <w:p/>
    <w:p>
      <w:pPr>
        <w:pStyle w:val="Heading1"/>
      </w:pPr>
      <w:r>
        <w:t>14. Red-team review</w:t>
      </w:r>
    </w:p>
    <w:p>
      <w:r>
        <w:t>The most credible objections to this report are listed below. They should be addressed directly in outreach and interviews.</w:t>
      </w:r>
    </w:p>
    <w:tbl>
      <w:tblPr>
        <w:tblStyle w:val="TableGrid"/>
        <w:tblW w:type="auto" w:w="0"/>
        <w:jc w:val="center"/>
        <w:tblLook w:firstColumn="1" w:firstRow="1" w:lastColumn="0" w:lastRow="0" w:noHBand="0" w:noVBand="1" w:val="04A0"/>
      </w:tblPr>
      <w:tblGrid>
        <w:gridCol w:w="5083"/>
        <w:gridCol w:w="5083"/>
      </w:tblGrid>
      <w:tr>
        <w:tc>
          <w:tcPr>
            <w:tcW w:type="dxa" w:w="3456"/>
            <w:vAlign w:val="top"/>
            <w:shd w:fill="24364B"/>
          </w:tcPr>
          <w:p>
            <w:pPr>
              <w:spacing w:after="0"/>
            </w:pPr>
            <w:r/>
            <w:r>
              <w:rPr>
                <w:rFonts w:ascii="Aptos" w:hAnsi="Aptos"/>
                <w:b/>
                <w:color w:val="FFFFFF"/>
                <w:sz w:val="16"/>
              </w:rPr>
              <w:t>Objection</w:t>
            </w:r>
          </w:p>
        </w:tc>
        <w:tc>
          <w:tcPr>
            <w:tcW w:type="dxa" w:w="7056"/>
            <w:vAlign w:val="top"/>
            <w:shd w:fill="24364B"/>
          </w:tcPr>
          <w:p>
            <w:pPr>
              <w:spacing w:after="0"/>
            </w:pPr>
            <w:r/>
            <w:r>
              <w:rPr>
                <w:rFonts w:ascii="Aptos" w:hAnsi="Aptos"/>
                <w:b/>
                <w:color w:val="FFFFFF"/>
                <w:sz w:val="16"/>
              </w:rPr>
              <w:t>Response</w:t>
            </w:r>
          </w:p>
        </w:tc>
      </w:tr>
      <w:tr>
        <w:tc>
          <w:tcPr>
            <w:tcW w:type="dxa" w:w="3456"/>
            <w:vAlign w:val="top"/>
          </w:tcPr>
          <w:p>
            <w:pPr>
              <w:spacing w:after="0"/>
            </w:pPr>
            <w:r/>
            <w:r>
              <w:rPr>
                <w:rFonts w:ascii="Aptos" w:hAnsi="Aptos"/>
                <w:b w:val="0"/>
                <w:sz w:val="16"/>
              </w:rPr>
              <w:t>Public reviews are not representative.</w:t>
            </w:r>
          </w:p>
        </w:tc>
        <w:tc>
          <w:tcPr>
            <w:tcW w:type="dxa" w:w="7056"/>
            <w:vAlign w:val="top"/>
          </w:tcPr>
          <w:p>
            <w:pPr>
              <w:spacing w:after="0"/>
            </w:pPr>
            <w:r/>
            <w:r>
              <w:rPr>
                <w:rFonts w:ascii="Aptos" w:hAnsi="Aptos"/>
                <w:b w:val="0"/>
                <w:sz w:val="16"/>
              </w:rPr>
              <w:t>Correct. They are used as failure-mode discovery, not prevalence estimates. Internal support and log data are required.</w:t>
            </w:r>
          </w:p>
        </w:tc>
      </w:tr>
      <w:tr>
        <w:tc>
          <w:tcPr>
            <w:tcW w:type="dxa" w:w="3456"/>
            <w:vAlign w:val="top"/>
            <w:shd w:fill="F5F7FA"/>
          </w:tcPr>
          <w:p>
            <w:pPr>
              <w:spacing w:after="0"/>
            </w:pPr>
            <w:r/>
            <w:r>
              <w:rPr>
                <w:rFonts w:ascii="Aptos" w:hAnsi="Aptos"/>
                <w:b w:val="0"/>
                <w:sz w:val="16"/>
              </w:rPr>
              <w:t>Product-truth inconsistency may be due to phased rollout.</w:t>
            </w:r>
          </w:p>
        </w:tc>
        <w:tc>
          <w:tcPr>
            <w:tcW w:type="dxa" w:w="7056"/>
            <w:vAlign w:val="top"/>
            <w:shd w:fill="F5F7FA"/>
          </w:tcPr>
          <w:p>
            <w:pPr>
              <w:spacing w:after="0"/>
            </w:pPr>
            <w:r/>
            <w:r>
              <w:rPr>
                <w:rFonts w:ascii="Aptos" w:hAnsi="Aptos"/>
                <w:b w:val="0"/>
                <w:sz w:val="16"/>
              </w:rPr>
              <w:t>That may be true. The PM opportunity remains: phased rollouts need explicit public labeling.</w:t>
            </w:r>
          </w:p>
        </w:tc>
      </w:tr>
      <w:tr>
        <w:tc>
          <w:tcPr>
            <w:tcW w:type="dxa" w:w="3456"/>
            <w:vAlign w:val="top"/>
          </w:tcPr>
          <w:p>
            <w:pPr>
              <w:spacing w:after="0"/>
            </w:pPr>
            <w:r/>
            <w:r>
              <w:rPr>
                <w:rFonts w:ascii="Aptos" w:hAnsi="Aptos"/>
                <w:b w:val="0"/>
                <w:sz w:val="16"/>
              </w:rPr>
              <w:t>Trade Integrity Center may reveal too much technical detail.</w:t>
            </w:r>
          </w:p>
        </w:tc>
        <w:tc>
          <w:tcPr>
            <w:tcW w:type="dxa" w:w="7056"/>
            <w:vAlign w:val="top"/>
          </w:tcPr>
          <w:p>
            <w:pPr>
              <w:spacing w:after="0"/>
            </w:pPr>
            <w:r/>
            <w:r>
              <w:rPr>
                <w:rFonts w:ascii="Aptos" w:hAnsi="Aptos"/>
                <w:b w:val="0"/>
                <w:sz w:val="16"/>
              </w:rPr>
              <w:t>Expose user-safe event explanations, not sensitive engine internals.</w:t>
            </w:r>
          </w:p>
        </w:tc>
      </w:tr>
      <w:tr>
        <w:tc>
          <w:tcPr>
            <w:tcW w:type="dxa" w:w="3456"/>
            <w:vAlign w:val="top"/>
            <w:shd w:fill="F5F7FA"/>
          </w:tcPr>
          <w:p>
            <w:pPr>
              <w:spacing w:after="0"/>
            </w:pPr>
            <w:r/>
            <w:r>
              <w:rPr>
                <w:rFonts w:ascii="Aptos" w:hAnsi="Aptos"/>
                <w:b w:val="0"/>
                <w:sz w:val="16"/>
              </w:rPr>
              <w:t>Algo safety controls may slow pro users.</w:t>
            </w:r>
          </w:p>
        </w:tc>
        <w:tc>
          <w:tcPr>
            <w:tcW w:type="dxa" w:w="7056"/>
            <w:vAlign w:val="top"/>
            <w:shd w:fill="F5F7FA"/>
          </w:tcPr>
          <w:p>
            <w:pPr>
              <w:spacing w:after="0"/>
            </w:pPr>
            <w:r/>
            <w:r>
              <w:rPr>
                <w:rFonts w:ascii="Aptos" w:hAnsi="Aptos"/>
                <w:b w:val="0"/>
                <w:sz w:val="16"/>
              </w:rPr>
              <w:t>Make controls configurable but default-safe, with pro override and risk limits.</w:t>
            </w:r>
          </w:p>
        </w:tc>
      </w:tr>
      <w:tr>
        <w:tc>
          <w:tcPr>
            <w:tcW w:type="dxa" w:w="3456"/>
            <w:vAlign w:val="top"/>
          </w:tcPr>
          <w:p>
            <w:pPr>
              <w:spacing w:after="0"/>
            </w:pPr>
            <w:r/>
            <w:r>
              <w:rPr>
                <w:rFonts w:ascii="Aptos" w:hAnsi="Aptos"/>
                <w:b w:val="0"/>
                <w:sz w:val="16"/>
              </w:rPr>
              <w:t>This is too trust-focused for a growth role.</w:t>
            </w:r>
          </w:p>
        </w:tc>
        <w:tc>
          <w:tcPr>
            <w:tcW w:type="dxa" w:w="7056"/>
            <w:vAlign w:val="top"/>
          </w:tcPr>
          <w:p>
            <w:pPr>
              <w:spacing w:after="0"/>
            </w:pPr>
            <w:r/>
            <w:r>
              <w:rPr>
                <w:rFonts w:ascii="Aptos" w:hAnsi="Aptos"/>
                <w:b w:val="0"/>
                <w:sz w:val="16"/>
              </w:rPr>
              <w:t>Trust is growth in financial products; funded retention depends on confidence during stressful moments.</w:t>
            </w:r>
          </w:p>
        </w:tc>
      </w:tr>
    </w:tbl>
    <w:p/>
    <w:p>
      <w:pPr>
        <w:pStyle w:val="Heading1"/>
      </w:pPr>
      <w:r>
        <w:t>15. Interview strategy</w:t>
      </w:r>
    </w:p>
    <w:p>
      <w:r>
        <w:t>The candidate should speak like a PM, not like a researcher dumping facts. The strongest opening line is:</w:t>
      </w:r>
    </w:p>
    <w:p>
      <w:pPr>
        <w:spacing w:before="100" w:after="140"/>
      </w:pPr>
      <w:r>
        <w:rPr>
          <w:b/>
          <w:color w:val="172639"/>
          <w:sz w:val="24"/>
        </w:rPr>
        <w:t>Delta has assembled an automation-first derivatives stack. I believe the next moat is not one more trading feature; it is an explainability layer that makes every trade, fee, withdrawal and algo decision auditable to the user.</w:t>
      </w:r>
    </w:p>
    <w:p>
      <w:pPr>
        <w:pStyle w:val="Heading2"/>
      </w:pPr>
      <w:r>
        <w:t>Questions to ask Delta</w:t>
      </w:r>
    </w:p>
    <w:p>
      <w:pPr>
        <w:pStyle w:val="ListBullet"/>
        <w:spacing w:after="40"/>
      </w:pPr>
      <w:r>
        <w:t>Which surface drives the highest retained funded trader rate: native terminal, TradingView, API, bot or Marketplace?</w:t>
      </w:r>
    </w:p>
    <w:p>
      <w:pPr>
        <w:pStyle w:val="ListBullet"/>
        <w:spacing w:after="40"/>
      </w:pPr>
      <w:r>
        <w:t>What percentage of support tickets involve order state, stop-loss, liquidation, P&amp;L or withdrawals?</w:t>
      </w:r>
    </w:p>
    <w:p>
      <w:pPr>
        <w:pStyle w:val="ListBullet"/>
        <w:spacing w:after="40"/>
      </w:pPr>
      <w:r>
        <w:t>How does Delta measure stale market data and client-versus-server state divergence?</w:t>
      </w:r>
    </w:p>
    <w:p>
      <w:pPr>
        <w:pStyle w:val="ListBullet"/>
        <w:spacing w:after="40"/>
      </w:pPr>
      <w:r>
        <w:t>What is the automated versus manual withdrawal split, and what drives manual audits?</w:t>
      </w:r>
    </w:p>
    <w:p>
      <w:pPr>
        <w:pStyle w:val="ListBullet"/>
        <w:spacing w:after="40"/>
      </w:pPr>
      <w:r>
        <w:t>How is spot availability and custody structured by entity and user geography?</w:t>
      </w:r>
    </w:p>
    <w:p>
      <w:pPr>
        <w:pStyle w:val="ListBullet"/>
        <w:spacing w:after="40"/>
      </w:pPr>
      <w:r>
        <w:t>Which Marketplace performance metrics are backtest, paper or live capital?</w:t>
      </w:r>
    </w:p>
    <w:p>
      <w:pPr>
        <w:pStyle w:val="ListBullet"/>
        <w:spacing w:after="40"/>
      </w:pPr>
      <w:r>
        <w:t>What incident-communication SLA exists during volatile markets?</w:t>
      </w:r>
    </w:p>
    <w:p>
      <w:pPr>
        <w:pStyle w:val="ListBullet"/>
        <w:spacing w:after="40"/>
      </w:pPr>
      <w:r>
        <w:t>What is the biggest constraint on Algo Business growth: trust, activation, reliability, liquidity or discovery?</w:t>
      </w:r>
    </w:p>
    <w:p>
      <w:pPr>
        <w:pStyle w:val="Heading1"/>
      </w:pPr>
      <w:r>
        <w:t>16. Limitations and unknowns</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top"/>
            <w:shd w:fill="24364B"/>
          </w:tcPr>
          <w:p>
            <w:pPr>
              <w:spacing w:after="0"/>
            </w:pPr>
            <w:r/>
            <w:r>
              <w:rPr>
                <w:rFonts w:ascii="Aptos" w:hAnsi="Aptos"/>
                <w:b/>
                <w:color w:val="FFFFFF"/>
                <w:sz w:val="16"/>
              </w:rPr>
              <w:t>Unknown</w:t>
            </w:r>
          </w:p>
        </w:tc>
        <w:tc>
          <w:tcPr>
            <w:tcW w:type="dxa" w:w="4320"/>
            <w:vAlign w:val="top"/>
            <w:shd w:fill="24364B"/>
          </w:tcPr>
          <w:p>
            <w:pPr>
              <w:spacing w:after="0"/>
            </w:pPr>
            <w:r/>
            <w:r>
              <w:rPr>
                <w:rFonts w:ascii="Aptos" w:hAnsi="Aptos"/>
                <w:b/>
                <w:color w:val="FFFFFF"/>
                <w:sz w:val="16"/>
              </w:rPr>
              <w:t>Why it matters</w:t>
            </w:r>
          </w:p>
        </w:tc>
        <w:tc>
          <w:tcPr>
            <w:tcW w:type="dxa" w:w="3168"/>
            <w:vAlign w:val="top"/>
            <w:shd w:fill="24364B"/>
          </w:tcPr>
          <w:p>
            <w:pPr>
              <w:spacing w:after="0"/>
            </w:pPr>
            <w:r/>
            <w:r>
              <w:rPr>
                <w:rFonts w:ascii="Aptos" w:hAnsi="Aptos"/>
                <w:b/>
                <w:color w:val="FFFFFF"/>
                <w:sz w:val="16"/>
              </w:rPr>
              <w:t>How to resolve</w:t>
            </w:r>
          </w:p>
        </w:tc>
      </w:tr>
      <w:tr>
        <w:tc>
          <w:tcPr>
            <w:tcW w:type="dxa" w:w="2880"/>
            <w:vAlign w:val="top"/>
          </w:tcPr>
          <w:p>
            <w:pPr>
              <w:spacing w:after="0"/>
            </w:pPr>
            <w:r/>
            <w:r>
              <w:rPr>
                <w:rFonts w:ascii="Aptos" w:hAnsi="Aptos"/>
                <w:b w:val="0"/>
                <w:sz w:val="16"/>
              </w:rPr>
              <w:t>Exact legal employer for PM role</w:t>
            </w:r>
          </w:p>
        </w:tc>
        <w:tc>
          <w:tcPr>
            <w:tcW w:type="dxa" w:w="4320"/>
            <w:vAlign w:val="top"/>
          </w:tcPr>
          <w:p>
            <w:pPr>
              <w:spacing w:after="0"/>
            </w:pPr>
            <w:r/>
            <w:r>
              <w:rPr>
                <w:rFonts w:ascii="Aptos" w:hAnsi="Aptos"/>
                <w:b w:val="0"/>
                <w:sz w:val="16"/>
              </w:rPr>
              <w:t>Unresolved without job post/internal confirmation</w:t>
            </w:r>
          </w:p>
        </w:tc>
        <w:tc>
          <w:tcPr>
            <w:tcW w:type="dxa" w:w="3168"/>
            <w:vAlign w:val="top"/>
          </w:tcPr>
          <w:p>
            <w:pPr>
              <w:spacing w:after="0"/>
            </w:pPr>
            <w:r/>
            <w:r>
              <w:rPr>
                <w:rFonts w:ascii="Aptos" w:hAnsi="Aptos"/>
                <w:b w:val="0"/>
                <w:sz w:val="16"/>
              </w:rPr>
              <w:t>Ask recruiter; verify entity in offer and JD</w:t>
            </w:r>
          </w:p>
        </w:tc>
      </w:tr>
      <w:tr>
        <w:tc>
          <w:tcPr>
            <w:tcW w:type="dxa" w:w="2880"/>
            <w:vAlign w:val="top"/>
            <w:shd w:fill="F5F7FA"/>
          </w:tcPr>
          <w:p>
            <w:pPr>
              <w:spacing w:after="0"/>
            </w:pPr>
            <w:r/>
            <w:r>
              <w:rPr>
                <w:rFonts w:ascii="Aptos" w:hAnsi="Aptos"/>
                <w:b w:val="0"/>
                <w:sz w:val="16"/>
              </w:rPr>
              <w:t>Spot rollout and custody model by entity</w:t>
            </w:r>
          </w:p>
        </w:tc>
        <w:tc>
          <w:tcPr>
            <w:tcW w:type="dxa" w:w="4320"/>
            <w:vAlign w:val="top"/>
            <w:shd w:fill="F5F7FA"/>
          </w:tcPr>
          <w:p>
            <w:pPr>
              <w:spacing w:after="0"/>
            </w:pPr>
            <w:r/>
            <w:r>
              <w:rPr>
                <w:rFonts w:ascii="Aptos" w:hAnsi="Aptos"/>
                <w:b w:val="0"/>
                <w:sz w:val="16"/>
              </w:rPr>
              <w:t>Public surfaces imply spot/digital assets, but security/help materials need harmonization</w:t>
            </w:r>
          </w:p>
        </w:tc>
        <w:tc>
          <w:tcPr>
            <w:tcW w:type="dxa" w:w="3168"/>
            <w:vAlign w:val="top"/>
            <w:shd w:fill="F5F7FA"/>
          </w:tcPr>
          <w:p>
            <w:pPr>
              <w:spacing w:after="0"/>
            </w:pPr>
            <w:r/>
            <w:r>
              <w:rPr>
                <w:rFonts w:ascii="Aptos" w:hAnsi="Aptos"/>
                <w:b w:val="0"/>
                <w:sz w:val="16"/>
              </w:rPr>
              <w:t>Ask for product availability matrix and custody architecture</w:t>
            </w:r>
          </w:p>
        </w:tc>
      </w:tr>
      <w:tr>
        <w:tc>
          <w:tcPr>
            <w:tcW w:type="dxa" w:w="2880"/>
            <w:vAlign w:val="top"/>
          </w:tcPr>
          <w:p>
            <w:pPr>
              <w:spacing w:after="0"/>
            </w:pPr>
            <w:r/>
            <w:r>
              <w:rPr>
                <w:rFonts w:ascii="Aptos" w:hAnsi="Aptos"/>
                <w:b w:val="0"/>
                <w:sz w:val="16"/>
              </w:rPr>
              <w:t>Liquidity sources and market quality</w:t>
            </w:r>
          </w:p>
        </w:tc>
        <w:tc>
          <w:tcPr>
            <w:tcW w:type="dxa" w:w="4320"/>
            <w:vAlign w:val="top"/>
          </w:tcPr>
          <w:p>
            <w:pPr>
              <w:spacing w:after="0"/>
            </w:pPr>
            <w:r/>
            <w:r>
              <w:rPr>
                <w:rFonts w:ascii="Aptos" w:hAnsi="Aptos"/>
                <w:b w:val="0"/>
                <w:sz w:val="16"/>
              </w:rPr>
              <w:t>Public data insufficient for spread/slippage benchmarking</w:t>
            </w:r>
          </w:p>
        </w:tc>
        <w:tc>
          <w:tcPr>
            <w:tcW w:type="dxa" w:w="3168"/>
            <w:vAlign w:val="top"/>
          </w:tcPr>
          <w:p>
            <w:pPr>
              <w:spacing w:after="0"/>
            </w:pPr>
            <w:r/>
            <w:r>
              <w:rPr>
                <w:rFonts w:ascii="Aptos" w:hAnsi="Aptos"/>
                <w:b w:val="0"/>
                <w:sz w:val="16"/>
              </w:rPr>
              <w:t>Request volume, spread, fill-rate, rejection, liquidation and incident data</w:t>
            </w:r>
          </w:p>
        </w:tc>
      </w:tr>
      <w:tr>
        <w:tc>
          <w:tcPr>
            <w:tcW w:type="dxa" w:w="2880"/>
            <w:vAlign w:val="top"/>
            <w:shd w:fill="F5F7FA"/>
          </w:tcPr>
          <w:p>
            <w:pPr>
              <w:spacing w:after="0"/>
            </w:pPr>
            <w:r/>
            <w:r>
              <w:rPr>
                <w:rFonts w:ascii="Aptos" w:hAnsi="Aptos"/>
                <w:b w:val="0"/>
                <w:sz w:val="16"/>
              </w:rPr>
              <w:t>Support ticket volume by theme</w:t>
            </w:r>
          </w:p>
        </w:tc>
        <w:tc>
          <w:tcPr>
            <w:tcW w:type="dxa" w:w="4320"/>
            <w:vAlign w:val="top"/>
            <w:shd w:fill="F5F7FA"/>
          </w:tcPr>
          <w:p>
            <w:pPr>
              <w:spacing w:after="0"/>
            </w:pPr>
            <w:r/>
            <w:r>
              <w:rPr>
                <w:rFonts w:ascii="Aptos" w:hAnsi="Aptos"/>
                <w:b w:val="0"/>
                <w:sz w:val="16"/>
              </w:rPr>
              <w:t>App reviews suggest themes but cannot quantify prevalence</w:t>
            </w:r>
          </w:p>
        </w:tc>
        <w:tc>
          <w:tcPr>
            <w:tcW w:type="dxa" w:w="3168"/>
            <w:vAlign w:val="top"/>
            <w:shd w:fill="F5F7FA"/>
          </w:tcPr>
          <w:p>
            <w:pPr>
              <w:spacing w:after="0"/>
            </w:pPr>
            <w:r/>
            <w:r>
              <w:rPr>
                <w:rFonts w:ascii="Aptos" w:hAnsi="Aptos"/>
                <w:b w:val="0"/>
                <w:sz w:val="16"/>
              </w:rPr>
              <w:t>Request categorized ticket, complaint and escalation data</w:t>
            </w:r>
          </w:p>
        </w:tc>
      </w:tr>
      <w:tr>
        <w:tc>
          <w:tcPr>
            <w:tcW w:type="dxa" w:w="2880"/>
            <w:vAlign w:val="top"/>
          </w:tcPr>
          <w:p>
            <w:pPr>
              <w:spacing w:after="0"/>
            </w:pPr>
            <w:r/>
            <w:r>
              <w:rPr>
                <w:rFonts w:ascii="Aptos" w:hAnsi="Aptos"/>
                <w:b w:val="0"/>
                <w:sz w:val="16"/>
              </w:rPr>
              <w:t>Retention by product surface</w:t>
            </w:r>
          </w:p>
        </w:tc>
        <w:tc>
          <w:tcPr>
            <w:tcW w:type="dxa" w:w="4320"/>
            <w:vAlign w:val="top"/>
          </w:tcPr>
          <w:p>
            <w:pPr>
              <w:spacing w:after="0"/>
            </w:pPr>
            <w:r/>
            <w:r>
              <w:rPr>
                <w:rFonts w:ascii="Aptos" w:hAnsi="Aptos"/>
                <w:b w:val="0"/>
                <w:sz w:val="16"/>
              </w:rPr>
              <w:t>Automation moat is inferred, not internally validated</w:t>
            </w:r>
          </w:p>
        </w:tc>
        <w:tc>
          <w:tcPr>
            <w:tcW w:type="dxa" w:w="3168"/>
            <w:vAlign w:val="top"/>
          </w:tcPr>
          <w:p>
            <w:pPr>
              <w:spacing w:after="0"/>
            </w:pPr>
            <w:r/>
            <w:r>
              <w:rPr>
                <w:rFonts w:ascii="Aptos" w:hAnsi="Aptos"/>
                <w:b w:val="0"/>
                <w:sz w:val="16"/>
              </w:rPr>
              <w:t>Request cohorts by native terminal, TradingView, API, bot and marketplace</w:t>
            </w:r>
          </w:p>
        </w:tc>
      </w:tr>
      <w:tr>
        <w:tc>
          <w:tcPr>
            <w:tcW w:type="dxa" w:w="2880"/>
            <w:vAlign w:val="top"/>
            <w:shd w:fill="F5F7FA"/>
          </w:tcPr>
          <w:p>
            <w:pPr>
              <w:spacing w:after="0"/>
            </w:pPr>
            <w:r/>
            <w:r>
              <w:rPr>
                <w:rFonts w:ascii="Aptos" w:hAnsi="Aptos"/>
                <w:b w:val="0"/>
                <w:sz w:val="16"/>
              </w:rPr>
              <w:t>Security assurance artifacts</w:t>
            </w:r>
          </w:p>
        </w:tc>
        <w:tc>
          <w:tcPr>
            <w:tcW w:type="dxa" w:w="4320"/>
            <w:vAlign w:val="top"/>
            <w:shd w:fill="F5F7FA"/>
          </w:tcPr>
          <w:p>
            <w:pPr>
              <w:spacing w:after="0"/>
            </w:pPr>
            <w:r/>
            <w:r>
              <w:rPr>
                <w:rFonts w:ascii="Aptos" w:hAnsi="Aptos"/>
                <w:b w:val="0"/>
                <w:sz w:val="16"/>
              </w:rPr>
              <w:t>Bug bounty and security claims visible; external audits/custody details not fully known</w:t>
            </w:r>
          </w:p>
        </w:tc>
        <w:tc>
          <w:tcPr>
            <w:tcW w:type="dxa" w:w="3168"/>
            <w:vAlign w:val="top"/>
            <w:shd w:fill="F5F7FA"/>
          </w:tcPr>
          <w:p>
            <w:pPr>
              <w:spacing w:after="0"/>
            </w:pPr>
            <w:r/>
            <w:r>
              <w:rPr>
                <w:rFonts w:ascii="Aptos" w:hAnsi="Aptos"/>
                <w:b w:val="0"/>
                <w:sz w:val="16"/>
              </w:rPr>
              <w:t>Request current audit, incident and custody assurance artifacts</w:t>
            </w:r>
          </w:p>
        </w:tc>
      </w:tr>
    </w:tbl>
    <w:p/>
    <w:p>
      <w:pPr>
        <w:pStyle w:val="Heading1"/>
      </w:pPr>
      <w:r>
        <w:t>17. Final executive memo</w:t>
      </w:r>
    </w:p>
    <w:p>
      <w:r>
        <w:t>If sent to Delta leadership, the work should not be positioned as a complaint list. It should be framed as a product opportunity map for turning Delta's existing strengths into a durable trust and automation advantage.</w:t>
      </w:r>
    </w:p>
    <w:p>
      <w:r>
        <w:t>The first artifact to share should be a short memo or deck, not the entire appendix. The appendix should be offered for scrutiny after the recipient shows interest.</w:t>
      </w:r>
    </w:p>
    <w:p>
      <w:r>
        <w:t>Recommended outreach angle: 'I mapped Delta's public product and user-trust surface and found a way to connect trading integrity, fee/P&amp;L explainability and safer algo deployment into one roadmap. I would value 15 minutes to pressure-test it with your product team.'</w:t>
      </w:r>
    </w:p>
    <w:p>
      <w:pPr>
        <w:pStyle w:val="Heading1"/>
      </w:pPr>
      <w:r>
        <w:t>Source ledger</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576"/>
            <w:vAlign w:val="top"/>
            <w:shd w:fill="24364B"/>
          </w:tcPr>
          <w:p>
            <w:pPr>
              <w:spacing w:after="0"/>
            </w:pPr>
            <w:r/>
            <w:r>
              <w:rPr>
                <w:rFonts w:ascii="Aptos" w:hAnsi="Aptos"/>
                <w:b/>
                <w:color w:val="FFFFFF"/>
                <w:sz w:val="13"/>
              </w:rPr>
              <w:t>Ref</w:t>
            </w:r>
          </w:p>
        </w:tc>
        <w:tc>
          <w:tcPr>
            <w:tcW w:type="dxa" w:w="2592"/>
            <w:vAlign w:val="top"/>
            <w:shd w:fill="24364B"/>
          </w:tcPr>
          <w:p>
            <w:pPr>
              <w:spacing w:after="0"/>
            </w:pPr>
            <w:r/>
            <w:r>
              <w:rPr>
                <w:rFonts w:ascii="Aptos" w:hAnsi="Aptos"/>
                <w:b/>
                <w:color w:val="FFFFFF"/>
                <w:sz w:val="13"/>
              </w:rPr>
              <w:t>Source</w:t>
            </w:r>
          </w:p>
        </w:tc>
        <w:tc>
          <w:tcPr>
            <w:tcW w:type="dxa" w:w="1872"/>
            <w:vAlign w:val="top"/>
            <w:shd w:fill="24364B"/>
          </w:tcPr>
          <w:p>
            <w:pPr>
              <w:spacing w:after="0"/>
            </w:pPr>
            <w:r/>
            <w:r>
              <w:rPr>
                <w:rFonts w:ascii="Aptos" w:hAnsi="Aptos"/>
                <w:b/>
                <w:color w:val="FFFFFF"/>
                <w:sz w:val="13"/>
              </w:rPr>
              <w:t>Type</w:t>
            </w:r>
          </w:p>
        </w:tc>
        <w:tc>
          <w:tcPr>
            <w:tcW w:type="dxa" w:w="3312"/>
            <w:vAlign w:val="top"/>
            <w:shd w:fill="24364B"/>
          </w:tcPr>
          <w:p>
            <w:pPr>
              <w:spacing w:after="0"/>
            </w:pPr>
            <w:r/>
            <w:r>
              <w:rPr>
                <w:rFonts w:ascii="Aptos" w:hAnsi="Aptos"/>
                <w:b/>
                <w:color w:val="FFFFFF"/>
                <w:sz w:val="13"/>
              </w:rPr>
              <w:t>URL</w:t>
            </w:r>
          </w:p>
        </w:tc>
        <w:tc>
          <w:tcPr>
            <w:tcW w:type="dxa" w:w="3312"/>
            <w:vAlign w:val="top"/>
            <w:shd w:fill="24364B"/>
          </w:tcPr>
          <w:p>
            <w:pPr>
              <w:spacing w:after="0"/>
            </w:pPr>
            <w:r/>
            <w:r>
              <w:rPr>
                <w:rFonts w:ascii="Aptos" w:hAnsi="Aptos"/>
                <w:b/>
                <w:color w:val="FFFFFF"/>
                <w:sz w:val="13"/>
              </w:rPr>
              <w:t>Use</w:t>
            </w:r>
          </w:p>
        </w:tc>
      </w:tr>
      <w:tr>
        <w:tc>
          <w:tcPr>
            <w:tcW w:type="dxa" w:w="576"/>
            <w:vAlign w:val="top"/>
          </w:tcPr>
          <w:p>
            <w:pPr>
              <w:spacing w:after="0"/>
            </w:pPr>
            <w:r/>
            <w:r>
              <w:rPr>
                <w:rFonts w:ascii="Aptos" w:hAnsi="Aptos"/>
                <w:b w:val="0"/>
                <w:sz w:val="13"/>
              </w:rPr>
              <w:t>S1</w:t>
            </w:r>
          </w:p>
        </w:tc>
        <w:tc>
          <w:tcPr>
            <w:tcW w:type="dxa" w:w="2592"/>
            <w:vAlign w:val="top"/>
          </w:tcPr>
          <w:p>
            <w:pPr>
              <w:spacing w:after="0"/>
            </w:pPr>
            <w:r/>
            <w:r>
              <w:rPr>
                <w:rFonts w:ascii="Aptos" w:hAnsi="Aptos"/>
                <w:b w:val="0"/>
                <w:sz w:val="13"/>
              </w:rPr>
              <w:t>Delta Exchange Terms of Service</w:t>
            </w:r>
          </w:p>
        </w:tc>
        <w:tc>
          <w:tcPr>
            <w:tcW w:type="dxa" w:w="1872"/>
            <w:vAlign w:val="top"/>
          </w:tcPr>
          <w:p>
            <w:pPr>
              <w:spacing w:after="0"/>
            </w:pPr>
            <w:r/>
            <w:r>
              <w:rPr>
                <w:rFonts w:ascii="Aptos" w:hAnsi="Aptos"/>
                <w:b w:val="0"/>
                <w:sz w:val="13"/>
              </w:rPr>
              <w:t>Official legal terms</w:t>
            </w:r>
          </w:p>
        </w:tc>
        <w:tc>
          <w:tcPr>
            <w:tcW w:type="dxa" w:w="3312"/>
            <w:vAlign w:val="top"/>
          </w:tcPr>
          <w:p>
            <w:pPr>
              <w:spacing w:after="0"/>
            </w:pPr>
            <w:r/>
            <w:r>
              <w:rPr>
                <w:rFonts w:ascii="Aptos" w:hAnsi="Aptos"/>
                <w:b w:val="0"/>
                <w:sz w:val="13"/>
              </w:rPr>
              <w:t>https://www.delta.exchange/terms-of-use</w:t>
            </w:r>
          </w:p>
        </w:tc>
        <w:tc>
          <w:tcPr>
            <w:tcW w:type="dxa" w:w="3312"/>
            <w:vAlign w:val="top"/>
          </w:tcPr>
          <w:p>
            <w:pPr>
              <w:spacing w:after="0"/>
            </w:pPr>
            <w:r/>
            <w:r>
              <w:rPr>
                <w:rFonts w:ascii="Aptos" w:hAnsi="Aptos"/>
                <w:b w:val="0"/>
                <w:sz w:val="13"/>
              </w:rPr>
              <w:t>Defines Excelium Technologies Private Limited, account balance, customer assets, custodial services, digital asset wallets, supported digital assets, product scope, user risks.</w:t>
            </w:r>
          </w:p>
        </w:tc>
      </w:tr>
      <w:tr>
        <w:tc>
          <w:tcPr>
            <w:tcW w:type="dxa" w:w="576"/>
            <w:vAlign w:val="top"/>
            <w:shd w:fill="F5F7FA"/>
          </w:tcPr>
          <w:p>
            <w:pPr>
              <w:spacing w:after="0"/>
            </w:pPr>
            <w:r/>
            <w:r>
              <w:rPr>
                <w:rFonts w:ascii="Aptos" w:hAnsi="Aptos"/>
                <w:b w:val="0"/>
                <w:sz w:val="13"/>
              </w:rPr>
              <w:t>S2</w:t>
            </w:r>
          </w:p>
        </w:tc>
        <w:tc>
          <w:tcPr>
            <w:tcW w:type="dxa" w:w="2592"/>
            <w:vAlign w:val="top"/>
            <w:shd w:fill="F5F7FA"/>
          </w:tcPr>
          <w:p>
            <w:pPr>
              <w:spacing w:after="0"/>
            </w:pPr>
            <w:r/>
            <w:r>
              <w:rPr>
                <w:rFonts w:ascii="Aptos" w:hAnsi="Aptos"/>
                <w:b w:val="0"/>
                <w:sz w:val="13"/>
              </w:rPr>
              <w:t>Delta Exchange Fees</w:t>
            </w:r>
          </w:p>
        </w:tc>
        <w:tc>
          <w:tcPr>
            <w:tcW w:type="dxa" w:w="1872"/>
            <w:vAlign w:val="top"/>
            <w:shd w:fill="F5F7FA"/>
          </w:tcPr>
          <w:p>
            <w:pPr>
              <w:spacing w:after="0"/>
            </w:pPr>
            <w:r/>
            <w:r>
              <w:rPr>
                <w:rFonts w:ascii="Aptos" w:hAnsi="Aptos"/>
                <w:b w:val="0"/>
                <w:sz w:val="13"/>
              </w:rPr>
              <w:t>Official fee schedule</w:t>
            </w:r>
          </w:p>
        </w:tc>
        <w:tc>
          <w:tcPr>
            <w:tcW w:type="dxa" w:w="3312"/>
            <w:vAlign w:val="top"/>
            <w:shd w:fill="F5F7FA"/>
          </w:tcPr>
          <w:p>
            <w:pPr>
              <w:spacing w:after="0"/>
            </w:pPr>
            <w:r/>
            <w:r>
              <w:rPr>
                <w:rFonts w:ascii="Aptos" w:hAnsi="Aptos"/>
                <w:b w:val="0"/>
                <w:sz w:val="13"/>
              </w:rPr>
              <w:t>https://www.delta.exchange/fees</w:t>
            </w:r>
          </w:p>
        </w:tc>
        <w:tc>
          <w:tcPr>
            <w:tcW w:type="dxa" w:w="3312"/>
            <w:vAlign w:val="top"/>
            <w:shd w:fill="F5F7FA"/>
          </w:tcPr>
          <w:p>
            <w:pPr>
              <w:spacing w:after="0"/>
            </w:pPr>
            <w:r/>
            <w:r>
              <w:rPr>
                <w:rFonts w:ascii="Aptos" w:hAnsi="Aptos"/>
                <w:b w:val="0"/>
                <w:sz w:val="13"/>
              </w:rPr>
              <w:t>Shows futures, options, gold/silver and spot fee tables; GST and option fee cap notes; fee calculator examples.</w:t>
            </w:r>
          </w:p>
        </w:tc>
      </w:tr>
      <w:tr>
        <w:tc>
          <w:tcPr>
            <w:tcW w:type="dxa" w:w="576"/>
            <w:vAlign w:val="top"/>
          </w:tcPr>
          <w:p>
            <w:pPr>
              <w:spacing w:after="0"/>
            </w:pPr>
            <w:r/>
            <w:r>
              <w:rPr>
                <w:rFonts w:ascii="Aptos" w:hAnsi="Aptos"/>
                <w:b w:val="0"/>
                <w:sz w:val="13"/>
              </w:rPr>
              <w:t>S3</w:t>
            </w:r>
          </w:p>
        </w:tc>
        <w:tc>
          <w:tcPr>
            <w:tcW w:type="dxa" w:w="2592"/>
            <w:vAlign w:val="top"/>
          </w:tcPr>
          <w:p>
            <w:pPr>
              <w:spacing w:after="0"/>
            </w:pPr>
            <w:r/>
            <w:r>
              <w:rPr>
                <w:rFonts w:ascii="Aptos" w:hAnsi="Aptos"/>
                <w:b w:val="0"/>
                <w:sz w:val="13"/>
              </w:rPr>
              <w:t>Delta Exchange Google Play listing</w:t>
            </w:r>
          </w:p>
        </w:tc>
        <w:tc>
          <w:tcPr>
            <w:tcW w:type="dxa" w:w="1872"/>
            <w:vAlign w:val="top"/>
          </w:tcPr>
          <w:p>
            <w:pPr>
              <w:spacing w:after="0"/>
            </w:pPr>
            <w:r/>
            <w:r>
              <w:rPr>
                <w:rFonts w:ascii="Aptos" w:hAnsi="Aptos"/>
                <w:b w:val="0"/>
                <w:sz w:val="13"/>
              </w:rPr>
              <w:t>Official app listing</w:t>
            </w:r>
          </w:p>
        </w:tc>
        <w:tc>
          <w:tcPr>
            <w:tcW w:type="dxa" w:w="3312"/>
            <w:vAlign w:val="top"/>
          </w:tcPr>
          <w:p>
            <w:pPr>
              <w:spacing w:after="0"/>
            </w:pPr>
            <w:r/>
            <w:r>
              <w:rPr>
                <w:rFonts w:ascii="Aptos" w:hAnsi="Aptos"/>
                <w:b w:val="0"/>
                <w:sz w:val="13"/>
              </w:rPr>
              <w:t>https://play.google.com/store/apps/details?id=com.deltaexchangeindia&amp;hl=en</w:t>
            </w:r>
          </w:p>
        </w:tc>
        <w:tc>
          <w:tcPr>
            <w:tcW w:type="dxa" w:w="3312"/>
            <w:vAlign w:val="top"/>
          </w:tcPr>
          <w:p>
            <w:pPr>
              <w:spacing w:after="0"/>
            </w:pPr>
            <w:r/>
            <w:r>
              <w:rPr>
                <w:rFonts w:ascii="Aptos" w:hAnsi="Aptos"/>
                <w:b w:val="0"/>
                <w:sz w:val="13"/>
              </w:rPr>
              <w:t>Public acquisition surface for Android app; lists app proposition and product claims.</w:t>
            </w:r>
          </w:p>
        </w:tc>
      </w:tr>
      <w:tr>
        <w:tc>
          <w:tcPr>
            <w:tcW w:type="dxa" w:w="576"/>
            <w:vAlign w:val="top"/>
            <w:shd w:fill="F5F7FA"/>
          </w:tcPr>
          <w:p>
            <w:pPr>
              <w:spacing w:after="0"/>
            </w:pPr>
            <w:r/>
            <w:r>
              <w:rPr>
                <w:rFonts w:ascii="Aptos" w:hAnsi="Aptos"/>
                <w:b w:val="0"/>
                <w:sz w:val="13"/>
              </w:rPr>
              <w:t>S4</w:t>
            </w:r>
          </w:p>
        </w:tc>
        <w:tc>
          <w:tcPr>
            <w:tcW w:type="dxa" w:w="2592"/>
            <w:vAlign w:val="top"/>
            <w:shd w:fill="F5F7FA"/>
          </w:tcPr>
          <w:p>
            <w:pPr>
              <w:spacing w:after="0"/>
            </w:pPr>
            <w:r/>
            <w:r>
              <w:rPr>
                <w:rFonts w:ascii="Aptos" w:hAnsi="Aptos"/>
                <w:b w:val="0"/>
                <w:sz w:val="13"/>
              </w:rPr>
              <w:t>Delta Exchange API Copilot guide</w:t>
            </w:r>
          </w:p>
        </w:tc>
        <w:tc>
          <w:tcPr>
            <w:tcW w:type="dxa" w:w="1872"/>
            <w:vAlign w:val="top"/>
            <w:shd w:fill="F5F7FA"/>
          </w:tcPr>
          <w:p>
            <w:pPr>
              <w:spacing w:after="0"/>
            </w:pPr>
            <w:r/>
            <w:r>
              <w:rPr>
                <w:rFonts w:ascii="Aptos" w:hAnsi="Aptos"/>
                <w:b w:val="0"/>
                <w:sz w:val="13"/>
              </w:rPr>
              <w:t>Official help article</w:t>
            </w:r>
          </w:p>
        </w:tc>
        <w:tc>
          <w:tcPr>
            <w:tcW w:type="dxa" w:w="3312"/>
            <w:vAlign w:val="top"/>
            <w:shd w:fill="F5F7FA"/>
          </w:tcPr>
          <w:p>
            <w:pPr>
              <w:spacing w:after="0"/>
            </w:pPr>
            <w:r/>
            <w:r>
              <w:rPr>
                <w:rFonts w:ascii="Aptos" w:hAnsi="Aptos"/>
                <w:b w:val="0"/>
                <w:sz w:val="13"/>
              </w:rPr>
              <w:t>https://www.delta.exchange/support/solutions/articles/80001181136-getting-started-with-delta-exchange-api-copilot</w:t>
            </w:r>
          </w:p>
        </w:tc>
        <w:tc>
          <w:tcPr>
            <w:tcW w:type="dxa" w:w="3312"/>
            <w:vAlign w:val="top"/>
            <w:shd w:fill="F5F7FA"/>
          </w:tcPr>
          <w:p>
            <w:pPr>
              <w:spacing w:after="0"/>
            </w:pPr>
            <w:r/>
            <w:r>
              <w:rPr>
                <w:rFonts w:ascii="Aptos" w:hAnsi="Aptos"/>
                <w:b w:val="0"/>
                <w:sz w:val="13"/>
              </w:rPr>
              <w:t>Explains AI API Copilot, limitations, code generation and non-monitoring caveats.</w:t>
            </w:r>
          </w:p>
        </w:tc>
      </w:tr>
      <w:tr>
        <w:tc>
          <w:tcPr>
            <w:tcW w:type="dxa" w:w="576"/>
            <w:vAlign w:val="top"/>
          </w:tcPr>
          <w:p>
            <w:pPr>
              <w:spacing w:after="0"/>
            </w:pPr>
            <w:r/>
            <w:r>
              <w:rPr>
                <w:rFonts w:ascii="Aptos" w:hAnsi="Aptos"/>
                <w:b w:val="0"/>
                <w:sz w:val="13"/>
              </w:rPr>
              <w:t>S5</w:t>
            </w:r>
          </w:p>
        </w:tc>
        <w:tc>
          <w:tcPr>
            <w:tcW w:type="dxa" w:w="2592"/>
            <w:vAlign w:val="top"/>
          </w:tcPr>
          <w:p>
            <w:pPr>
              <w:spacing w:after="0"/>
            </w:pPr>
            <w:r/>
            <w:r>
              <w:rPr>
                <w:rFonts w:ascii="Aptos" w:hAnsi="Aptos"/>
                <w:b w:val="0"/>
                <w:sz w:val="13"/>
              </w:rPr>
              <w:t>Delta Exchange Algo Marketplace guide</w:t>
            </w:r>
          </w:p>
        </w:tc>
        <w:tc>
          <w:tcPr>
            <w:tcW w:type="dxa" w:w="1872"/>
            <w:vAlign w:val="top"/>
          </w:tcPr>
          <w:p>
            <w:pPr>
              <w:spacing w:after="0"/>
            </w:pPr>
            <w:r/>
            <w:r>
              <w:rPr>
                <w:rFonts w:ascii="Aptos" w:hAnsi="Aptos"/>
                <w:b w:val="0"/>
                <w:sz w:val="13"/>
              </w:rPr>
              <w:t>Official help article</w:t>
            </w:r>
          </w:p>
        </w:tc>
        <w:tc>
          <w:tcPr>
            <w:tcW w:type="dxa" w:w="3312"/>
            <w:vAlign w:val="top"/>
          </w:tcPr>
          <w:p>
            <w:pPr>
              <w:spacing w:after="0"/>
            </w:pPr>
            <w:r/>
            <w:r>
              <w:rPr>
                <w:rFonts w:ascii="Aptos" w:hAnsi="Aptos"/>
                <w:b w:val="0"/>
                <w:sz w:val="13"/>
              </w:rPr>
              <w:t>https://www.delta.exchange/support/solutions/articles/80001185498-how-algo-marketplace-works-on-delta-exchange</w:t>
            </w:r>
          </w:p>
        </w:tc>
        <w:tc>
          <w:tcPr>
            <w:tcW w:type="dxa" w:w="3312"/>
            <w:vAlign w:val="top"/>
          </w:tcPr>
          <w:p>
            <w:pPr>
              <w:spacing w:after="0"/>
            </w:pPr>
            <w:r/>
            <w:r>
              <w:rPr>
                <w:rFonts w:ascii="Aptos" w:hAnsi="Aptos"/>
                <w:b w:val="0"/>
                <w:sz w:val="13"/>
              </w:rPr>
              <w:t>Explains bot marketplace, algo cards, strategy selection and public marketplace flow.</w:t>
            </w:r>
          </w:p>
        </w:tc>
      </w:tr>
      <w:tr>
        <w:tc>
          <w:tcPr>
            <w:tcW w:type="dxa" w:w="576"/>
            <w:vAlign w:val="top"/>
            <w:shd w:fill="F5F7FA"/>
          </w:tcPr>
          <w:p>
            <w:pPr>
              <w:spacing w:after="0"/>
            </w:pPr>
            <w:r/>
            <w:r>
              <w:rPr>
                <w:rFonts w:ascii="Aptos" w:hAnsi="Aptos"/>
                <w:b w:val="0"/>
                <w:sz w:val="13"/>
              </w:rPr>
              <w:t>S6</w:t>
            </w:r>
          </w:p>
        </w:tc>
        <w:tc>
          <w:tcPr>
            <w:tcW w:type="dxa" w:w="2592"/>
            <w:vAlign w:val="top"/>
            <w:shd w:fill="F5F7FA"/>
          </w:tcPr>
          <w:p>
            <w:pPr>
              <w:spacing w:after="0"/>
            </w:pPr>
            <w:r/>
            <w:r>
              <w:rPr>
                <w:rFonts w:ascii="Aptos" w:hAnsi="Aptos"/>
                <w:b w:val="0"/>
                <w:sz w:val="13"/>
              </w:rPr>
              <w:t>Delta Exchange TradingView integration guide</w:t>
            </w:r>
          </w:p>
        </w:tc>
        <w:tc>
          <w:tcPr>
            <w:tcW w:type="dxa" w:w="1872"/>
            <w:vAlign w:val="top"/>
            <w:shd w:fill="F5F7FA"/>
          </w:tcPr>
          <w:p>
            <w:pPr>
              <w:spacing w:after="0"/>
            </w:pPr>
            <w:r/>
            <w:r>
              <w:rPr>
                <w:rFonts w:ascii="Aptos" w:hAnsi="Aptos"/>
                <w:b w:val="0"/>
                <w:sz w:val="13"/>
              </w:rPr>
              <w:t>Official help article</w:t>
            </w:r>
          </w:p>
        </w:tc>
        <w:tc>
          <w:tcPr>
            <w:tcW w:type="dxa" w:w="3312"/>
            <w:vAlign w:val="top"/>
            <w:shd w:fill="F5F7FA"/>
          </w:tcPr>
          <w:p>
            <w:pPr>
              <w:spacing w:after="0"/>
            </w:pPr>
            <w:r/>
            <w:r>
              <w:rPr>
                <w:rFonts w:ascii="Aptos" w:hAnsi="Aptos"/>
                <w:b w:val="0"/>
                <w:sz w:val="13"/>
              </w:rPr>
              <w:t>https://www.delta.exchange/support/solutions?articleId=80001202943&amp;categoryId=80000465903&amp;folderId=80000730458</w:t>
            </w:r>
          </w:p>
        </w:tc>
        <w:tc>
          <w:tcPr>
            <w:tcW w:type="dxa" w:w="3312"/>
            <w:vAlign w:val="top"/>
            <w:shd w:fill="F5F7FA"/>
          </w:tcPr>
          <w:p>
            <w:pPr>
              <w:spacing w:after="0"/>
            </w:pPr>
            <w:r/>
            <w:r>
              <w:rPr>
                <w:rFonts w:ascii="Aptos" w:hAnsi="Aptos"/>
                <w:b w:val="0"/>
                <w:sz w:val="13"/>
              </w:rPr>
              <w:t>Explains Delta x TradingView broker panel integration and execution flow.</w:t>
            </w:r>
          </w:p>
        </w:tc>
      </w:tr>
      <w:tr>
        <w:tc>
          <w:tcPr>
            <w:tcW w:type="dxa" w:w="576"/>
            <w:vAlign w:val="top"/>
          </w:tcPr>
          <w:p>
            <w:pPr>
              <w:spacing w:after="0"/>
            </w:pPr>
            <w:r/>
            <w:r>
              <w:rPr>
                <w:rFonts w:ascii="Aptos" w:hAnsi="Aptos"/>
                <w:b w:val="0"/>
                <w:sz w:val="13"/>
              </w:rPr>
              <w:t>S7</w:t>
            </w:r>
          </w:p>
        </w:tc>
        <w:tc>
          <w:tcPr>
            <w:tcW w:type="dxa" w:w="2592"/>
            <w:vAlign w:val="top"/>
          </w:tcPr>
          <w:p>
            <w:pPr>
              <w:spacing w:after="0"/>
            </w:pPr>
            <w:r/>
            <w:r>
              <w:rPr>
                <w:rFonts w:ascii="Aptos" w:hAnsi="Aptos"/>
                <w:b w:val="0"/>
                <w:sz w:val="13"/>
              </w:rPr>
              <w:t>Delta Exchange security help article</w:t>
            </w:r>
          </w:p>
        </w:tc>
        <w:tc>
          <w:tcPr>
            <w:tcW w:type="dxa" w:w="1872"/>
            <w:vAlign w:val="top"/>
          </w:tcPr>
          <w:p>
            <w:pPr>
              <w:spacing w:after="0"/>
            </w:pPr>
            <w:r/>
            <w:r>
              <w:rPr>
                <w:rFonts w:ascii="Aptos" w:hAnsi="Aptos"/>
                <w:b w:val="0"/>
                <w:sz w:val="13"/>
              </w:rPr>
              <w:t>Official help article</w:t>
            </w:r>
          </w:p>
        </w:tc>
        <w:tc>
          <w:tcPr>
            <w:tcW w:type="dxa" w:w="3312"/>
            <w:vAlign w:val="top"/>
          </w:tcPr>
          <w:p>
            <w:pPr>
              <w:spacing w:after="0"/>
            </w:pPr>
            <w:r/>
            <w:r>
              <w:rPr>
                <w:rFonts w:ascii="Aptos" w:hAnsi="Aptos"/>
                <w:b w:val="0"/>
                <w:sz w:val="13"/>
              </w:rPr>
              <w:t>https://www.delta.exchange/support/solutions/articles/80001132538-how-does-the-platform-secure-my-account-and-funds-</w:t>
            </w:r>
          </w:p>
        </w:tc>
        <w:tc>
          <w:tcPr>
            <w:tcW w:type="dxa" w:w="3312"/>
            <w:vAlign w:val="top"/>
          </w:tcPr>
          <w:p>
            <w:pPr>
              <w:spacing w:after="0"/>
            </w:pPr>
            <w:r/>
            <w:r>
              <w:rPr>
                <w:rFonts w:ascii="Aptos" w:hAnsi="Aptos"/>
                <w:b w:val="0"/>
                <w:sz w:val="13"/>
              </w:rPr>
              <w:t>Describes account/fund security posture; this should be reconciled with spot/custody language.</w:t>
            </w:r>
          </w:p>
        </w:tc>
      </w:tr>
      <w:tr>
        <w:tc>
          <w:tcPr>
            <w:tcW w:type="dxa" w:w="576"/>
            <w:vAlign w:val="top"/>
            <w:shd w:fill="F5F7FA"/>
          </w:tcPr>
          <w:p>
            <w:pPr>
              <w:spacing w:after="0"/>
            </w:pPr>
            <w:r/>
            <w:r>
              <w:rPr>
                <w:rFonts w:ascii="Aptos" w:hAnsi="Aptos"/>
                <w:b w:val="0"/>
                <w:sz w:val="13"/>
              </w:rPr>
              <w:t>S8</w:t>
            </w:r>
          </w:p>
        </w:tc>
        <w:tc>
          <w:tcPr>
            <w:tcW w:type="dxa" w:w="2592"/>
            <w:vAlign w:val="top"/>
            <w:shd w:fill="F5F7FA"/>
          </w:tcPr>
          <w:p>
            <w:pPr>
              <w:spacing w:after="0"/>
            </w:pPr>
            <w:r/>
            <w:r>
              <w:rPr>
                <w:rFonts w:ascii="Aptos" w:hAnsi="Aptos"/>
                <w:b w:val="0"/>
                <w:sz w:val="13"/>
              </w:rPr>
              <w:t>Delta Exchange bug bounty program</w:t>
            </w:r>
          </w:p>
        </w:tc>
        <w:tc>
          <w:tcPr>
            <w:tcW w:type="dxa" w:w="1872"/>
            <w:vAlign w:val="top"/>
            <w:shd w:fill="F5F7FA"/>
          </w:tcPr>
          <w:p>
            <w:pPr>
              <w:spacing w:after="0"/>
            </w:pPr>
            <w:r/>
            <w:r>
              <w:rPr>
                <w:rFonts w:ascii="Aptos" w:hAnsi="Aptos"/>
                <w:b w:val="0"/>
                <w:sz w:val="13"/>
              </w:rPr>
              <w:t>Official security program</w:t>
            </w:r>
          </w:p>
        </w:tc>
        <w:tc>
          <w:tcPr>
            <w:tcW w:type="dxa" w:w="3312"/>
            <w:vAlign w:val="top"/>
            <w:shd w:fill="F5F7FA"/>
          </w:tcPr>
          <w:p>
            <w:pPr>
              <w:spacing w:after="0"/>
            </w:pPr>
            <w:r/>
            <w:r>
              <w:rPr>
                <w:rFonts w:ascii="Aptos" w:hAnsi="Aptos"/>
                <w:b w:val="0"/>
                <w:sz w:val="13"/>
              </w:rPr>
              <w:t>https://www.delta.exchange/bug-bounty-program</w:t>
            </w:r>
          </w:p>
        </w:tc>
        <w:tc>
          <w:tcPr>
            <w:tcW w:type="dxa" w:w="3312"/>
            <w:vAlign w:val="top"/>
            <w:shd w:fill="F5F7FA"/>
          </w:tcPr>
          <w:p>
            <w:pPr>
              <w:spacing w:after="0"/>
            </w:pPr>
            <w:r/>
            <w:r>
              <w:rPr>
                <w:rFonts w:ascii="Aptos" w:hAnsi="Aptos"/>
                <w:b w:val="0"/>
                <w:sz w:val="13"/>
              </w:rPr>
              <w:t>Public responsible-disclosure program and eligible scope.</w:t>
            </w:r>
          </w:p>
        </w:tc>
      </w:tr>
      <w:tr>
        <w:tc>
          <w:tcPr>
            <w:tcW w:type="dxa" w:w="576"/>
            <w:vAlign w:val="top"/>
          </w:tcPr>
          <w:p>
            <w:pPr>
              <w:spacing w:after="0"/>
            </w:pPr>
            <w:r/>
            <w:r>
              <w:rPr>
                <w:rFonts w:ascii="Aptos" w:hAnsi="Aptos"/>
                <w:b w:val="0"/>
                <w:sz w:val="13"/>
              </w:rPr>
              <w:t>S9</w:t>
            </w:r>
          </w:p>
        </w:tc>
        <w:tc>
          <w:tcPr>
            <w:tcW w:type="dxa" w:w="2592"/>
            <w:vAlign w:val="top"/>
          </w:tcPr>
          <w:p>
            <w:pPr>
              <w:spacing w:after="0"/>
            </w:pPr>
            <w:r/>
            <w:r>
              <w:rPr>
                <w:rFonts w:ascii="Aptos" w:hAnsi="Aptos"/>
                <w:b w:val="0"/>
                <w:sz w:val="13"/>
              </w:rPr>
              <w:t>Delta Exchange withdrawal timeline/manual audit article</w:t>
            </w:r>
          </w:p>
        </w:tc>
        <w:tc>
          <w:tcPr>
            <w:tcW w:type="dxa" w:w="1872"/>
            <w:vAlign w:val="top"/>
          </w:tcPr>
          <w:p>
            <w:pPr>
              <w:spacing w:after="0"/>
            </w:pPr>
            <w:r/>
            <w:r>
              <w:rPr>
                <w:rFonts w:ascii="Aptos" w:hAnsi="Aptos"/>
                <w:b w:val="0"/>
                <w:sz w:val="13"/>
              </w:rPr>
              <w:t>Official help article</w:t>
            </w:r>
          </w:p>
        </w:tc>
        <w:tc>
          <w:tcPr>
            <w:tcW w:type="dxa" w:w="3312"/>
            <w:vAlign w:val="top"/>
          </w:tcPr>
          <w:p>
            <w:pPr>
              <w:spacing w:after="0"/>
            </w:pPr>
            <w:r/>
            <w:r>
              <w:rPr>
                <w:rFonts w:ascii="Aptos" w:hAnsi="Aptos"/>
                <w:b w:val="0"/>
                <w:sz w:val="13"/>
              </w:rPr>
              <w:t>https://www.delta.exchange/support/solutions/articles/80001177982-understanding-withdrawal-timelines-and-manual-audits-at-delta-exchange</w:t>
            </w:r>
          </w:p>
        </w:tc>
        <w:tc>
          <w:tcPr>
            <w:tcW w:type="dxa" w:w="3312"/>
            <w:vAlign w:val="top"/>
          </w:tcPr>
          <w:p>
            <w:pPr>
              <w:spacing w:after="0"/>
            </w:pPr>
            <w:r/>
            <w:r>
              <w:rPr>
                <w:rFonts w:ascii="Aptos" w:hAnsi="Aptos"/>
                <w:b w:val="0"/>
                <w:sz w:val="13"/>
              </w:rPr>
              <w:t>Explains manual audit and withdrawal status logic.</w:t>
            </w:r>
          </w:p>
        </w:tc>
      </w:tr>
      <w:tr>
        <w:tc>
          <w:tcPr>
            <w:tcW w:type="dxa" w:w="576"/>
            <w:vAlign w:val="top"/>
            <w:shd w:fill="F5F7FA"/>
          </w:tcPr>
          <w:p>
            <w:pPr>
              <w:spacing w:after="0"/>
            </w:pPr>
            <w:r/>
            <w:r>
              <w:rPr>
                <w:rFonts w:ascii="Aptos" w:hAnsi="Aptos"/>
                <w:b w:val="0"/>
                <w:sz w:val="13"/>
              </w:rPr>
              <w:t>S10</w:t>
            </w:r>
          </w:p>
        </w:tc>
        <w:tc>
          <w:tcPr>
            <w:tcW w:type="dxa" w:w="2592"/>
            <w:vAlign w:val="top"/>
            <w:shd w:fill="F5F7FA"/>
          </w:tcPr>
          <w:p>
            <w:pPr>
              <w:spacing w:after="0"/>
            </w:pPr>
            <w:r/>
            <w:r>
              <w:rPr>
                <w:rFonts w:ascii="Aptos" w:hAnsi="Aptos"/>
                <w:b w:val="0"/>
                <w:sz w:val="13"/>
              </w:rPr>
              <w:t>Delta Exchange Apple App Store reviews</w:t>
            </w:r>
          </w:p>
        </w:tc>
        <w:tc>
          <w:tcPr>
            <w:tcW w:type="dxa" w:w="1872"/>
            <w:vAlign w:val="top"/>
            <w:shd w:fill="F5F7FA"/>
          </w:tcPr>
          <w:p>
            <w:pPr>
              <w:spacing w:after="0"/>
            </w:pPr>
            <w:r/>
            <w:r>
              <w:rPr>
                <w:rFonts w:ascii="Aptos" w:hAnsi="Aptos"/>
                <w:b w:val="0"/>
                <w:sz w:val="13"/>
              </w:rPr>
              <w:t>User-generated review surface</w:t>
            </w:r>
          </w:p>
        </w:tc>
        <w:tc>
          <w:tcPr>
            <w:tcW w:type="dxa" w:w="3312"/>
            <w:vAlign w:val="top"/>
            <w:shd w:fill="F5F7FA"/>
          </w:tcPr>
          <w:p>
            <w:pPr>
              <w:spacing w:after="0"/>
            </w:pPr>
            <w:r/>
            <w:r>
              <w:rPr>
                <w:rFonts w:ascii="Aptos" w:hAnsi="Aptos"/>
                <w:b w:val="0"/>
                <w:sz w:val="13"/>
              </w:rPr>
              <w:t>https://apps.apple.com/in/app/delta-exchange-crypto-options/id6478332344?platform=iphone&amp;see-all=reviews</w:t>
            </w:r>
          </w:p>
        </w:tc>
        <w:tc>
          <w:tcPr>
            <w:tcW w:type="dxa" w:w="3312"/>
            <w:vAlign w:val="top"/>
            <w:shd w:fill="F5F7FA"/>
          </w:tcPr>
          <w:p>
            <w:pPr>
              <w:spacing w:after="0"/>
            </w:pPr>
            <w:r/>
            <w:r>
              <w:rPr>
                <w:rFonts w:ascii="Aptos" w:hAnsi="Aptos"/>
                <w:b w:val="0"/>
                <w:sz w:val="13"/>
              </w:rPr>
              <w:t>User complaints and praise; useful for hypotheses, not prevalence estimates.</w:t>
            </w:r>
          </w:p>
        </w:tc>
      </w:tr>
      <w:tr>
        <w:tc>
          <w:tcPr>
            <w:tcW w:type="dxa" w:w="576"/>
            <w:vAlign w:val="top"/>
          </w:tcPr>
          <w:p>
            <w:pPr>
              <w:spacing w:after="0"/>
            </w:pPr>
            <w:r/>
            <w:r>
              <w:rPr>
                <w:rFonts w:ascii="Aptos" w:hAnsi="Aptos"/>
                <w:b w:val="0"/>
                <w:sz w:val="13"/>
              </w:rPr>
              <w:t>S11</w:t>
            </w:r>
          </w:p>
        </w:tc>
        <w:tc>
          <w:tcPr>
            <w:tcW w:type="dxa" w:w="2592"/>
            <w:vAlign w:val="top"/>
          </w:tcPr>
          <w:p>
            <w:pPr>
              <w:spacing w:after="0"/>
            </w:pPr>
            <w:r/>
            <w:r>
              <w:rPr>
                <w:rFonts w:ascii="Aptos" w:hAnsi="Aptos"/>
                <w:b w:val="0"/>
                <w:sz w:val="13"/>
              </w:rPr>
              <w:t>Pi42 home page</w:t>
            </w:r>
          </w:p>
        </w:tc>
        <w:tc>
          <w:tcPr>
            <w:tcW w:type="dxa" w:w="1872"/>
            <w:vAlign w:val="top"/>
          </w:tcPr>
          <w:p>
            <w:pPr>
              <w:spacing w:after="0"/>
            </w:pPr>
            <w:r/>
            <w:r>
              <w:rPr>
                <w:rFonts w:ascii="Aptos" w:hAnsi="Aptos"/>
                <w:b w:val="0"/>
                <w:sz w:val="13"/>
              </w:rPr>
              <w:t>Competitor site</w:t>
            </w:r>
          </w:p>
        </w:tc>
        <w:tc>
          <w:tcPr>
            <w:tcW w:type="dxa" w:w="3312"/>
            <w:vAlign w:val="top"/>
          </w:tcPr>
          <w:p>
            <w:pPr>
              <w:spacing w:after="0"/>
            </w:pPr>
            <w:r/>
            <w:r>
              <w:rPr>
                <w:rFonts w:ascii="Aptos" w:hAnsi="Aptos"/>
                <w:b w:val="0"/>
                <w:sz w:val="13"/>
              </w:rPr>
              <w:t>https://pi42.com/</w:t>
            </w:r>
          </w:p>
        </w:tc>
        <w:tc>
          <w:tcPr>
            <w:tcW w:type="dxa" w:w="3312"/>
            <w:vAlign w:val="top"/>
          </w:tcPr>
          <w:p>
            <w:pPr>
              <w:spacing w:after="0"/>
            </w:pPr>
            <w:r/>
            <w:r>
              <w:rPr>
                <w:rFonts w:ascii="Aptos" w:hAnsi="Aptos"/>
                <w:b w:val="0"/>
                <w:sz w:val="13"/>
              </w:rPr>
              <w:t>India-focused crypto F&amp;O competitor positioning.</w:t>
            </w:r>
          </w:p>
        </w:tc>
      </w:tr>
      <w:tr>
        <w:tc>
          <w:tcPr>
            <w:tcW w:type="dxa" w:w="576"/>
            <w:vAlign w:val="top"/>
            <w:shd w:fill="F5F7FA"/>
          </w:tcPr>
          <w:p>
            <w:pPr>
              <w:spacing w:after="0"/>
            </w:pPr>
            <w:r/>
            <w:r>
              <w:rPr>
                <w:rFonts w:ascii="Aptos" w:hAnsi="Aptos"/>
                <w:b w:val="0"/>
                <w:sz w:val="13"/>
              </w:rPr>
              <w:t>S12</w:t>
            </w:r>
          </w:p>
        </w:tc>
        <w:tc>
          <w:tcPr>
            <w:tcW w:type="dxa" w:w="2592"/>
            <w:vAlign w:val="top"/>
            <w:shd w:fill="F5F7FA"/>
          </w:tcPr>
          <w:p>
            <w:pPr>
              <w:spacing w:after="0"/>
            </w:pPr>
            <w:r/>
            <w:r>
              <w:rPr>
                <w:rFonts w:ascii="Aptos" w:hAnsi="Aptos"/>
                <w:b w:val="0"/>
                <w:sz w:val="13"/>
              </w:rPr>
              <w:t>Pi42 fee structure</w:t>
            </w:r>
          </w:p>
        </w:tc>
        <w:tc>
          <w:tcPr>
            <w:tcW w:type="dxa" w:w="1872"/>
            <w:vAlign w:val="top"/>
            <w:shd w:fill="F5F7FA"/>
          </w:tcPr>
          <w:p>
            <w:pPr>
              <w:spacing w:after="0"/>
            </w:pPr>
            <w:r/>
            <w:r>
              <w:rPr>
                <w:rFonts w:ascii="Aptos" w:hAnsi="Aptos"/>
                <w:b w:val="0"/>
                <w:sz w:val="13"/>
              </w:rPr>
              <w:t>Competitor fee schedule</w:t>
            </w:r>
          </w:p>
        </w:tc>
        <w:tc>
          <w:tcPr>
            <w:tcW w:type="dxa" w:w="3312"/>
            <w:vAlign w:val="top"/>
            <w:shd w:fill="F5F7FA"/>
          </w:tcPr>
          <w:p>
            <w:pPr>
              <w:spacing w:after="0"/>
            </w:pPr>
            <w:r/>
            <w:r>
              <w:rPr>
                <w:rFonts w:ascii="Aptos" w:hAnsi="Aptos"/>
                <w:b w:val="0"/>
                <w:sz w:val="13"/>
              </w:rPr>
              <w:t>https://pi42.com/fee-structure</w:t>
            </w:r>
          </w:p>
        </w:tc>
        <w:tc>
          <w:tcPr>
            <w:tcW w:type="dxa" w:w="3312"/>
            <w:vAlign w:val="top"/>
            <w:shd w:fill="F5F7FA"/>
          </w:tcPr>
          <w:p>
            <w:pPr>
              <w:spacing w:after="0"/>
            </w:pPr>
            <w:r/>
            <w:r>
              <w:rPr>
                <w:rFonts w:ascii="Aptos" w:hAnsi="Aptos"/>
                <w:b w:val="0"/>
                <w:sz w:val="13"/>
              </w:rPr>
              <w:t>Pi42 public fee comparison source.</w:t>
            </w:r>
          </w:p>
        </w:tc>
      </w:tr>
      <w:tr>
        <w:tc>
          <w:tcPr>
            <w:tcW w:type="dxa" w:w="576"/>
            <w:vAlign w:val="top"/>
          </w:tcPr>
          <w:p>
            <w:pPr>
              <w:spacing w:after="0"/>
            </w:pPr>
            <w:r/>
            <w:r>
              <w:rPr>
                <w:rFonts w:ascii="Aptos" w:hAnsi="Aptos"/>
                <w:b w:val="0"/>
                <w:sz w:val="13"/>
              </w:rPr>
              <w:t>S13</w:t>
            </w:r>
          </w:p>
        </w:tc>
        <w:tc>
          <w:tcPr>
            <w:tcW w:type="dxa" w:w="2592"/>
            <w:vAlign w:val="top"/>
          </w:tcPr>
          <w:p>
            <w:pPr>
              <w:spacing w:after="0"/>
            </w:pPr>
            <w:r/>
            <w:r>
              <w:rPr>
                <w:rFonts w:ascii="Aptos" w:hAnsi="Aptos"/>
                <w:b w:val="0"/>
                <w:sz w:val="13"/>
              </w:rPr>
              <w:t>Mudrex home page</w:t>
            </w:r>
          </w:p>
        </w:tc>
        <w:tc>
          <w:tcPr>
            <w:tcW w:type="dxa" w:w="1872"/>
            <w:vAlign w:val="top"/>
          </w:tcPr>
          <w:p>
            <w:pPr>
              <w:spacing w:after="0"/>
            </w:pPr>
            <w:r/>
            <w:r>
              <w:rPr>
                <w:rFonts w:ascii="Aptos" w:hAnsi="Aptos"/>
                <w:b w:val="0"/>
                <w:sz w:val="13"/>
              </w:rPr>
              <w:t>Competitor site</w:t>
            </w:r>
          </w:p>
        </w:tc>
        <w:tc>
          <w:tcPr>
            <w:tcW w:type="dxa" w:w="3312"/>
            <w:vAlign w:val="top"/>
          </w:tcPr>
          <w:p>
            <w:pPr>
              <w:spacing w:after="0"/>
            </w:pPr>
            <w:r/>
            <w:r>
              <w:rPr>
                <w:rFonts w:ascii="Aptos" w:hAnsi="Aptos"/>
                <w:b w:val="0"/>
                <w:sz w:val="13"/>
              </w:rPr>
              <w:t>https://mudrex.com/</w:t>
            </w:r>
          </w:p>
        </w:tc>
        <w:tc>
          <w:tcPr>
            <w:tcW w:type="dxa" w:w="3312"/>
            <w:vAlign w:val="top"/>
          </w:tcPr>
          <w:p>
            <w:pPr>
              <w:spacing w:after="0"/>
            </w:pPr>
            <w:r/>
            <w:r>
              <w:rPr>
                <w:rFonts w:ascii="Aptos" w:hAnsi="Aptos"/>
                <w:b w:val="0"/>
                <w:sz w:val="13"/>
              </w:rPr>
              <w:t>Broader India crypto platform positioning and public claims.</w:t>
            </w:r>
          </w:p>
        </w:tc>
      </w:tr>
      <w:tr>
        <w:tc>
          <w:tcPr>
            <w:tcW w:type="dxa" w:w="576"/>
            <w:vAlign w:val="top"/>
            <w:shd w:fill="F5F7FA"/>
          </w:tcPr>
          <w:p>
            <w:pPr>
              <w:spacing w:after="0"/>
            </w:pPr>
            <w:r/>
            <w:r>
              <w:rPr>
                <w:rFonts w:ascii="Aptos" w:hAnsi="Aptos"/>
                <w:b w:val="0"/>
                <w:sz w:val="13"/>
              </w:rPr>
              <w:t>S14</w:t>
            </w:r>
          </w:p>
        </w:tc>
        <w:tc>
          <w:tcPr>
            <w:tcW w:type="dxa" w:w="2592"/>
            <w:vAlign w:val="top"/>
            <w:shd w:fill="F5F7FA"/>
          </w:tcPr>
          <w:p>
            <w:pPr>
              <w:spacing w:after="0"/>
            </w:pPr>
            <w:r/>
            <w:r>
              <w:rPr>
                <w:rFonts w:ascii="Aptos" w:hAnsi="Aptos"/>
                <w:b w:val="0"/>
                <w:sz w:val="13"/>
              </w:rPr>
              <w:t>Mudrex Futures</w:t>
            </w:r>
          </w:p>
        </w:tc>
        <w:tc>
          <w:tcPr>
            <w:tcW w:type="dxa" w:w="1872"/>
            <w:vAlign w:val="top"/>
            <w:shd w:fill="F5F7FA"/>
          </w:tcPr>
          <w:p>
            <w:pPr>
              <w:spacing w:after="0"/>
            </w:pPr>
            <w:r/>
            <w:r>
              <w:rPr>
                <w:rFonts w:ascii="Aptos" w:hAnsi="Aptos"/>
                <w:b w:val="0"/>
                <w:sz w:val="13"/>
              </w:rPr>
              <w:t>Competitor product page</w:t>
            </w:r>
          </w:p>
        </w:tc>
        <w:tc>
          <w:tcPr>
            <w:tcW w:type="dxa" w:w="3312"/>
            <w:vAlign w:val="top"/>
            <w:shd w:fill="F5F7FA"/>
          </w:tcPr>
          <w:p>
            <w:pPr>
              <w:spacing w:after="0"/>
            </w:pPr>
            <w:r/>
            <w:r>
              <w:rPr>
                <w:rFonts w:ascii="Aptos" w:hAnsi="Aptos"/>
                <w:b w:val="0"/>
                <w:sz w:val="13"/>
              </w:rPr>
              <w:t>https://mudrex.com/futures</w:t>
            </w:r>
          </w:p>
        </w:tc>
        <w:tc>
          <w:tcPr>
            <w:tcW w:type="dxa" w:w="3312"/>
            <w:vAlign w:val="top"/>
            <w:shd w:fill="F5F7FA"/>
          </w:tcPr>
          <w:p>
            <w:pPr>
              <w:spacing w:after="0"/>
            </w:pPr>
            <w:r/>
            <w:r>
              <w:rPr>
                <w:rFonts w:ascii="Aptos" w:hAnsi="Aptos"/>
                <w:b w:val="0"/>
                <w:sz w:val="13"/>
              </w:rPr>
              <w:t>Mudrex futures product proposition.</w:t>
            </w:r>
          </w:p>
        </w:tc>
      </w:tr>
      <w:tr>
        <w:tc>
          <w:tcPr>
            <w:tcW w:type="dxa" w:w="576"/>
            <w:vAlign w:val="top"/>
          </w:tcPr>
          <w:p>
            <w:pPr>
              <w:spacing w:after="0"/>
            </w:pPr>
            <w:r/>
            <w:r>
              <w:rPr>
                <w:rFonts w:ascii="Aptos" w:hAnsi="Aptos"/>
                <w:b w:val="0"/>
                <w:sz w:val="13"/>
              </w:rPr>
              <w:t>S15</w:t>
            </w:r>
          </w:p>
        </w:tc>
        <w:tc>
          <w:tcPr>
            <w:tcW w:type="dxa" w:w="2592"/>
            <w:vAlign w:val="top"/>
          </w:tcPr>
          <w:p>
            <w:pPr>
              <w:spacing w:after="0"/>
            </w:pPr>
            <w:r/>
            <w:r>
              <w:rPr>
                <w:rFonts w:ascii="Aptos" w:hAnsi="Aptos"/>
                <w:b w:val="0"/>
                <w:sz w:val="13"/>
              </w:rPr>
              <w:t>CoinDCX home page</w:t>
            </w:r>
          </w:p>
        </w:tc>
        <w:tc>
          <w:tcPr>
            <w:tcW w:type="dxa" w:w="1872"/>
            <w:vAlign w:val="top"/>
          </w:tcPr>
          <w:p>
            <w:pPr>
              <w:spacing w:after="0"/>
            </w:pPr>
            <w:r/>
            <w:r>
              <w:rPr>
                <w:rFonts w:ascii="Aptos" w:hAnsi="Aptos"/>
                <w:b w:val="0"/>
                <w:sz w:val="13"/>
              </w:rPr>
              <w:t>Competitor site</w:t>
            </w:r>
          </w:p>
        </w:tc>
        <w:tc>
          <w:tcPr>
            <w:tcW w:type="dxa" w:w="3312"/>
            <w:vAlign w:val="top"/>
          </w:tcPr>
          <w:p>
            <w:pPr>
              <w:spacing w:after="0"/>
            </w:pPr>
            <w:r/>
            <w:r>
              <w:rPr>
                <w:rFonts w:ascii="Aptos" w:hAnsi="Aptos"/>
                <w:b w:val="0"/>
                <w:sz w:val="13"/>
              </w:rPr>
              <w:t>https://coindcx.com/</w:t>
            </w:r>
          </w:p>
        </w:tc>
        <w:tc>
          <w:tcPr>
            <w:tcW w:type="dxa" w:w="3312"/>
            <w:vAlign w:val="top"/>
          </w:tcPr>
          <w:p>
            <w:pPr>
              <w:spacing w:after="0"/>
            </w:pPr>
            <w:r/>
            <w:r>
              <w:rPr>
                <w:rFonts w:ascii="Aptos" w:hAnsi="Aptos"/>
                <w:b w:val="0"/>
                <w:sz w:val="13"/>
              </w:rPr>
              <w:t>Large India crypto platform positioning.</w:t>
            </w:r>
          </w:p>
        </w:tc>
      </w:tr>
      <w:tr>
        <w:tc>
          <w:tcPr>
            <w:tcW w:type="dxa" w:w="576"/>
            <w:vAlign w:val="top"/>
            <w:shd w:fill="F5F7FA"/>
          </w:tcPr>
          <w:p>
            <w:pPr>
              <w:spacing w:after="0"/>
            </w:pPr>
            <w:r/>
            <w:r>
              <w:rPr>
                <w:rFonts w:ascii="Aptos" w:hAnsi="Aptos"/>
                <w:b w:val="0"/>
                <w:sz w:val="13"/>
              </w:rPr>
              <w:t>S16</w:t>
            </w:r>
          </w:p>
        </w:tc>
        <w:tc>
          <w:tcPr>
            <w:tcW w:type="dxa" w:w="2592"/>
            <w:vAlign w:val="top"/>
            <w:shd w:fill="F5F7FA"/>
          </w:tcPr>
          <w:p>
            <w:pPr>
              <w:spacing w:after="0"/>
            </w:pPr>
            <w:r/>
            <w:r>
              <w:rPr>
                <w:rFonts w:ascii="Aptos" w:hAnsi="Aptos"/>
                <w:b w:val="0"/>
                <w:sz w:val="13"/>
              </w:rPr>
              <w:t>CoinDCX Proof of Reserves</w:t>
            </w:r>
          </w:p>
        </w:tc>
        <w:tc>
          <w:tcPr>
            <w:tcW w:type="dxa" w:w="1872"/>
            <w:vAlign w:val="top"/>
            <w:shd w:fill="F5F7FA"/>
          </w:tcPr>
          <w:p>
            <w:pPr>
              <w:spacing w:after="0"/>
            </w:pPr>
            <w:r/>
            <w:r>
              <w:rPr>
                <w:rFonts w:ascii="Aptos" w:hAnsi="Aptos"/>
                <w:b w:val="0"/>
                <w:sz w:val="13"/>
              </w:rPr>
              <w:t>Competitor transparency material</w:t>
            </w:r>
          </w:p>
        </w:tc>
        <w:tc>
          <w:tcPr>
            <w:tcW w:type="dxa" w:w="3312"/>
            <w:vAlign w:val="top"/>
            <w:shd w:fill="F5F7FA"/>
          </w:tcPr>
          <w:p>
            <w:pPr>
              <w:spacing w:after="0"/>
            </w:pPr>
            <w:r/>
            <w:r>
              <w:rPr>
                <w:rFonts w:ascii="Aptos" w:hAnsi="Aptos"/>
                <w:b w:val="0"/>
                <w:sz w:val="13"/>
              </w:rPr>
              <w:t>https://coindcx.com/blog/announcements/coindcx-proof-of-reserves-audit-may-2024/</w:t>
            </w:r>
          </w:p>
        </w:tc>
        <w:tc>
          <w:tcPr>
            <w:tcW w:type="dxa" w:w="3312"/>
            <w:vAlign w:val="top"/>
            <w:shd w:fill="F5F7FA"/>
          </w:tcPr>
          <w:p>
            <w:pPr>
              <w:spacing w:after="0"/>
            </w:pPr>
            <w:r/>
            <w:r>
              <w:rPr>
                <w:rFonts w:ascii="Aptos" w:hAnsi="Aptos"/>
                <w:b w:val="0"/>
                <w:sz w:val="13"/>
              </w:rPr>
              <w:t>Public trust/transparency comparator.</w:t>
            </w:r>
          </w:p>
        </w:tc>
      </w:tr>
      <w:tr>
        <w:tc>
          <w:tcPr>
            <w:tcW w:type="dxa" w:w="576"/>
            <w:vAlign w:val="top"/>
          </w:tcPr>
          <w:p>
            <w:pPr>
              <w:spacing w:after="0"/>
            </w:pPr>
            <w:r/>
            <w:r>
              <w:rPr>
                <w:rFonts w:ascii="Aptos" w:hAnsi="Aptos"/>
                <w:b w:val="0"/>
                <w:sz w:val="13"/>
              </w:rPr>
              <w:t>S17</w:t>
            </w:r>
          </w:p>
        </w:tc>
        <w:tc>
          <w:tcPr>
            <w:tcW w:type="dxa" w:w="2592"/>
            <w:vAlign w:val="top"/>
          </w:tcPr>
          <w:p>
            <w:pPr>
              <w:spacing w:after="0"/>
            </w:pPr>
            <w:r/>
            <w:r>
              <w:rPr>
                <w:rFonts w:ascii="Aptos" w:hAnsi="Aptos"/>
                <w:b w:val="0"/>
                <w:sz w:val="13"/>
              </w:rPr>
              <w:t>Deribit home page</w:t>
            </w:r>
          </w:p>
        </w:tc>
        <w:tc>
          <w:tcPr>
            <w:tcW w:type="dxa" w:w="1872"/>
            <w:vAlign w:val="top"/>
          </w:tcPr>
          <w:p>
            <w:pPr>
              <w:spacing w:after="0"/>
            </w:pPr>
            <w:r/>
            <w:r>
              <w:rPr>
                <w:rFonts w:ascii="Aptos" w:hAnsi="Aptos"/>
                <w:b w:val="0"/>
                <w:sz w:val="13"/>
              </w:rPr>
              <w:t>Global benchmark</w:t>
            </w:r>
          </w:p>
        </w:tc>
        <w:tc>
          <w:tcPr>
            <w:tcW w:type="dxa" w:w="3312"/>
            <w:vAlign w:val="top"/>
          </w:tcPr>
          <w:p>
            <w:pPr>
              <w:spacing w:after="0"/>
            </w:pPr>
            <w:r/>
            <w:r>
              <w:rPr>
                <w:rFonts w:ascii="Aptos" w:hAnsi="Aptos"/>
                <w:b w:val="0"/>
                <w:sz w:val="13"/>
              </w:rPr>
              <w:t>https://www.deribit.com/</w:t>
            </w:r>
          </w:p>
        </w:tc>
        <w:tc>
          <w:tcPr>
            <w:tcW w:type="dxa" w:w="3312"/>
            <w:vAlign w:val="top"/>
          </w:tcPr>
          <w:p>
            <w:pPr>
              <w:spacing w:after="0"/>
            </w:pPr>
            <w:r/>
            <w:r>
              <w:rPr>
                <w:rFonts w:ascii="Aptos" w:hAnsi="Aptos"/>
                <w:b w:val="0"/>
                <w:sz w:val="13"/>
              </w:rPr>
              <w:t>Global crypto derivatives/options benchmark.</w:t>
            </w:r>
          </w:p>
        </w:tc>
      </w:tr>
      <w:tr>
        <w:tc>
          <w:tcPr>
            <w:tcW w:type="dxa" w:w="576"/>
            <w:vAlign w:val="top"/>
            <w:shd w:fill="F5F7FA"/>
          </w:tcPr>
          <w:p>
            <w:pPr>
              <w:spacing w:after="0"/>
            </w:pPr>
            <w:r/>
            <w:r>
              <w:rPr>
                <w:rFonts w:ascii="Aptos" w:hAnsi="Aptos"/>
                <w:b w:val="0"/>
                <w:sz w:val="13"/>
              </w:rPr>
              <w:t>S18</w:t>
            </w:r>
          </w:p>
        </w:tc>
        <w:tc>
          <w:tcPr>
            <w:tcW w:type="dxa" w:w="2592"/>
            <w:vAlign w:val="top"/>
            <w:shd w:fill="F5F7FA"/>
          </w:tcPr>
          <w:p>
            <w:pPr>
              <w:spacing w:after="0"/>
            </w:pPr>
            <w:r/>
            <w:r>
              <w:rPr>
                <w:rFonts w:ascii="Aptos" w:hAnsi="Aptos"/>
                <w:b w:val="0"/>
                <w:sz w:val="13"/>
              </w:rPr>
              <w:t>Deribit trading tools</w:t>
            </w:r>
          </w:p>
        </w:tc>
        <w:tc>
          <w:tcPr>
            <w:tcW w:type="dxa" w:w="1872"/>
            <w:vAlign w:val="top"/>
            <w:shd w:fill="F5F7FA"/>
          </w:tcPr>
          <w:p>
            <w:pPr>
              <w:spacing w:after="0"/>
            </w:pPr>
            <w:r/>
            <w:r>
              <w:rPr>
                <w:rFonts w:ascii="Aptos" w:hAnsi="Aptos"/>
                <w:b w:val="0"/>
                <w:sz w:val="13"/>
              </w:rPr>
              <w:t>Product tools page</w:t>
            </w:r>
          </w:p>
        </w:tc>
        <w:tc>
          <w:tcPr>
            <w:tcW w:type="dxa" w:w="3312"/>
            <w:vAlign w:val="top"/>
            <w:shd w:fill="F5F7FA"/>
          </w:tcPr>
          <w:p>
            <w:pPr>
              <w:spacing w:after="0"/>
            </w:pPr>
            <w:r/>
            <w:r>
              <w:rPr>
                <w:rFonts w:ascii="Aptos" w:hAnsi="Aptos"/>
                <w:b w:val="0"/>
                <w:sz w:val="13"/>
              </w:rPr>
              <w:t>https://insights.deribit.com/trading-tools/</w:t>
            </w:r>
          </w:p>
        </w:tc>
        <w:tc>
          <w:tcPr>
            <w:tcW w:type="dxa" w:w="3312"/>
            <w:vAlign w:val="top"/>
            <w:shd w:fill="F5F7FA"/>
          </w:tcPr>
          <w:p>
            <w:pPr>
              <w:spacing w:after="0"/>
            </w:pPr>
            <w:r/>
            <w:r>
              <w:rPr>
                <w:rFonts w:ascii="Aptos" w:hAnsi="Aptos"/>
                <w:b w:val="0"/>
                <w:sz w:val="13"/>
              </w:rPr>
              <w:t>Professional crypto-options tooling benchmark.</w:t>
            </w:r>
          </w:p>
        </w:tc>
      </w:tr>
      <w:tr>
        <w:tc>
          <w:tcPr>
            <w:tcW w:type="dxa" w:w="576"/>
            <w:vAlign w:val="top"/>
          </w:tcPr>
          <w:p>
            <w:pPr>
              <w:spacing w:after="0"/>
            </w:pPr>
            <w:r/>
            <w:r>
              <w:rPr>
                <w:rFonts w:ascii="Aptos" w:hAnsi="Aptos"/>
                <w:b w:val="0"/>
                <w:sz w:val="13"/>
              </w:rPr>
              <w:t>S19</w:t>
            </w:r>
          </w:p>
        </w:tc>
        <w:tc>
          <w:tcPr>
            <w:tcW w:type="dxa" w:w="2592"/>
            <w:vAlign w:val="top"/>
          </w:tcPr>
          <w:p>
            <w:pPr>
              <w:spacing w:after="0"/>
            </w:pPr>
            <w:r/>
            <w:r>
              <w:rPr>
                <w:rFonts w:ascii="Aptos" w:hAnsi="Aptos"/>
                <w:b w:val="0"/>
                <w:sz w:val="13"/>
              </w:rPr>
              <w:t>Government of India PMLA notification, 7 March 2023</w:t>
            </w:r>
          </w:p>
        </w:tc>
        <w:tc>
          <w:tcPr>
            <w:tcW w:type="dxa" w:w="1872"/>
            <w:vAlign w:val="top"/>
          </w:tcPr>
          <w:p>
            <w:pPr>
              <w:spacing w:after="0"/>
            </w:pPr>
            <w:r/>
            <w:r>
              <w:rPr>
                <w:rFonts w:ascii="Aptos" w:hAnsi="Aptos"/>
                <w:b w:val="0"/>
                <w:sz w:val="13"/>
              </w:rPr>
              <w:t>Primary regulation</w:t>
            </w:r>
          </w:p>
        </w:tc>
        <w:tc>
          <w:tcPr>
            <w:tcW w:type="dxa" w:w="3312"/>
            <w:vAlign w:val="top"/>
          </w:tcPr>
          <w:p>
            <w:pPr>
              <w:spacing w:after="0"/>
            </w:pPr>
            <w:r/>
            <w:r>
              <w:rPr>
                <w:rFonts w:ascii="Aptos" w:hAnsi="Aptos"/>
                <w:b w:val="0"/>
                <w:sz w:val="13"/>
              </w:rPr>
              <w:t>https://egazette.gov.in/WriteReadData/2023/244184.pdf</w:t>
            </w:r>
          </w:p>
        </w:tc>
        <w:tc>
          <w:tcPr>
            <w:tcW w:type="dxa" w:w="3312"/>
            <w:vAlign w:val="top"/>
          </w:tcPr>
          <w:p>
            <w:pPr>
              <w:spacing w:after="0"/>
            </w:pPr>
            <w:r/>
            <w:r>
              <w:rPr>
                <w:rFonts w:ascii="Aptos" w:hAnsi="Aptos"/>
                <w:b w:val="0"/>
                <w:sz w:val="13"/>
              </w:rPr>
              <w:t>Brought certain VDA-related activities under PMLA reporting obligations.</w:t>
            </w:r>
          </w:p>
        </w:tc>
      </w:tr>
      <w:tr>
        <w:tc>
          <w:tcPr>
            <w:tcW w:type="dxa" w:w="576"/>
            <w:vAlign w:val="top"/>
            <w:shd w:fill="F5F7FA"/>
          </w:tcPr>
          <w:p>
            <w:pPr>
              <w:spacing w:after="0"/>
            </w:pPr>
            <w:r/>
            <w:r>
              <w:rPr>
                <w:rFonts w:ascii="Aptos" w:hAnsi="Aptos"/>
                <w:b w:val="0"/>
                <w:sz w:val="13"/>
              </w:rPr>
              <w:t>S20</w:t>
            </w:r>
          </w:p>
        </w:tc>
        <w:tc>
          <w:tcPr>
            <w:tcW w:type="dxa" w:w="2592"/>
            <w:vAlign w:val="top"/>
            <w:shd w:fill="F5F7FA"/>
          </w:tcPr>
          <w:p>
            <w:pPr>
              <w:spacing w:after="0"/>
            </w:pPr>
            <w:r/>
            <w:r>
              <w:rPr>
                <w:rFonts w:ascii="Aptos" w:hAnsi="Aptos"/>
                <w:b w:val="0"/>
                <w:sz w:val="13"/>
              </w:rPr>
              <w:t>Income Tax Department - Section 115BBH</w:t>
            </w:r>
          </w:p>
        </w:tc>
        <w:tc>
          <w:tcPr>
            <w:tcW w:type="dxa" w:w="1872"/>
            <w:vAlign w:val="top"/>
            <w:shd w:fill="F5F7FA"/>
          </w:tcPr>
          <w:p>
            <w:pPr>
              <w:spacing w:after="0"/>
            </w:pPr>
            <w:r/>
            <w:r>
              <w:rPr>
                <w:rFonts w:ascii="Aptos" w:hAnsi="Aptos"/>
                <w:b w:val="0"/>
                <w:sz w:val="13"/>
              </w:rPr>
              <w:t>Primary tax source</w:t>
            </w:r>
          </w:p>
        </w:tc>
        <w:tc>
          <w:tcPr>
            <w:tcW w:type="dxa" w:w="3312"/>
            <w:vAlign w:val="top"/>
            <w:shd w:fill="F5F7FA"/>
          </w:tcPr>
          <w:p>
            <w:pPr>
              <w:spacing w:after="0"/>
            </w:pPr>
            <w:r/>
            <w:r>
              <w:rPr>
                <w:rFonts w:ascii="Aptos" w:hAnsi="Aptos"/>
                <w:b w:val="0"/>
                <w:sz w:val="13"/>
              </w:rPr>
              <w:t>https://www.incometaxindia.gov.in/w/section-115bbh-1</w:t>
            </w:r>
          </w:p>
        </w:tc>
        <w:tc>
          <w:tcPr>
            <w:tcW w:type="dxa" w:w="3312"/>
            <w:vAlign w:val="top"/>
            <w:shd w:fill="F5F7FA"/>
          </w:tcPr>
          <w:p>
            <w:pPr>
              <w:spacing w:after="0"/>
            </w:pPr>
            <w:r/>
            <w:r>
              <w:rPr>
                <w:rFonts w:ascii="Aptos" w:hAnsi="Aptos"/>
                <w:b w:val="0"/>
                <w:sz w:val="13"/>
              </w:rPr>
              <w:t>Indian tax treatment of virtual digital assets.</w:t>
            </w:r>
          </w:p>
        </w:tc>
      </w:tr>
    </w:tbl>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63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436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546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263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