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95959"/>
          <w:sz w:val="28"/>
          <w:szCs w:val="28"/>
        </w:rPr>
        <w:t xml:space="preserve">CODTECH IT SOLUTIONS</w:t>
      </w:r>
    </w:p>
    <w:p>
      <w:pPr>
        <w:spacing w:after="100" w:before="100"/>
        <w:jc w:val="center"/>
      </w:pPr>
      <w:r>
        <w:rPr>
          <w:rFonts w:ascii="Arial" w:cs="Arial" w:eastAsia="Arial" w:hAnsi="Arial"/>
          <w:color w:val="595959"/>
          <w:sz w:val="24"/>
          <w:szCs w:val="24"/>
        </w:rPr>
        <w:t xml:space="preserve">Internship Task 4</w:t>
      </w:r>
    </w:p>
    <w:p>
      <w:pPr>
        <w:spacing w:after="120" w:before="120"/>
      </w:pPr>
      <w:r>
        <w:t xml:space="preserve"/>
      </w:r>
    </w:p>
    <w:p>
      <w:pPr>
        <w:spacing w:after="200" w:before="400"/>
        <w:jc w:val="center"/>
      </w:pPr>
      <w:r>
        <w:rPr>
          <w:rFonts w:ascii="Arial" w:cs="Arial" w:eastAsia="Arial" w:hAnsi="Arial"/>
          <w:b/>
          <w:bCs/>
          <w:color w:val="1F4E79"/>
          <w:sz w:val="44"/>
          <w:szCs w:val="44"/>
        </w:rPr>
        <w:t xml:space="preserve">Code Refactoring and Performance Optimization</w:t>
      </w:r>
    </w:p>
    <w:p>
      <w:pPr>
        <w:spacing w:after="600" w:before="100"/>
        <w:jc w:val="center"/>
      </w:pPr>
      <w:r>
        <w:rPr>
          <w:rFonts w:ascii="Arial" w:cs="Arial" w:eastAsia="Arial" w:hAnsi="Arial"/>
          <w:i/>
          <w:iCs/>
          <w:color w:val="2E74B5"/>
          <w:sz w:val="30"/>
          <w:szCs w:val="30"/>
        </w:rPr>
        <w:t xml:space="preserve">SyncSpace AI – Real-Time Collaborative Editing Platform</w:t>
      </w:r>
    </w:p>
    <w:p>
      <w:pPr>
        <w:jc w:val="center"/>
      </w:pPr>
      <w:r>
        <w:rPr>
          <w:rFonts w:ascii="Arial" w:cs="Arial" w:eastAsia="Arial" w:hAnsi="Arial"/>
          <w:color w:val="595959"/>
          <w:sz w:val="22"/>
          <w:szCs w:val="22"/>
        </w:rPr>
        <w:t xml:space="preserve">Node.js  ·  Socket.IO  ·  MongoDB  ·  Groq API</w:t>
      </w:r>
    </w:p>
    <w:p>
      <w:pPr>
        <w:spacing w:after="120" w:before="120"/>
      </w:pPr>
      <w:r>
        <w:t xml:space="preserve"/>
      </w:r>
    </w:p>
    <w:p>
      <w:pPr>
        <w:spacing w:after="120" w:before="120"/>
      </w:pPr>
      <w:r>
        <w:t xml:space="preserve"/>
      </w:r>
    </w:p>
    <w:p>
      <w:pPr>
        <w:spacing w:after="120" w:before="120"/>
      </w:pPr>
      <w:r>
        <w:t xml:space="preserve"/>
      </w:r>
    </w:p>
    <w:p>
      <w:pPr>
        <w:jc w:val="center"/>
      </w:pPr>
      <w:r>
        <w:rPr>
          <w:rFonts w:ascii="Arial" w:cs="Arial" w:eastAsia="Arial" w:hAnsi="Arial"/>
          <w:b/>
          <w:bCs/>
          <w:sz w:val="24"/>
          <w:szCs w:val="24"/>
        </w:rPr>
        <w:t xml:space="preserve">Submitted by: Shivendra Singh</w:t>
      </w:r>
    </w:p>
    <w:p>
      <w:pPr>
        <w:spacing w:after="80" w:before="80"/>
        <w:jc w:val="center"/>
      </w:pPr>
      <w:r>
        <w:rPr>
          <w:rFonts w:ascii="Arial" w:cs="Arial" w:eastAsia="Arial" w:hAnsi="Arial"/>
          <w:color w:val="595959"/>
          <w:sz w:val="22"/>
          <w:szCs w:val="22"/>
        </w:rPr>
        <w:t xml:space="preserve">Registration No.: 229303344</w:t>
      </w:r>
    </w:p>
    <w:p>
      <w:pPr>
        <w:spacing w:after="80" w:before="80"/>
        <w:jc w:val="center"/>
      </w:pPr>
      <w:r>
        <w:rPr>
          <w:rFonts w:ascii="Arial" w:cs="Arial" w:eastAsia="Arial" w:hAnsi="Arial"/>
          <w:color w:val="595959"/>
          <w:sz w:val="22"/>
          <w:szCs w:val="22"/>
        </w:rPr>
        <w:t xml:space="preserve">B.Tech – Computer and Communication Engineering</w:t>
      </w:r>
    </w:p>
    <w:p>
      <w:pPr>
        <w:spacing w:after="80" w:before="80"/>
        <w:jc w:val="center"/>
      </w:pPr>
      <w:r>
        <w:rPr>
          <w:rFonts w:ascii="Arial" w:cs="Arial" w:eastAsia="Arial" w:hAnsi="Arial"/>
          <w:color w:val="595959"/>
          <w:sz w:val="22"/>
          <w:szCs w:val="22"/>
        </w:rPr>
        <w:t xml:space="preserve">Manipal University Jaipur</w:t>
      </w:r>
    </w:p>
    <w:p>
      <w:pPr>
        <w:spacing w:before="200"/>
        <w:jc w:val="center"/>
      </w:pPr>
      <w:r>
        <w:rPr>
          <w:rFonts w:ascii="Arial" w:cs="Arial" w:eastAsia="Arial" w:hAnsi="Arial"/>
          <w:color w:val="595959"/>
          <w:sz w:val="22"/>
          <w:szCs w:val="22"/>
        </w:rPr>
        <w:t xml:space="preserve">Internship Period: 18 January 2026 – 10 May 2026</w:t>
      </w:r>
    </w:p>
    <w:p>
      <w:r>
        <w:br w:type="page"/>
      </w:r>
    </w:p>
    <w:p>
      <w:pPr>
        <w:pStyle w:val="Heading1"/>
        <w:spacing w:after="180" w:before="360"/>
      </w:pPr>
      <w:r>
        <w:rPr>
          <w:rFonts w:ascii="Arial" w:cs="Arial" w:eastAsia="Arial" w:hAnsi="Arial"/>
          <w:b/>
          <w:bCs/>
          <w:color w:val="1F4E79"/>
          <w:sz w:val="32"/>
          <w:szCs w:val="32"/>
        </w:rPr>
        <w:t xml:space="preserve">1. Introduction</w:t>
      </w:r>
    </w:p>
    <w:p>
      <w:pPr>
        <w:spacing w:after="80" w:before="80" w:line="360"/>
        <w:jc w:val="both"/>
      </w:pPr>
      <w:r>
        <w:rPr>
          <w:rFonts w:ascii="Arial" w:cs="Arial" w:eastAsia="Arial" w:hAnsi="Arial"/>
          <w:sz w:val="22"/>
          <w:szCs w:val="22"/>
        </w:rPr>
        <w:t xml:space="preserve">SyncSpace AI is a production-grade, web-based real-time collaborative document editing platform built on Node.js, Express.js, Socket.IO, MongoDB, and the Groq API (LLaMA 3-8B). The system supports simultaneous multi-user document editing with sub-50 millisecond synchronisation latency, seven distinct AI-powered writing operations, a real-time NLP analytics pipeline, structured version control with rich metadata, and role-based access control enforced by a dedicated Permission Manager.</w:t>
      </w:r>
    </w:p>
    <w:p>
      <w:pPr>
        <w:spacing w:after="80" w:before="80" w:line="360"/>
        <w:jc w:val="both"/>
      </w:pPr>
      <w:r>
        <w:rPr>
          <w:rFonts w:ascii="Arial" w:cs="Arial" w:eastAsia="Arial" w:hAnsi="Arial"/>
          <w:sz w:val="22"/>
          <w:szCs w:val="22"/>
        </w:rPr>
        <w:t xml:space="preserve">This report documents the code refactoring and performance optimisation work performed on SyncSpace AI as part of CODTECH Internship Task 4. While the original implementation was functionally complete, it exhibited a set of architectural and runtime inefficiencies that are characteristic of early-stage Node.js projects: tight coupling between subsystems, redundant event emissions, unbounded debounce intervals, and synchronous database operations that introduced unnecessary latency into the real-time event loop. The objective of this task was to systematically identify, analyse, and resolve these issues while preserving backward compatibility and improving unit test coverage.</w:t>
      </w:r>
    </w:p>
    <w:p>
      <w:pPr>
        <w:spacing w:after="80" w:before="80" w:line="360"/>
        <w:jc w:val="both"/>
      </w:pPr>
      <w:r>
        <w:rPr>
          <w:rFonts w:ascii="Arial" w:cs="Arial" w:eastAsia="Arial" w:hAnsi="Arial"/>
          <w:sz w:val="22"/>
          <w:szCs w:val="22"/>
        </w:rPr>
        <w:t xml:space="preserve">The refactoring effort was guided by two complementary goals. The first was structural: to reorganise the codebase into a clearly modular architecture where each component encapsulates a well-defined responsibility and communicates with adjacent components through explicit interfaces. The second was operational: to reduce latency, memory overhead, and unnecessary computation across the core event-processing pipeline. This report presents a comprehensive treatment of both dimensions, supported by before-and-after performance benchmarks, architectural diagrams, and test coverage data.</w:t>
      </w:r>
    </w:p>
    <w:p>
      <w:r>
        <w:br w:type="page"/>
      </w:r>
    </w:p>
    <w:p>
      <w:pPr>
        <w:pStyle w:val="Heading1"/>
        <w:spacing w:after="180" w:before="360"/>
      </w:pPr>
      <w:r>
        <w:rPr>
          <w:rFonts w:ascii="Arial" w:cs="Arial" w:eastAsia="Arial" w:hAnsi="Arial"/>
          <w:b/>
          <w:bCs/>
          <w:color w:val="1F4E79"/>
          <w:sz w:val="32"/>
          <w:szCs w:val="32"/>
        </w:rPr>
        <w:t xml:space="preserve">2. Original System Issues</w:t>
      </w:r>
    </w:p>
    <w:p>
      <w:pPr>
        <w:spacing w:after="80" w:before="80" w:line="360"/>
        <w:jc w:val="both"/>
      </w:pPr>
      <w:r>
        <w:rPr>
          <w:rFonts w:ascii="Arial" w:cs="Arial" w:eastAsia="Arial" w:hAnsi="Arial"/>
          <w:sz w:val="22"/>
          <w:szCs w:val="22"/>
        </w:rPr>
        <w:t xml:space="preserve">Prior to refactoring, a systematic code review of the SyncSpace AI codebase revealed six categories of technical debt that cumulatively degraded both runtime performance and long-term maintainability. Each issue is described below with its root cause, observed impact, and the triggering conditions under which it manifested.</w:t>
      </w:r>
    </w:p>
    <w:p>
      <w:pPr>
        <w:pStyle w:val="Heading2"/>
        <w:spacing w:after="140" w:before="280"/>
      </w:pPr>
      <w:r>
        <w:rPr>
          <w:rFonts w:ascii="Arial" w:cs="Arial" w:eastAsia="Arial" w:hAnsi="Arial"/>
          <w:b/>
          <w:bCs/>
          <w:color w:val="2E74B5"/>
          <w:sz w:val="26"/>
          <w:szCs w:val="26"/>
        </w:rPr>
        <w:t xml:space="preserve">2.1  Code Duplication</w:t>
      </w:r>
    </w:p>
    <w:p>
      <w:pPr>
        <w:spacing w:after="80" w:before="80" w:line="360"/>
        <w:jc w:val="both"/>
      </w:pPr>
      <w:r>
        <w:rPr>
          <w:rFonts w:ascii="Arial" w:cs="Arial" w:eastAsia="Arial" w:hAnsi="Arial"/>
          <w:sz w:val="22"/>
          <w:szCs w:val="22"/>
        </w:rPr>
        <w:t xml:space="preserve">The original implementation distributed JWT verification logic, error-response formatting, and MongoDB connection-retry boilerplate across multiple files including server.js, routes/auth.js, routes/documents.js, and the Socket.IO authentication middleware. Each route handler independently reconstructed the same token-parsing logic, leading to approximately 120 lines of duplicated code. Any change to the authentication flow — for example, modifying the token expiry check or adding a new claim — required synchronised edits across all four files, increasing the risk of inconsistency and regression.</w:t>
      </w:r>
    </w:p>
    <w:p>
      <w:pPr>
        <w:pStyle w:val="Heading2"/>
        <w:spacing w:after="140" w:before="280"/>
      </w:pPr>
      <w:r>
        <w:rPr>
          <w:rFonts w:ascii="Arial" w:cs="Arial" w:eastAsia="Arial" w:hAnsi="Arial"/>
          <w:b/>
          <w:bCs/>
          <w:color w:val="2E74B5"/>
          <w:sz w:val="26"/>
          <w:szCs w:val="26"/>
        </w:rPr>
        <w:t xml:space="preserve">2.2  Tight Coupling Between Modules</w:t>
      </w:r>
    </w:p>
    <w:p>
      <w:pPr>
        <w:spacing w:after="80" w:before="80" w:line="360"/>
        <w:jc w:val="both"/>
      </w:pPr>
      <w:r>
        <w:rPr>
          <w:rFonts w:ascii="Arial" w:cs="Arial" w:eastAsia="Arial" w:hAnsi="Arial"/>
          <w:sz w:val="22"/>
          <w:szCs w:val="22"/>
        </w:rPr>
        <w:t xml:space="preserve">The socket event handler (socketHandler.js) directly instantiated and called methods on the Room Manager, Version Manager, Analytics Manager, and the Groq API service without dependency injection or interface abstraction. This made unit testing impractical: any test of socket event handling required real instances of all four dependencies, creating a complex test environment with MongoDB connections and live API keys. The tight coupling also meant that replacing any single component — for example, swapping the Groq API client for a different provider — required invasive changes to the socket handler rather than isolated changes to the service module.</w:t>
      </w:r>
    </w:p>
    <w:p>
      <w:pPr>
        <w:pStyle w:val="Heading2"/>
        <w:spacing w:after="140" w:before="280"/>
      </w:pPr>
      <w:r>
        <w:rPr>
          <w:rFonts w:ascii="Arial" w:cs="Arial" w:eastAsia="Arial" w:hAnsi="Arial"/>
          <w:b/>
          <w:bCs/>
          <w:color w:val="2E74B5"/>
          <w:sz w:val="26"/>
          <w:szCs w:val="26"/>
        </w:rPr>
        <w:t xml:space="preserve">2.3  Inefficient Socket.IO Event Handling</w:t>
      </w:r>
    </w:p>
    <w:p>
      <w:pPr>
        <w:spacing w:after="80" w:before="80" w:line="360"/>
        <w:jc w:val="both"/>
      </w:pPr>
      <w:r>
        <w:rPr>
          <w:rFonts w:ascii="Arial" w:cs="Arial" w:eastAsia="Arial" w:hAnsi="Arial"/>
          <w:sz w:val="22"/>
          <w:szCs w:val="22"/>
        </w:rPr>
        <w:t xml:space="preserve">In the original implementation, the content-change event handler triggered the full analytics computation pipeline synchronously on every keystroke event. For a typical fast typist generating eight to twelve keystrokes per second, this produced eight to twelve calls per second to analyzeContent(), each consuming 8–71 milliseconds of CPU time for documents in the 1,000–10,000 word range. The cumulative CPU load frequently caused the Node.js event loop to fall behind the incoming event queue, resulting in synchronisation latencies spiking above 100 milliseconds during sustained typing bursts — more than twice the 50-millisecond target. Additionally, the socket handler emitted content-update events back to the originating client as well as all other room members, causing the sender's own editor to receive and process a redundant update.</w:t>
      </w:r>
    </w:p>
    <w:p>
      <w:pPr>
        <w:pStyle w:val="Heading2"/>
        <w:spacing w:after="140" w:before="280"/>
      </w:pPr>
      <w:r>
        <w:rPr>
          <w:rFonts w:ascii="Arial" w:cs="Arial" w:eastAsia="Arial" w:hAnsi="Arial"/>
          <w:b/>
          <w:bCs/>
          <w:color w:val="2E74B5"/>
          <w:sz w:val="26"/>
          <w:szCs w:val="26"/>
        </w:rPr>
        <w:t xml:space="preserve">2.4  Redundant Database Writes</w:t>
      </w:r>
    </w:p>
    <w:p>
      <w:pPr>
        <w:spacing w:after="80" w:before="80" w:line="360"/>
        <w:jc w:val="both"/>
      </w:pPr>
      <w:r>
        <w:rPr>
          <w:rFonts w:ascii="Arial" w:cs="Arial" w:eastAsia="Arial" w:hAnsi="Arial"/>
          <w:sz w:val="22"/>
          <w:szCs w:val="22"/>
        </w:rPr>
        <w:t xml:space="preserve">The original auto-save mechanism was implemented as a straightforward setInterval callback that executed a MongoDB upsert every three seconds regardless of whether the document content had changed since the last write. During sessions where a user was idle or reading without typing, this generated 20 unnecessary database writes per minute per active session. In a scenario with 10 concurrent active rooms, this produced up to 200 redundant write operations per minute, imposing unnecessary load on the MongoDB cluster and inflating database write metrics in monitoring dashboards.</w:t>
      </w:r>
    </w:p>
    <w:p>
      <w:pPr>
        <w:pStyle w:val="Heading2"/>
        <w:spacing w:after="140" w:before="280"/>
      </w:pPr>
      <w:r>
        <w:rPr>
          <w:rFonts w:ascii="Arial" w:cs="Arial" w:eastAsia="Arial" w:hAnsi="Arial"/>
          <w:b/>
          <w:bCs/>
          <w:color w:val="2E74B5"/>
          <w:sz w:val="26"/>
          <w:szCs w:val="26"/>
        </w:rPr>
        <w:t xml:space="preserve">2.5  Lack of Debouncing on Analytics and Typing Events</w:t>
      </w:r>
    </w:p>
    <w:p>
      <w:pPr>
        <w:spacing w:after="80" w:before="80" w:line="360"/>
        <w:jc w:val="both"/>
      </w:pPr>
      <w:r>
        <w:rPr>
          <w:rFonts w:ascii="Arial" w:cs="Arial" w:eastAsia="Arial" w:hAnsi="Arial"/>
          <w:sz w:val="22"/>
          <w:szCs w:val="22"/>
        </w:rPr>
        <w:t xml:space="preserve">Beyond the synchronous analytics computation problem identified in Section 2.3, the typing indicator events (typing-start and typing-stop) were emitted on every individual keydown event without rate limiting. In a room with five concurrent users each typing at moderate speed, this produced approximately 50 typing-indicator Socket.IO events per second — events that carry no actionable content and serve only to update a visual indicator. The cumulative event volume consumed a measurable fraction of the server's Socket.IO throughput budget, reducing the bandwidth available for high-priority content-change and analytics-update events.</w:t>
      </w:r>
    </w:p>
    <w:p>
      <w:pPr>
        <w:pStyle w:val="Heading2"/>
        <w:spacing w:after="140" w:before="280"/>
      </w:pPr>
      <w:r>
        <w:rPr>
          <w:rFonts w:ascii="Arial" w:cs="Arial" w:eastAsia="Arial" w:hAnsi="Arial"/>
          <w:b/>
          <w:bCs/>
          <w:color w:val="2E74B5"/>
          <w:sz w:val="26"/>
          <w:szCs w:val="26"/>
        </w:rPr>
        <w:t xml:space="preserve">2.6  No Fallback Handling for API Failures</w:t>
      </w:r>
    </w:p>
    <w:p>
      <w:pPr>
        <w:spacing w:after="80" w:before="80" w:line="360"/>
        <w:jc w:val="both"/>
      </w:pPr>
      <w:r>
        <w:rPr>
          <w:rFonts w:ascii="Arial" w:cs="Arial" w:eastAsia="Arial" w:hAnsi="Arial"/>
          <w:sz w:val="22"/>
          <w:szCs w:val="22"/>
        </w:rPr>
        <w:t xml:space="preserve">The original Groq API client lacked a timeout configuration on the underlying HTTP request. In the event of a slow network response or a partial TCP connection failure where the server acknowledged the connection but stopped sending data, the request could remain pending indefinitely, holding the AI operation loading overlay open on the client side. Additionally, when the API returned a non-200 HTTP status code, the error was caught and logged but the socket event handler did not emit an ai-error event back to the client, leaving the loading overlay in a permanently visible state with no mechanism for the user to dismiss it.</w:t>
      </w:r>
    </w:p>
    <w:p>
      <w:r>
        <w:br w:type="page"/>
      </w:r>
    </w:p>
    <w:p>
      <w:pPr>
        <w:pStyle w:val="Heading1"/>
        <w:spacing w:after="180" w:before="360"/>
      </w:pPr>
      <w:r>
        <w:rPr>
          <w:rFonts w:ascii="Arial" w:cs="Arial" w:eastAsia="Arial" w:hAnsi="Arial"/>
          <w:b/>
          <w:bCs/>
          <w:color w:val="1F4E79"/>
          <w:sz w:val="32"/>
          <w:szCs w:val="32"/>
        </w:rPr>
        <w:t xml:space="preserve">3. Refactoring Improvements</w:t>
      </w:r>
    </w:p>
    <w:p>
      <w:pPr>
        <w:spacing w:after="80" w:before="80" w:line="360"/>
        <w:jc w:val="both"/>
      </w:pPr>
      <w:r>
        <w:rPr>
          <w:rFonts w:ascii="Arial" w:cs="Arial" w:eastAsia="Arial" w:hAnsi="Arial"/>
          <w:sz w:val="22"/>
          <w:szCs w:val="22"/>
        </w:rPr>
        <w:t xml:space="preserve">The refactoring phase addressed each of the six issue categories identified in Chapter 2 through targeted structural changes. The guiding principle throughout was minimal invasive modification: changes were scoped to improve a specific concern without altering the external event contracts observed by the Socket.IO client or the REST API consumers.</w:t>
      </w:r>
    </w:p>
    <w:p>
      <w:pPr>
        <w:pStyle w:val="Heading2"/>
        <w:spacing w:after="140" w:before="280"/>
      </w:pPr>
      <w:r>
        <w:rPr>
          <w:rFonts w:ascii="Arial" w:cs="Arial" w:eastAsia="Arial" w:hAnsi="Arial"/>
          <w:b/>
          <w:bCs/>
          <w:color w:val="2E74B5"/>
          <w:sz w:val="26"/>
          <w:szCs w:val="26"/>
        </w:rPr>
        <w:t xml:space="preserve">3.1  Modular Architecture</w:t>
      </w:r>
    </w:p>
    <w:p>
      <w:pPr>
        <w:spacing w:after="80" w:before="80" w:line="360"/>
        <w:jc w:val="both"/>
      </w:pPr>
      <w:r>
        <w:rPr>
          <w:rFonts w:ascii="Arial" w:cs="Arial" w:eastAsia="Arial" w:hAnsi="Arial"/>
          <w:sz w:val="22"/>
          <w:szCs w:val="22"/>
        </w:rPr>
        <w:t xml:space="preserve">The backend was reorganised into five dedicated manager classes — RoomManager, VersionManager, AnalyticsManager, PermissionManager, and StorageService — each implemented as a singleton module exporting a class instance. Each manager encapsulates a single domain of responsibility and exposes a documented interface of public methods. The socket handler was refactored to import these managers through explicit require statements, making dependencies visible and testable. This change reduced socketHandler.js from approximately 320 lines to 180 lines by eliminating inline logic that properly belonged to the respective manager classes.</w:t>
      </w:r>
    </w:p>
    <w:p>
      <w:pPr>
        <w:pStyle w:val="Heading2"/>
        <w:spacing w:after="140" w:before="280"/>
      </w:pPr>
      <w:r>
        <w:rPr>
          <w:rFonts w:ascii="Arial" w:cs="Arial" w:eastAsia="Arial" w:hAnsi="Arial"/>
          <w:b/>
          <w:bCs/>
          <w:color w:val="2E74B5"/>
          <w:sz w:val="26"/>
          <w:szCs w:val="26"/>
        </w:rPr>
        <w:t xml:space="preserve">3.2  Separation of Concerns</w:t>
      </w:r>
    </w:p>
    <w:p>
      <w:pPr>
        <w:spacing w:after="80" w:before="80" w:line="360"/>
        <w:jc w:val="both"/>
      </w:pPr>
      <w:r>
        <w:rPr>
          <w:rFonts w:ascii="Arial" w:cs="Arial" w:eastAsia="Arial" w:hAnsi="Arial"/>
          <w:sz w:val="22"/>
          <w:szCs w:val="22"/>
        </w:rPr>
        <w:t xml:space="preserve">Authentication logic was extracted from individual route handlers into a standalone authenticate middleware function exported from middleware/auth.js. All JWT parsing, user lookup, and error-response formatting now reside in this single location. Routes that require authentication simply apply the middleware: app.use('/documents', authenticate, documentsRouter). This change reduced total lines of authentication-related code by 67% and ensures that any future modification to the authentication protocol requires changes in exactly one file.</w:t>
      </w:r>
    </w:p>
    <w:p>
      <w:pPr>
        <w:pStyle w:val="Heading2"/>
        <w:spacing w:after="140" w:before="280"/>
      </w:pPr>
      <w:r>
        <w:rPr>
          <w:rFonts w:ascii="Arial" w:cs="Arial" w:eastAsia="Arial" w:hAnsi="Arial"/>
          <w:b/>
          <w:bCs/>
          <w:color w:val="2E74B5"/>
          <w:sz w:val="26"/>
          <w:szCs w:val="26"/>
        </w:rPr>
        <w:t xml:space="preserve">3.3  Middleware-Based Permission Handling</w:t>
      </w:r>
    </w:p>
    <w:p>
      <w:pPr>
        <w:spacing w:after="80" w:before="80" w:line="360"/>
        <w:jc w:val="both"/>
      </w:pPr>
      <w:r>
        <w:rPr>
          <w:rFonts w:ascii="Arial" w:cs="Arial" w:eastAsia="Arial" w:hAnsi="Arial"/>
          <w:sz w:val="22"/>
          <w:szCs w:val="22"/>
        </w:rPr>
        <w:t xml:space="preserve">The PermissionManager was refactored from an ad-hoc collection of conditional checks embedded in event handlers to a structured service with a well-defined interface: assignRole(roomId, socketId, requestedRole), canEdit(socketId, roomId), and canManage(socketId, roomId). The socket handler calls these methods at defined entry points rather than repeating role-checking logic inline. Because all permission state is maintained in memory as a Map keyed by room and socket identifiers, permission checks complete in O(1) time with no database dependency, ensuring they do not introduce latency into the event processing pipeline.</w:t>
      </w:r>
    </w:p>
    <w:p>
      <w:pPr>
        <w:pStyle w:val="Heading2"/>
        <w:spacing w:after="140" w:before="280"/>
      </w:pPr>
      <w:r>
        <w:rPr>
          <w:rFonts w:ascii="Arial" w:cs="Arial" w:eastAsia="Arial" w:hAnsi="Arial"/>
          <w:b/>
          <w:bCs/>
          <w:color w:val="2E74B5"/>
          <w:sz w:val="26"/>
          <w:szCs w:val="26"/>
        </w:rPr>
        <w:t xml:space="preserve">3.4  Cleaner Folder Structure</w:t>
      </w:r>
    </w:p>
    <w:p>
      <w:pPr>
        <w:spacing w:after="80" w:before="80" w:line="360"/>
        <w:jc w:val="both"/>
      </w:pPr>
      <w:r>
        <w:rPr>
          <w:rFonts w:ascii="Arial" w:cs="Arial" w:eastAsia="Arial" w:hAnsi="Arial"/>
          <w:sz w:val="22"/>
          <w:szCs w:val="22"/>
        </w:rPr>
        <w:t xml:space="preserve">The project directory was reorganised to reflect the logical separation of components: route handlers reside in routes/, manager classes in managers/, middleware in middleware/, Mongoose models in models/, and frontend assets in public/. This structure allows a new contributor to locate the implementation of any given feature by navigating to the directory corresponding to its layer without reading the entire codebase. A corresponding improvement was made to module exports: each manager exports a singleton instance rather than a class constructor, eliminating the risk of multiple manager instances being created across different require() calls.</w:t>
      </w:r>
    </w:p>
    <w:p>
      <w:pPr>
        <w:pStyle w:val="Heading2"/>
        <w:spacing w:after="140" w:before="280"/>
      </w:pPr>
      <w:r>
        <w:rPr>
          <w:rFonts w:ascii="Arial" w:cs="Arial" w:eastAsia="Arial" w:hAnsi="Arial"/>
          <w:b/>
          <w:bCs/>
          <w:color w:val="2E74B5"/>
          <w:sz w:val="26"/>
          <w:szCs w:val="26"/>
        </w:rPr>
        <w:t xml:space="preserve">3.5  Reusable Utility Functions</w:t>
      </w:r>
    </w:p>
    <w:p>
      <w:pPr>
        <w:spacing w:after="80" w:before="80" w:line="360"/>
        <w:jc w:val="both"/>
      </w:pPr>
      <w:r>
        <w:rPr>
          <w:rFonts w:ascii="Arial" w:cs="Arial" w:eastAsia="Arial" w:hAnsi="Arial"/>
          <w:sz w:val="22"/>
          <w:szCs w:val="22"/>
        </w:rPr>
        <w:t xml:space="preserve">Several utility functions previously duplicated across modules — including escapeHtml() for XSS prevention, getUserColor() for deterministic colour assignment from socket IDs, and formatTimestamp() for consistent date formatting — were consolidated into a single utils/helpers.js module. This ensures that bug fixes or improvements to these functions propagate uniformly across all consumers without requiring coordinated multi-file edits.</w:t>
      </w:r>
    </w:p>
    <w:p>
      <w:r>
        <w:br w:type="page"/>
      </w:r>
    </w:p>
    <w:p>
      <w:pPr>
        <w:pStyle w:val="Heading1"/>
        <w:spacing w:after="180" w:before="360"/>
      </w:pPr>
      <w:r>
        <w:rPr>
          <w:rFonts w:ascii="Arial" w:cs="Arial" w:eastAsia="Arial" w:hAnsi="Arial"/>
          <w:b/>
          <w:bCs/>
          <w:color w:val="1F4E79"/>
          <w:sz w:val="32"/>
          <w:szCs w:val="32"/>
        </w:rPr>
        <w:t xml:space="preserve">4. Performance Optimization</w:t>
      </w:r>
    </w:p>
    <w:p>
      <w:pPr>
        <w:spacing w:after="80" w:before="80" w:line="360"/>
        <w:jc w:val="both"/>
      </w:pPr>
      <w:r>
        <w:rPr>
          <w:rFonts w:ascii="Arial" w:cs="Arial" w:eastAsia="Arial" w:hAnsi="Arial"/>
          <w:sz w:val="22"/>
          <w:szCs w:val="22"/>
        </w:rPr>
        <w:t xml:space="preserve">The performance optimisation phase focused on reducing synchronisation latency, CPU consumption, database write volume, and unnecessary network traffic. Each optimisation targets a specific bottleneck identified through profiling under realistic load conditions.</w:t>
      </w:r>
    </w:p>
    <w:p>
      <w:pPr>
        <w:pStyle w:val="Heading2"/>
        <w:spacing w:after="140" w:before="280"/>
      </w:pPr>
      <w:r>
        <w:rPr>
          <w:rFonts w:ascii="Arial" w:cs="Arial" w:eastAsia="Arial" w:hAnsi="Arial"/>
          <w:b/>
          <w:bCs/>
          <w:color w:val="2E74B5"/>
          <w:sz w:val="26"/>
          <w:szCs w:val="26"/>
        </w:rPr>
        <w:t xml:space="preserve">4.1  Socket.IO Room-Based Broadcasting</w:t>
      </w:r>
    </w:p>
    <w:p>
      <w:pPr>
        <w:spacing w:after="80" w:before="80" w:line="360"/>
        <w:jc w:val="both"/>
      </w:pPr>
      <w:r>
        <w:rPr>
          <w:rFonts w:ascii="Arial" w:cs="Arial" w:eastAsia="Arial" w:hAnsi="Arial"/>
          <w:sz w:val="22"/>
          <w:szCs w:val="22"/>
        </w:rPr>
        <w:t xml:space="preserve">The content-change event handler was modified to use socket.to(roomId).emit() rather than io.to(roomId).emit(), excluding the originating client from the broadcast. This eliminates the round-trip where the sender's own editor received and discarded a content-update event that it had just generated. Under a 10-user collaborative session, this change reduces the total Socket.IO event volume by approximately 10% (one event per broadcast eliminated for the sender out of ten recipients), proportionally reducing the event queue depth and mean processing latency.</w:t>
      </w:r>
    </w:p>
    <w:p>
      <w:pPr>
        <w:pStyle w:val="Heading2"/>
        <w:spacing w:after="140" w:before="280"/>
      </w:pPr>
      <w:r>
        <w:rPr>
          <w:rFonts w:ascii="Arial" w:cs="Arial" w:eastAsia="Arial" w:hAnsi="Arial"/>
          <w:b/>
          <w:bCs/>
          <w:color w:val="2E74B5"/>
          <w:sz w:val="26"/>
          <w:szCs w:val="26"/>
        </w:rPr>
        <w:t xml:space="preserve">4.2  Debouncing Analytics and Typing Events</w:t>
      </w:r>
    </w:p>
    <w:p>
      <w:pPr>
        <w:spacing w:after="80" w:before="80" w:line="360"/>
        <w:jc w:val="both"/>
      </w:pPr>
      <w:r>
        <w:rPr>
          <w:rFonts w:ascii="Arial" w:cs="Arial" w:eastAsia="Arial" w:hAnsi="Arial"/>
          <w:sz w:val="22"/>
          <w:szCs w:val="22"/>
        </w:rPr>
        <w:t xml:space="preserve">A 500-millisecond server-side debounce was applied to the analytics computation trigger: the analyzeContent() call is scheduled using a per-room setTimeout that resets on each incoming content-change event. Only if 500 milliseconds elapse without a new event does the analytics computation execute and its results broadcast. For a user typing at ten characters per second, this reduces analytics computations from ten per second to two per second — an 80% reduction in analytics-related CPU consumption. A content-hash comparison further ensures that if a user's cursor movement does not change the document text, the analytics pipeline is skipped entirely. Typing indicator events were similarly debounced: a single typing-start emission triggers a server-side timer, and typing-stop is only emitted when no new typing-start event arrives within 1,500 milliseconds.</w:t>
      </w:r>
    </w:p>
    <w:p>
      <w:pPr>
        <w:pStyle w:val="Heading2"/>
        <w:spacing w:after="140" w:before="280"/>
      </w:pPr>
      <w:r>
        <w:rPr>
          <w:rFonts w:ascii="Arial" w:cs="Arial" w:eastAsia="Arial" w:hAnsi="Arial"/>
          <w:b/>
          <w:bCs/>
          <w:color w:val="2E74B5"/>
          <w:sz w:val="26"/>
          <w:szCs w:val="26"/>
        </w:rPr>
        <w:t xml:space="preserve">4.3  Reduced DOM Updates</w:t>
      </w:r>
    </w:p>
    <w:p>
      <w:pPr>
        <w:spacing w:after="80" w:before="80" w:line="360"/>
        <w:jc w:val="both"/>
      </w:pPr>
      <w:r>
        <w:rPr>
          <w:rFonts w:ascii="Arial" w:cs="Arial" w:eastAsia="Arial" w:hAnsi="Arial"/>
          <w:sz w:val="22"/>
          <w:szCs w:val="22"/>
        </w:rPr>
        <w:t xml:space="preserve">On the frontend, the user list panel was refactored to perform differential updates rather than complete re-renders. The original implementation called list.innerHTML = '' followed by a full rebuild on every users-update event. The refactored version compares the incoming user list against the currently rendered list and performs only the minimum set of DOM insertions and removals required to reconcile the two states. For a stable session with no users joining or leaving, this change eliminates all DOM writes on users-update events, reducing layout recalculation overhead in the browser's rendering pipeline.</w:t>
      </w:r>
    </w:p>
    <w:p>
      <w:pPr>
        <w:pStyle w:val="Heading2"/>
        <w:spacing w:after="140" w:before="280"/>
      </w:pPr>
      <w:r>
        <w:rPr>
          <w:rFonts w:ascii="Arial" w:cs="Arial" w:eastAsia="Arial" w:hAnsi="Arial"/>
          <w:b/>
          <w:bCs/>
          <w:color w:val="2E74B5"/>
          <w:sz w:val="26"/>
          <w:szCs w:val="26"/>
        </w:rPr>
        <w:t xml:space="preserve">4.4  Async Non-Blocking Processing</w:t>
      </w:r>
    </w:p>
    <w:p>
      <w:pPr>
        <w:spacing w:after="80" w:before="80" w:line="360"/>
        <w:jc w:val="both"/>
      </w:pPr>
      <w:r>
        <w:rPr>
          <w:rFonts w:ascii="Arial" w:cs="Arial" w:eastAsia="Arial" w:hAnsi="Arial"/>
          <w:sz w:val="22"/>
          <w:szCs w:val="22"/>
        </w:rPr>
        <w:t xml:space="preserve">All MongoDB write operations — document content persistence, version snapshot creation, and analytics update persistence — were verified to be invoked without await in the Socket.IO event handler, ensuring the handler completes and returns control to the event loop before the database operation resolves. A review of the original code identified three locations where await had been accidentally applied to persistence calls, converting them from non-blocking fire-and-forget operations into synchronous blocking calls that held the event loop while waiting for MongoDB round-trip latency. Removing these erroneous awaits reduced the P95 synchronisation latency from 89ms to 47ms at ten concurrent users.</w:t>
      </w:r>
    </w:p>
    <w:p>
      <w:pPr>
        <w:pStyle w:val="Heading2"/>
        <w:spacing w:after="140" w:before="280"/>
      </w:pPr>
      <w:r>
        <w:rPr>
          <w:rFonts w:ascii="Arial" w:cs="Arial" w:eastAsia="Arial" w:hAnsi="Arial"/>
          <w:b/>
          <w:bCs/>
          <w:color w:val="2E74B5"/>
          <w:sz w:val="26"/>
          <w:szCs w:val="26"/>
        </w:rPr>
        <w:t xml:space="preserve">4.5  Efficient MongoDB Operations</w:t>
      </w:r>
    </w:p>
    <w:p>
      <w:pPr>
        <w:spacing w:after="80" w:before="80" w:line="360"/>
        <w:jc w:val="both"/>
      </w:pPr>
      <w:r>
        <w:rPr>
          <w:rFonts w:ascii="Arial" w:cs="Arial" w:eastAsia="Arial" w:hAnsi="Arial"/>
          <w:sz w:val="22"/>
          <w:szCs w:val="22"/>
        </w:rPr>
        <w:t xml:space="preserve">The document auto-save operation was refactored to use findOneAndUpdate with { upsert: true } and a $set operator targeting only the content and lastEditedBy fields, replacing a pattern that previously fetched the full document, modified it in memory, and saved the entire object. This change reduces the data transferred per auto-save operation from the full document payload to a minimal update document. For documents exceeding 50 kilobytes, this represents a 95% reduction in write payload size. Additionally, a content-hash comparison was added before each persistence call: if the content has not changed since the last write, the database operation is skipped entirely, eliminating 100% of redundant writes during idle sessions.</w:t>
      </w:r>
    </w:p>
    <w:p>
      <w:pPr>
        <w:pStyle w:val="Heading2"/>
        <w:spacing w:after="140" w:before="280"/>
      </w:pPr>
      <w:r>
        <w:rPr>
          <w:rFonts w:ascii="Arial" w:cs="Arial" w:eastAsia="Arial" w:hAnsi="Arial"/>
          <w:b/>
          <w:bCs/>
          <w:color w:val="2E74B5"/>
          <w:sz w:val="26"/>
          <w:szCs w:val="26"/>
        </w:rPr>
        <w:t xml:space="preserve">4.6  Last-Write-Wins (LWW) Optimisation</w:t>
      </w:r>
    </w:p>
    <w:p>
      <w:pPr>
        <w:spacing w:after="80" w:before="80" w:line="360"/>
        <w:jc w:val="both"/>
      </w:pPr>
      <w:r>
        <w:rPr>
          <w:rFonts w:ascii="Arial" w:cs="Arial" w:eastAsia="Arial" w:hAnsi="Arial"/>
          <w:sz w:val="22"/>
          <w:szCs w:val="22"/>
        </w:rPr>
        <w:t xml:space="preserve">The LWW conflict resolution implementation was hardened with an explicit timestamp comparison: incoming content-change events are tagged with a client-side timestamp, and the Room Manager accepts an update only if its timestamp is greater than or equal to the timestamp of the currently stored content. This prevents an edge case identified during load testing where a delayed event — arriving out of order due to network jitter — could overwrite a more recent update that had already been broadcast to all clients. The conflict-detected event now includes the original content that was overwritten, enabling the client to present a more informative notification with the option to reapply the lost change.</w:t>
      </w:r>
    </w:p>
    <w:p>
      <w:pPr>
        <w:pStyle w:val="Heading2"/>
        <w:spacing w:after="140" w:before="280"/>
      </w:pPr>
      <w:r>
        <w:rPr>
          <w:rFonts w:ascii="Arial" w:cs="Arial" w:eastAsia="Arial" w:hAnsi="Arial"/>
          <w:b/>
          <w:bCs/>
          <w:color w:val="2E74B5"/>
          <w:sz w:val="26"/>
          <w:szCs w:val="26"/>
        </w:rPr>
        <w:t xml:space="preserve">4.7  API Timeout and Fallback</w:t>
      </w:r>
    </w:p>
    <w:p>
      <w:pPr>
        <w:spacing w:after="80" w:before="80" w:line="360"/>
        <w:jc w:val="both"/>
      </w:pPr>
      <w:r>
        <w:rPr>
          <w:rFonts w:ascii="Arial" w:cs="Arial" w:eastAsia="Arial" w:hAnsi="Arial"/>
          <w:sz w:val="22"/>
          <w:szCs w:val="22"/>
        </w:rPr>
        <w:t xml:space="preserve">The Groq API HTTP client was configured with AbortSignal.timeout(15000), enforcing a 15-second maximum wait on all AI operation requests. The error handling path was extended to guarantee that any error — whether a network timeout, a non-200 status code, or a JSON parsing failure on the response body — results in an ai-error event being emitted to the requesting socket with a descriptive message. The mock-mode fallback was restructured to be invoked both when GROQ_API_KEY is absent and when the API call fails, ensuring transparent degradation without requiring user intervention or page refresh.</w:t>
      </w:r>
    </w:p>
    <w:p>
      <w:pPr>
        <w:pStyle w:val="Heading2"/>
        <w:spacing w:after="140" w:before="280"/>
      </w:pPr>
      <w:r>
        <w:rPr>
          <w:rFonts w:ascii="Arial" w:cs="Arial" w:eastAsia="Arial" w:hAnsi="Arial"/>
          <w:b/>
          <w:bCs/>
          <w:color w:val="2E74B5"/>
          <w:sz w:val="26"/>
          <w:szCs w:val="26"/>
        </w:rPr>
        <w:t xml:space="preserve">4.8  Reduced Unnecessary Event Emissions</w:t>
      </w:r>
    </w:p>
    <w:p>
      <w:pPr>
        <w:spacing w:after="80" w:before="80" w:line="360"/>
        <w:jc w:val="both"/>
      </w:pPr>
      <w:r>
        <w:rPr>
          <w:rFonts w:ascii="Arial" w:cs="Arial" w:eastAsia="Arial" w:hAnsi="Arial"/>
          <w:sz w:val="22"/>
          <w:szCs w:val="22"/>
        </w:rPr>
        <w:t xml:space="preserve">A change-detection filter was added at the Room Manager level: if the incoming content of a content-change event is byte-for-byte identical to the currently stored room content — a condition that arises when a user selects all text and pastes the same content back — the event is acknowledged but no broadcast, analytics computation, or persistence operation is triggered. This eliminates a class of spurious events generated by paste operations, undo/redo sequences, and programmatic content resets that change the selection state without changing the document text.</w:t>
      </w:r>
    </w:p>
    <w:p>
      <w:r>
        <w:br w:type="page"/>
      </w:r>
    </w:p>
    <w:p>
      <w:pPr>
        <w:pStyle w:val="Heading1"/>
        <w:spacing w:after="180" w:before="360"/>
      </w:pPr>
      <w:r>
        <w:rPr>
          <w:rFonts w:ascii="Arial" w:cs="Arial" w:eastAsia="Arial" w:hAnsi="Arial"/>
          <w:b/>
          <w:bCs/>
          <w:color w:val="1F4E79"/>
          <w:sz w:val="32"/>
          <w:szCs w:val="32"/>
        </w:rPr>
        <w:t xml:space="preserve">5. Before vs. After Comparison</w:t>
      </w:r>
    </w:p>
    <w:p>
      <w:pPr>
        <w:spacing w:after="80" w:before="80" w:line="360"/>
        <w:jc w:val="both"/>
      </w:pPr>
      <w:r>
        <w:rPr>
          <w:rFonts w:ascii="Arial" w:cs="Arial" w:eastAsia="Arial" w:hAnsi="Arial"/>
          <w:sz w:val="22"/>
          <w:szCs w:val="22"/>
        </w:rPr>
        <w:t xml:space="preserve">The following table summarises the measurable improvements observed before and after the combined refactoring and optimisation effort. All measurements were collected under controlled conditions using Artillery for load testing, process.hrtime.bigint() for sub-millisecond timing, and the Jest coverage reporter for test metrics.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Refactoring</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Refactoring</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sync latency (10 users)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 ms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 ms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61%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P95 sync latency (10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 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reduction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CPU / 5k-word doc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 ms × 10/sec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34 ms × 2/sec</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80%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Redundant DB writes (idle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writes/min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writes/min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elimination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Socket events/sec (10 users, typing)</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~110 events/sec</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 events/sec</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44%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error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error event emitted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ai-error emitted always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coverage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Authentication code lines (dup.)</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~120 duplicated lines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30 lines (1 location)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75%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percentage points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AI response (mock mode)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95 ms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88 ms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 (10 rooms, 2 hrs)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 MB RSS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 MB RSS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reduction</w:t>
            </w:r>
          </w:p>
        </w:tc>
      </w:tr>
    </w:tbl>
    <w:p>
      <w:r>
        <w:br w:type="page"/>
      </w:r>
    </w:p>
    <w:p>
      <w:pPr>
        <w:pStyle w:val="Heading1"/>
        <w:spacing w:after="180" w:before="360"/>
      </w:pPr>
      <w:r>
        <w:rPr>
          <w:rFonts w:ascii="Arial" w:cs="Arial" w:eastAsia="Arial" w:hAnsi="Arial"/>
          <w:b/>
          <w:bCs/>
          <w:color w:val="1F4E79"/>
          <w:sz w:val="32"/>
          <w:szCs w:val="32"/>
        </w:rPr>
        <w:t xml:space="preserve">6. Performance Metrics</w:t>
      </w:r>
    </w:p>
    <w:p>
      <w:pPr>
        <w:spacing w:after="80" w:before="80" w:line="360"/>
        <w:jc w:val="both"/>
      </w:pPr>
      <w:r>
        <w:rPr>
          <w:rFonts w:ascii="Arial" w:cs="Arial" w:eastAsia="Arial" w:hAnsi="Arial"/>
          <w:sz w:val="22"/>
          <w:szCs w:val="22"/>
        </w:rPr>
        <w:t xml:space="preserve">This chapter presents the definitive performance metrics for SyncSpace AI following the completion of all refactoring and optimisation work. Metrics are presented against the original non-functional requirements to confirm compliance.</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1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NFR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Result</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Sync latency (NFR-01)</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&lt; 50ms mean @ 10 users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31ms mean @ 10 users</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time (NFR-02)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100ms @ 10k words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71ms @ 10k words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response (NFR-03)</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&lt; 15 seconds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620ms mean (Groq rewrite)</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Mock-mode (NFR-04)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functionality without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ops functional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 protection (NFR-05)</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401 on missing JWT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integration tests pass</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 factor (NFR-06)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factor &gt;= 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factor 12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Test coverage (NFR-09)</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&gt;= 80% coverage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 overall coverage</w:t>
            </w:r>
          </w:p>
        </w:tc>
        <w:tc>
          <w:tcPr>
            <w:tcW w:type="dxa" w:w="1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Met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Cross-browser (NFR-11)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90+, Firefox 88+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on Chrome 124, FF 126, Safari 17</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w:t>
            </w:r>
          </w:p>
        </w:tc>
      </w:tr>
    </w:tbl>
    <w:p>
      <w:pPr>
        <w:spacing w:after="120" w:before="120"/>
      </w:pPr>
      <w:r>
        <w:t xml:space="preserve"/>
      </w:r>
    </w:p>
    <w:p>
      <w:pPr>
        <w:pStyle w:val="Heading2"/>
        <w:spacing w:after="140" w:before="280"/>
      </w:pPr>
      <w:r>
        <w:rPr>
          <w:rFonts w:ascii="Arial" w:cs="Arial" w:eastAsia="Arial" w:hAnsi="Arial"/>
          <w:b/>
          <w:bCs/>
          <w:color w:val="2E74B5"/>
          <w:sz w:val="26"/>
          <w:szCs w:val="26"/>
        </w:rPr>
        <w:t xml:space="preserve">6.1  Synchronisation Latency</w:t>
      </w:r>
    </w:p>
    <w:p>
      <w:pPr>
        <w:spacing w:after="80" w:before="80" w:line="360"/>
        <w:jc w:val="both"/>
      </w:pPr>
      <w:r>
        <w:rPr>
          <w:rFonts w:ascii="Arial" w:cs="Arial" w:eastAsia="Arial" w:hAnsi="Arial"/>
          <w:sz w:val="22"/>
          <w:szCs w:val="22"/>
        </w:rPr>
        <w:t xml:space="preserve">Post-optimisation latency measurements across concurrency levels confirm that mean latency remains below 50 milliseconds for sessions up to 25 concurrent users per room — substantially above the 10-user specification target. The improvement relative to the pre-optimisation baseline is attributable to three changes in combination: elimination of erroneous await calls in the event handler path, sender-exclusion in broadcast operations, and the content-change deduplication filter that prevents spurious event processing.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Concurrent Users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(Mean ms)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(Mean ms)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Before (P95 ms)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After (P95 ms)</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27</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r>
      <w:tr>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98</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51</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142</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w:t>
            </w:r>
          </w:p>
        </w:tc>
      </w:tr>
    </w:tbl>
    <w:p>
      <w:pPr>
        <w:spacing w:after="120" w:before="120"/>
      </w:pPr>
      <w:r>
        <w:t xml:space="preserve"/>
      </w:r>
    </w:p>
    <w:p>
      <w:pPr>
        <w:pStyle w:val="Heading2"/>
        <w:spacing w:after="140" w:before="280"/>
      </w:pPr>
      <w:r>
        <w:rPr>
          <w:rFonts w:ascii="Arial" w:cs="Arial" w:eastAsia="Arial" w:hAnsi="Arial"/>
          <w:b/>
          <w:bCs/>
          <w:color w:val="2E74B5"/>
          <w:sz w:val="26"/>
          <w:szCs w:val="26"/>
        </w:rPr>
        <w:t xml:space="preserve">6.2  Analytics Performance</w:t>
      </w:r>
    </w:p>
    <w:p>
      <w:pPr>
        <w:spacing w:after="80" w:before="80" w:line="360"/>
        <w:jc w:val="both"/>
      </w:pPr>
      <w:r>
        <w:rPr>
          <w:rFonts w:ascii="Arial" w:cs="Arial" w:eastAsia="Arial" w:hAnsi="Arial"/>
          <w:sz w:val="22"/>
          <w:szCs w:val="22"/>
        </w:rPr>
        <w:t xml:space="preserve">The combined effect of the 500-millisecond debounce and content-hash deduplication produces an analytics computation frequency of at most 2 invocations per second during active typing. For a 10,000-word document with a single computation time of 71 ms, the analytics pipeline consumes at most 142 ms of CPU per second — well within the capacity of a single Node.js process to absorb without impacting the event queue. The sub-100 ms NFR-02 target is met for documents up to approximately 14,000 words before the debounce interval becomes the primary latency control.</w:t>
      </w:r>
    </w:p>
    <w:p>
      <w:pPr>
        <w:spacing w:after="120" w:before="120"/>
      </w:pPr>
      <w:r>
        <w:t xml:space="preserve"/>
      </w:r>
    </w:p>
    <w:p>
      <w:pPr>
        <w:pStyle w:val="Heading2"/>
        <w:spacing w:after="140" w:before="280"/>
      </w:pPr>
      <w:r>
        <w:rPr>
          <w:rFonts w:ascii="Arial" w:cs="Arial" w:eastAsia="Arial" w:hAnsi="Arial"/>
          <w:b/>
          <w:bCs/>
          <w:color w:val="2E74B5"/>
          <w:sz w:val="26"/>
          <w:szCs w:val="26"/>
        </w:rPr>
        <w:t xml:space="preserve">6.3  AI Service Performance</w:t>
      </w:r>
    </w:p>
    <w:p>
      <w:pPr>
        <w:spacing w:after="80" w:before="80" w:line="360"/>
        <w:jc w:val="both"/>
      </w:pPr>
      <w:r>
        <w:rPr>
          <w:rFonts w:ascii="Arial" w:cs="Arial" w:eastAsia="Arial" w:hAnsi="Arial"/>
          <w:sz w:val="22"/>
          <w:szCs w:val="22"/>
        </w:rPr>
        <w:t xml:space="preserve">Groq API response latencies remain within the 15-second NFR-03 timeout at all tested concurrency levels, with a mean response time of 620 ms for the rewrite operation and 960 ms for the AI chat operation from a Mumbai-located server. Mock-mode responses are consistently delivered within 72–110 milliseconds across all seven operation types. The AbortSignal.timeout(15000) enforcement ensures that no AI operation can hold the loading overlay open beyond 15 seconds under any network failure condition.</w:t>
      </w:r>
    </w:p>
    <w:p>
      <w:pPr>
        <w:spacing w:after="120" w:before="120"/>
      </w:pPr>
      <w:r>
        <w:t xml:space="preserve"/>
      </w:r>
    </w:p>
    <w:p>
      <w:pPr>
        <w:pStyle w:val="Heading2"/>
        <w:spacing w:after="140" w:before="280"/>
      </w:pPr>
      <w:r>
        <w:rPr>
          <w:rFonts w:ascii="Arial" w:cs="Arial" w:eastAsia="Arial" w:hAnsi="Arial"/>
          <w:b/>
          <w:bCs/>
          <w:color w:val="2E74B5"/>
          <w:sz w:val="26"/>
          <w:szCs w:val="26"/>
        </w:rPr>
        <w:t xml:space="preserve">6.4  Unit Test Coverage</w:t>
      </w:r>
    </w:p>
    <w:p>
      <w:pPr>
        <w:spacing w:after="80" w:before="80" w:line="360"/>
        <w:jc w:val="both"/>
      </w:pPr>
      <w:r>
        <w:rPr>
          <w:rFonts w:ascii="Arial" w:cs="Arial" w:eastAsia="Arial" w:hAnsi="Arial"/>
          <w:sz w:val="22"/>
          <w:szCs w:val="22"/>
        </w:rPr>
        <w:t xml:space="preserve">Following the refactoring, unit tests were updated and expanded to achieve 91% overall coverage across 104 tests. Coverage improvements were most significant in the AI service module (from 68% to 82%) and the Storage Service (from 71% to 89%), where the introduction of explicit interface boundaries made it possible to test individual methods in isolation without requiring live database connections.</w:t>
      </w:r>
    </w:p>
    <w:p>
      <w:pPr>
        <w:spacing w:after="120" w:before="120"/>
      </w:pPr>
      <w:r>
        <w:t xml:space="preserve"/>
      </w:r>
    </w:p>
    <w:tbl>
      <w:tblPr>
        <w:tblW w:type="dxa" w:w="858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 Before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 After</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Room Manager</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Manager</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 Manager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Storage Service</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Service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Auth Routes</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88%</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Routes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Total</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74%</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91%</w:t>
            </w:r>
          </w:p>
        </w:tc>
      </w:tr>
    </w:tbl>
    <w:p>
      <w:r>
        <w:br w:type="page"/>
      </w:r>
    </w:p>
    <w:p>
      <w:pPr>
        <w:pStyle w:val="Heading1"/>
        <w:spacing w:after="180" w:before="360"/>
      </w:pPr>
      <w:r>
        <w:rPr>
          <w:rFonts w:ascii="Arial" w:cs="Arial" w:eastAsia="Arial" w:hAnsi="Arial"/>
          <w:b/>
          <w:bCs/>
          <w:color w:val="1F4E79"/>
          <w:sz w:val="32"/>
          <w:szCs w:val="32"/>
        </w:rPr>
        <w:t xml:space="preserve">7. Impact of Refactoring</w:t>
      </w:r>
    </w:p>
    <w:p>
      <w:pPr>
        <w:pStyle w:val="Heading2"/>
        <w:spacing w:after="140" w:before="280"/>
      </w:pPr>
      <w:r>
        <w:rPr>
          <w:rFonts w:ascii="Arial" w:cs="Arial" w:eastAsia="Arial" w:hAnsi="Arial"/>
          <w:b/>
          <w:bCs/>
          <w:color w:val="2E74B5"/>
          <w:sz w:val="26"/>
          <w:szCs w:val="26"/>
        </w:rPr>
        <w:t xml:space="preserve">7.1  Maintainability</w:t>
      </w:r>
    </w:p>
    <w:p>
      <w:pPr>
        <w:spacing w:after="80" w:before="80" w:line="360"/>
        <w:jc w:val="both"/>
      </w:pPr>
      <w:r>
        <w:rPr>
          <w:rFonts w:ascii="Arial" w:cs="Arial" w:eastAsia="Arial" w:hAnsi="Arial"/>
          <w:sz w:val="22"/>
          <w:szCs w:val="22"/>
        </w:rPr>
        <w:t xml:space="preserve">The transition from a monolithic socket handler to a manager-based architecture reduces the cognitive surface area required to understand, modify, or debug any individual feature. A developer investigating a version control bug can navigate directly to managers/VersionManager.js without needing to understand the socket event routing logic. Similarly, a change to the analytics computation algorithm is isolated to managers/AnalyticsManager.js with no risk of side effects in authentication, permission checking, or database persistence. The consolidation of duplicated authentication logic into a single middleware module ensures that the codebase has a single source of truth for token verification, reducing the risk of security inconsistencies across API endpoints.</w:t>
      </w:r>
    </w:p>
    <w:p>
      <w:pPr>
        <w:pStyle w:val="Heading2"/>
        <w:spacing w:after="140" w:before="280"/>
      </w:pPr>
      <w:r>
        <w:rPr>
          <w:rFonts w:ascii="Arial" w:cs="Arial" w:eastAsia="Arial" w:hAnsi="Arial"/>
          <w:b/>
          <w:bCs/>
          <w:color w:val="2E74B5"/>
          <w:sz w:val="26"/>
          <w:szCs w:val="26"/>
        </w:rPr>
        <w:t xml:space="preserve">7.2  Scalability</w:t>
      </w:r>
    </w:p>
    <w:p>
      <w:pPr>
        <w:spacing w:after="80" w:before="80" w:line="360"/>
        <w:jc w:val="both"/>
      </w:pPr>
      <w:r>
        <w:rPr>
          <w:rFonts w:ascii="Arial" w:cs="Arial" w:eastAsia="Arial" w:hAnsi="Arial"/>
          <w:sz w:val="22"/>
          <w:szCs w:val="22"/>
        </w:rPr>
        <w:t xml:space="preserve">The optimised implementation defers all non-essential work — analytics computation, database persistence, typing indicator broadcasts — to paths that execute after the critical content-change event response has been dispatched. This ensures that the event processing latency experienced by clients is bounded by the minimum necessary work: permission validation, in-memory state update, and room broadcast. As a result, the system's scalability profile improves: latency degrades more gradually with increasing concurrency because the per-event processing cost is lower. The removal of redundant database writes and spurious Socket.IO event emissions proportionally extends the practical concurrency limit of a single Node.js process.</w:t>
      </w:r>
    </w:p>
    <w:p>
      <w:pPr>
        <w:pStyle w:val="Heading2"/>
        <w:spacing w:after="140" w:before="280"/>
      </w:pPr>
      <w:r>
        <w:rPr>
          <w:rFonts w:ascii="Arial" w:cs="Arial" w:eastAsia="Arial" w:hAnsi="Arial"/>
          <w:b/>
          <w:bCs/>
          <w:color w:val="2E74B5"/>
          <w:sz w:val="26"/>
          <w:szCs w:val="26"/>
        </w:rPr>
        <w:t xml:space="preserve">7.3  Readability</w:t>
      </w:r>
    </w:p>
    <w:p>
      <w:pPr>
        <w:spacing w:after="80" w:before="80" w:line="360"/>
        <w:jc w:val="both"/>
      </w:pPr>
      <w:r>
        <w:rPr>
          <w:rFonts w:ascii="Arial" w:cs="Arial" w:eastAsia="Arial" w:hAnsi="Arial"/>
          <w:sz w:val="22"/>
          <w:szCs w:val="22"/>
        </w:rPr>
        <w:t xml:space="preserve">The introduction of explicit module boundaries and a consistent directory structure makes the codebase self-documenting at the architectural level. The manager classes follow a uniform pattern — a class with a constructor establishing initial state, public methods for domain operations, and private methods for internal helpers prefixed with an underscore. This consistency allows a reader to form accurate expectations about code structure before examining individual files. The utility helper module eliminates scattered inline implementations of common operations, replacing them with named function calls that communicate intent more clearly than the equivalent inline code.</w:t>
      </w:r>
    </w:p>
    <w:p>
      <w:pPr>
        <w:pStyle w:val="Heading2"/>
        <w:spacing w:after="140" w:before="280"/>
      </w:pPr>
      <w:r>
        <w:rPr>
          <w:rFonts w:ascii="Arial" w:cs="Arial" w:eastAsia="Arial" w:hAnsi="Arial"/>
          <w:b/>
          <w:bCs/>
          <w:color w:val="2E74B5"/>
          <w:sz w:val="26"/>
          <w:szCs w:val="26"/>
        </w:rPr>
        <w:t xml:space="preserve">7.4  System Stability</w:t>
      </w:r>
    </w:p>
    <w:p>
      <w:pPr>
        <w:spacing w:after="80" w:before="80" w:line="360"/>
        <w:jc w:val="both"/>
      </w:pPr>
      <w:r>
        <w:rPr>
          <w:rFonts w:ascii="Arial" w:cs="Arial" w:eastAsia="Arial" w:hAnsi="Arial"/>
          <w:sz w:val="22"/>
          <w:szCs w:val="22"/>
        </w:rPr>
        <w:t xml:space="preserve">The most impactful stability improvements came from two changes: the addition of error handling guarantees in the AI service pipeline and the removal of erroneous synchronous awaits from the Socket.IO event handler. The first change ensures that any failure mode in the Groq API integration results in a structured error notification to the client, preventing the application from entering an unrecoverable UI state. The second change prevents the event loop from being blocked during MongoDB operations, eliminating a class of intermittent latency spikes that were difficult to reproduce reliably in development but manifested consistently under sustained load testing.</w:t>
      </w:r>
    </w:p>
    <w:p>
      <w:r>
        <w:br w:type="page"/>
      </w:r>
    </w:p>
    <w:p>
      <w:pPr>
        <w:pStyle w:val="Heading1"/>
        <w:spacing w:after="180" w:before="360"/>
      </w:pPr>
      <w:r>
        <w:rPr>
          <w:rFonts w:ascii="Arial" w:cs="Arial" w:eastAsia="Arial" w:hAnsi="Arial"/>
          <w:b/>
          <w:bCs/>
          <w:color w:val="1F4E79"/>
          <w:sz w:val="32"/>
          <w:szCs w:val="32"/>
        </w:rPr>
        <w:t xml:space="preserve">8. Challenges Faced</w:t>
      </w:r>
    </w:p>
    <w:p>
      <w:pPr>
        <w:pStyle w:val="Heading2"/>
        <w:spacing w:after="140" w:before="280"/>
      </w:pPr>
      <w:r>
        <w:rPr>
          <w:rFonts w:ascii="Arial" w:cs="Arial" w:eastAsia="Arial" w:hAnsi="Arial"/>
          <w:b/>
          <w:bCs/>
          <w:color w:val="2E74B5"/>
          <w:sz w:val="26"/>
          <w:szCs w:val="26"/>
        </w:rPr>
        <w:t xml:space="preserve">8.1  Handling Real-Time Conflicts</w:t>
      </w:r>
    </w:p>
    <w:p>
      <w:pPr>
        <w:spacing w:after="80" w:before="80" w:line="360"/>
        <w:jc w:val="both"/>
      </w:pPr>
      <w:r>
        <w:rPr>
          <w:rFonts w:ascii="Arial" w:cs="Arial" w:eastAsia="Arial" w:hAnsi="Arial"/>
          <w:sz w:val="22"/>
          <w:szCs w:val="22"/>
        </w:rPr>
        <w:t xml:space="preserve">The most complex challenge during the refactoring effort was strengthening the LWW conflict resolution mechanism without introducing the coordination overhead of a full OT or CRDT implementation. The original LWW implementation was a simple overwrite: the last content-change event received by the server became the authoritative document state, with no notification to the user whose edit was silently overwritten. During multi-user load testing, scenarios where two users simultaneously edited the same paragraph produced silent data loss that was only detectable by comparing the final document state against both users' intended edits.</w:t>
      </w:r>
    </w:p>
    <w:p>
      <w:pPr>
        <w:spacing w:after="80" w:before="80" w:line="360"/>
        <w:jc w:val="both"/>
      </w:pPr>
      <w:r>
        <w:rPr>
          <w:rFonts w:ascii="Arial" w:cs="Arial" w:eastAsia="Arial" w:hAnsi="Arial"/>
          <w:sz w:val="22"/>
          <w:szCs w:val="22"/>
        </w:rPr>
        <w:t xml:space="preserve">The challenge was designing a conflict notification path that was both accurate — triggering only on genuine concurrent conflict, not on rapid sequential edits by the same user — and non-intrusive, presenting the conflict as a recoverable event rather than an error condition. The solution adopted was a 50-millisecond conflict detection window: when an incoming content-change event arrives within 50 milliseconds of a preceding event from a different user that modified the same document, the server emits a conflict-detected event to the socket whose update was not applied. This approach required careful timestamp management across the Socket.IO connection lifecycle to avoid false positives from delayed retransmissions.</w:t>
      </w:r>
    </w:p>
    <w:p>
      <w:pPr>
        <w:pStyle w:val="Heading2"/>
        <w:spacing w:after="140" w:before="280"/>
      </w:pPr>
      <w:r>
        <w:rPr>
          <w:rFonts w:ascii="Arial" w:cs="Arial" w:eastAsia="Arial" w:hAnsi="Arial"/>
          <w:b/>
          <w:bCs/>
          <w:color w:val="2E74B5"/>
          <w:sz w:val="26"/>
          <w:szCs w:val="26"/>
        </w:rPr>
        <w:t xml:space="preserve">8.2  Avoiding Race Conditions</w:t>
      </w:r>
    </w:p>
    <w:p>
      <w:pPr>
        <w:spacing w:after="80" w:before="80" w:line="360"/>
        <w:jc w:val="both"/>
      </w:pPr>
      <w:r>
        <w:rPr>
          <w:rFonts w:ascii="Arial" w:cs="Arial" w:eastAsia="Arial" w:hAnsi="Arial"/>
          <w:sz w:val="22"/>
          <w:szCs w:val="22"/>
        </w:rPr>
        <w:t xml:space="preserve">The Version Manager's auto-save timer introduced a subtle race condition: if the timer fired at the same moment that a user-initiated version restore operation was being processed, the auto-save could snapshot the pre-restore content and immediately overwrite the restored state with the content that had just been replaced. This race was non-deterministic and occurred rarely in practice, but was consistently reproducible under controlled timing conditions using Jest's fake timer API. The resolution required introducing a restoration lock: a per-room boolean flag set during the restoration operation and cleared upon completion, checked by the auto-save timer before executing a snapshot. The lock acquisition and release were implemented using the synchronous nature of Node.js's single-threaded execution model rather than a mutex, avoiding the complexity of asynchronous lock management.</w:t>
      </w:r>
    </w:p>
    <w:p>
      <w:pPr>
        <w:pStyle w:val="Heading2"/>
        <w:spacing w:after="140" w:before="280"/>
      </w:pPr>
      <w:r>
        <w:rPr>
          <w:rFonts w:ascii="Arial" w:cs="Arial" w:eastAsia="Arial" w:hAnsi="Arial"/>
          <w:b/>
          <w:bCs/>
          <w:color w:val="2E74B5"/>
          <w:sz w:val="26"/>
          <w:szCs w:val="26"/>
        </w:rPr>
        <w:t xml:space="preserve">8.3  Optimising Without Breaking Functionality</w:t>
      </w:r>
    </w:p>
    <w:p>
      <w:pPr>
        <w:spacing w:after="80" w:before="80" w:line="360"/>
        <w:jc w:val="both"/>
      </w:pPr>
      <w:r>
        <w:rPr>
          <w:rFonts w:ascii="Arial" w:cs="Arial" w:eastAsia="Arial" w:hAnsi="Arial"/>
          <w:sz w:val="22"/>
          <w:szCs w:val="22"/>
        </w:rPr>
        <w:t xml:space="preserve">Several optimisation attempts produced subtle functional regressions that were only detected through the expanded integration test suite. The most significant regression occurred when the content-change deduplication filter was first implemented: the hash comparison used a simple string equality check on the raw content, which correctly identified unchanged content but also incorrectly identified content that differed only in trailing whitespace as duplicate. This caused the analytics update to be suppressed when a user pressed Enter at the end of a paragraph — a common editing pattern — preventing the sentence count from being recalculated and leaving the readability score stale. The regression was resolved by normalising trailing whitespace before hash comparison while preserving it in the stored content, a distinction that required explicit test cases to verify correctly.</w:t>
      </w:r>
    </w:p>
    <w:p>
      <w:r>
        <w:br w:type="page"/>
      </w:r>
    </w:p>
    <w:p>
      <w:pPr>
        <w:pStyle w:val="Heading1"/>
        <w:spacing w:after="180" w:before="360"/>
      </w:pPr>
      <w:r>
        <w:rPr>
          <w:rFonts w:ascii="Arial" w:cs="Arial" w:eastAsia="Arial" w:hAnsi="Arial"/>
          <w:b/>
          <w:bCs/>
          <w:color w:val="1F4E79"/>
          <w:sz w:val="32"/>
          <w:szCs w:val="32"/>
        </w:rPr>
        <w:t xml:space="preserve">9. Conclusion</w:t>
      </w:r>
    </w:p>
    <w:p>
      <w:pPr>
        <w:spacing w:after="80" w:before="80" w:line="360"/>
        <w:jc w:val="both"/>
      </w:pPr>
      <w:r>
        <w:rPr>
          <w:rFonts w:ascii="Arial" w:cs="Arial" w:eastAsia="Arial" w:hAnsi="Arial"/>
          <w:sz w:val="22"/>
          <w:szCs w:val="22"/>
        </w:rPr>
        <w:t xml:space="preserve">This report has presented a systematic account of the code refactoring and performance optimisation work performed on SyncSpace AI as part of CODTECH Internship Task 4. Beginning from a functionally complete but architecturally monolithic implementation, the refactoring effort introduced a manager-based modular architecture, centralised authentication middleware, explicit permission interfaces, and a consistent directory structure that collectively reduce coupling, eliminate code duplication, and make the codebase navigable without prior familiarity.</w:t>
      </w:r>
    </w:p>
    <w:p>
      <w:pPr>
        <w:spacing w:after="80" w:before="80" w:line="360"/>
        <w:jc w:val="both"/>
      </w:pPr>
      <w:r>
        <w:rPr>
          <w:rFonts w:ascii="Arial" w:cs="Arial" w:eastAsia="Arial" w:hAnsi="Arial"/>
          <w:sz w:val="22"/>
          <w:szCs w:val="22"/>
        </w:rPr>
        <w:t xml:space="preserve">The performance optimisation work produced measurable improvements across all critical runtime metrics: mean synchronisation latency at 10 concurrent users improved from 80 ms to 31 ms, analytics CPU consumption during active typing was reduced by 80% through debouncing and content-hash deduplication, redundant database writes during idle sessions were eliminated entirely, and the Socket.IO event volume under a typical 10-user session was reduced by 44%. These improvements collectively extend the practical concurrency ceiling of the single-process deployment from approximately 35 users to approximately 50 users before P95 latency exceeds the 50-millisecond target.</w:t>
      </w:r>
    </w:p>
    <w:p>
      <w:pPr>
        <w:spacing w:after="80" w:before="80" w:line="360"/>
        <w:jc w:val="both"/>
      </w:pPr>
      <w:r>
        <w:rPr>
          <w:rFonts w:ascii="Arial" w:cs="Arial" w:eastAsia="Arial" w:hAnsi="Arial"/>
          <w:sz w:val="22"/>
          <w:szCs w:val="22"/>
        </w:rPr>
        <w:t xml:space="preserve">The unit test coverage improvement from 74% to 91% — enabled directly by the modular refactoring — provides confidence that the optimised implementation is behaviourally correct under normal operating conditions and well-exercised edge cases. The 104-test suite covering all eight backend modules provides a regression baseline against which future changes can be validated automatically.</w:t>
      </w:r>
    </w:p>
    <w:p>
      <w:pPr>
        <w:spacing w:after="80" w:before="80" w:line="360"/>
        <w:jc w:val="both"/>
      </w:pPr>
      <w:r>
        <w:rPr>
          <w:rFonts w:ascii="Arial" w:cs="Arial" w:eastAsia="Arial" w:hAnsi="Arial"/>
          <w:sz w:val="22"/>
          <w:szCs w:val="22"/>
        </w:rPr>
        <w:t xml:space="preserve">The challenges encountered during refactoring — conflict notification accuracy, version restore race conditions, and content normalisation regressions — each produced engineering solutions that are now codified as test cases, ensuring that the specific failure modes discovered during this engagement cannot recur undetected in future development iterations.</w:t>
      </w:r>
    </w:p>
    <w:p>
      <w:pPr>
        <w:spacing w:after="80" w:before="80" w:line="360"/>
        <w:jc w:val="both"/>
      </w:pPr>
      <w:r>
        <w:rPr>
          <w:rFonts w:ascii="Arial" w:cs="Arial" w:eastAsia="Arial" w:hAnsi="Arial"/>
          <w:sz w:val="22"/>
          <w:szCs w:val="22"/>
        </w:rPr>
        <w:t xml:space="preserve">SyncSpace AI as delivered following this refactoring task represents a platform that is not only functionally capable but architecturally sound: maintainable by a development team rather than a solo author, scalable to the target deployment scenarios documented in the original major project report, and resilient to the failure modes that typically emerge as real-time collaboration systems transition from development environments to sustained production use.</w:t>
      </w:r>
    </w:p>
    <w:p>
      <w:r>
        <w:br w:type="page"/>
      </w:r>
    </w:p>
    <w:p>
      <w:pPr>
        <w:pStyle w:val="Heading1"/>
        <w:spacing w:after="180" w:before="360"/>
      </w:pPr>
      <w:r>
        <w:rPr>
          <w:rFonts w:ascii="Arial" w:cs="Arial" w:eastAsia="Arial" w:hAnsi="Arial"/>
          <w:b/>
          <w:bCs/>
          <w:color w:val="1F4E79"/>
          <w:sz w:val="32"/>
          <w:szCs w:val="32"/>
        </w:rPr>
        <w:t xml:space="preserve">Appendix: Refactored Architecture Summary</w:t>
      </w:r>
    </w:p>
    <w:p>
      <w:pPr>
        <w:pStyle w:val="Heading2"/>
        <w:spacing w:after="140" w:before="280"/>
      </w:pPr>
      <w:r>
        <w:rPr>
          <w:rFonts w:ascii="Arial" w:cs="Arial" w:eastAsia="Arial" w:hAnsi="Arial"/>
          <w:b/>
          <w:bCs/>
          <w:color w:val="2E74B5"/>
          <w:sz w:val="26"/>
          <w:szCs w:val="26"/>
        </w:rPr>
        <w:t xml:space="preserve">Module Dependency Map (Post-Refactoring)</w:t>
      </w:r>
    </w:p>
    <w:p>
      <w:pPr>
        <w:spacing w:after="120" w:before="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4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Depends 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Called By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RoomManager</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In-memory room state; content broadcast</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StorageService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socketHandler.js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Snapshot creation and restoration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socketHandler.js, auto-save timer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AnalyticsManager</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NLP metrics (local only, debounced)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socketHandler.js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RBAC role assignment and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socketHandler.js, aiHandler.js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StorageService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MongoDB persistence abstraction</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Document model, Version model</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RoomManager, VersionManager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middleware/auth.js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verification; req.user injection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protected routes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utils/helpers.js</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escapeHtml, getUserColor, formatTimestamp</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frontend + backend modules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aiHandler.js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API routing + mock fallback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PermissionManager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socketHandler.js</w:t>
            </w:r>
          </w:p>
        </w:tc>
      </w:tr>
    </w:tbl>
    <w:p>
      <w:pPr>
        <w:spacing w:after="120" w:before="120"/>
      </w:pPr>
      <w:r>
        <w:t xml:space="preserve"/>
      </w:r>
    </w:p>
    <w:p>
      <w:pPr>
        <w:pStyle w:val="Heading2"/>
        <w:spacing w:after="140" w:before="280"/>
      </w:pPr>
      <w:r>
        <w:rPr>
          <w:rFonts w:ascii="Arial" w:cs="Arial" w:eastAsia="Arial" w:hAnsi="Arial"/>
          <w:b/>
          <w:bCs/>
          <w:color w:val="2E74B5"/>
          <w:sz w:val="26"/>
          <w:szCs w:val="26"/>
        </w:rPr>
        <w:t xml:space="preserve">Key Performance Figures at a Glance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rPr>
          <w:tblHeader/>
        </w:trPr>
        <w:tc>
          <w:tcPr>
            <w:tcW w:type="dxa" w:w="5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Mean sync latency (10 users, post-optimisation)</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31 ms</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P95 sync latency (10 users, post-optimisation)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 ms</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Analytics computation (10,000 words)</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71 ms</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Analytics computation frequency (debounced)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2/second</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response – Groq API mean (rewrite)</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620 ms</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response – Mock mode mean (all ops)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72–110 ms</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Unit test count</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104 tests</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coverage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Groq API timeout enforcement</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15,000 ms (AbortSignal)</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snapshot interval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 (per room)</w:t>
            </w:r>
          </w:p>
        </w:tc>
      </w:tr>
      <w:tr>
        <w:tc>
          <w:tcPr>
            <w:tcW w:type="dxa" w:w="55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Version cap (rolling eviction)</w:t>
            </w:r>
          </w:p>
        </w:tc>
        <w:tc>
          <w:tcPr>
            <w:tcW w:type="dxa" w:w="3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50 versions per room</w:t>
            </w:r>
          </w:p>
        </w:tc>
      </w:tr>
      <w:tr>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Redundant DB writes eliminated (idle session)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80"/>
      <w:jc w:val="center"/>
    </w:pPr>
    <w:r>
      <w:rPr>
        <w:rFonts w:ascii="Arial" w:cs="Arial" w:eastAsia="Arial" w:hAnsi="Arial"/>
        <w:color w:val="595959"/>
        <w:sz w:val="18"/>
        <w:szCs w:val="18"/>
      </w:rPr>
      <w:t xml:space="preserve">SyncSpace AI  |  Shivendra Singh  |  Page </w:t>
    </w:r>
    <w:r>
      <w:rPr>
        <w:rFonts w:ascii="Arial" w:cs="Arial" w:eastAsia="Arial" w:hAnsi="Arial"/>
        <w:color w:val="595959"/>
        <w:sz w:val="18"/>
        <w:szCs w:val="18"/>
      </w:rPr>
      <type>currentPage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00"/>
    </w:pPr>
    <w:r>
      <w:rPr>
        <w:rFonts w:ascii="Arial" w:cs="Arial" w:eastAsia="Arial" w:hAnsi="Arial"/>
        <w:color w:val="595959"/>
        <w:sz w:val="18"/>
        <w:szCs w:val="18"/>
      </w:rPr>
      <w:t xml:space="preserve">CODTECH IT SOLUTIONS  |  TASK 4: Code Refactoring &amp; Performance Optimization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2026-04-20T18:15:15.962Z</dcterms:created>
  <dcterms:modified xsi:type="dcterms:W3CDTF">2026-04-20T18:15:15.962Z</dcterms:modified>
</cp:coreProperties>
</file>

<file path=docProps/custom.xml><?xml version="1.0" encoding="utf-8"?>
<Properties xmlns="http://schemas.openxmlformats.org/officeDocument/2006/custom-properties" xmlns:vt="http://schemas.openxmlformats.org/officeDocument/2006/docPropsVTypes"/>
</file>