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284C7"/>
          <w:sz w:val="56"/>
          <w:szCs w:val="56"/>
        </w:rPr>
        <w:t xml:space="preserve">Vijay Dairy</w:t>
      </w:r>
    </w:p>
    <w:p>
      <w:pPr>
        <w:spacing w:after="400"/>
      </w:pPr>
      <w:r>
        <w:rPr>
          <w:color w:val="475569"/>
          <w:sz w:val="32"/>
          <w:szCs w:val="32"/>
        </w:rPr>
        <w:t xml:space="preserve">System Architecture</w:t>
      </w:r>
    </w:p>
    <w:p>
      <w:pPr>
        <w:spacing w:after="600"/>
      </w:pPr>
      <w:r>
        <w:rPr>
          <w:i/>
          <w:iCs/>
          <w:color w:val="64748B"/>
        </w:rPr>
        <w:t xml:space="preserve">Version 2.0 · Architecture Reference</w:t>
      </w:r>
    </w:p>
    <w:p>
      <w:pPr>
        <w:pStyle w:val="Heading1"/>
        <w:spacing w:after="150" w:before="300"/>
      </w:pPr>
      <w:r>
        <w:t xml:space="preserve">1. Overview</w:t>
      </w:r>
    </w:p>
    <w:p>
      <w:pPr>
        <w:spacing w:after="120"/>
      </w:pPr>
      <w:r>
        <w:t xml:space="preserve">Vijay Dairy is a single-admin dairy shop operations app covering products, invoicing, inventory, a revenue dashboard, business settings, and public (unauthenticated) invoice sharing. The stack is:</w:t>
      </w:r>
    </w:p>
    <w:p>
      <w:pPr>
        <w:pStyle w:val="ListParagraph"/>
        <w:numPr>
          <w:ilvl w:val="0"/>
          <w:numId w:val="1"/>
        </w:numPr>
        <w:spacing w:after="60"/>
      </w:pPr>
      <w:r>
        <w:t xml:space="preserve">Frontend: React + TypeScript, MobX for state management, Tailwind CSS, Vite.</w:t>
      </w:r>
    </w:p>
    <w:p>
      <w:pPr>
        <w:pStyle w:val="ListParagraph"/>
        <w:numPr>
          <w:ilvl w:val="0"/>
          <w:numId w:val="1"/>
        </w:numPr>
        <w:spacing w:after="60"/>
      </w:pPr>
      <w:r>
        <w:t xml:space="preserve">Backend: Node.js + Express (TypeScript) REST API, layered into routes, services and repositories; raw SQL through the pg driver (no ORM).</w:t>
      </w:r>
    </w:p>
    <w:p>
      <w:pPr>
        <w:pStyle w:val="ListParagraph"/>
        <w:numPr>
          <w:ilvl w:val="0"/>
          <w:numId w:val="1"/>
        </w:numPr>
        <w:spacing w:after="60"/>
      </w:pPr>
      <w:r>
        <w:t xml:space="preserve">Database: Supabase (hosted PostgreSQL). The API is the only client; row-level security is enabled so Supabase’s public API keys cannot read the tables.</w:t>
      </w:r>
    </w:p>
    <w:p>
      <w:pPr>
        <w:pStyle w:val="Heading1"/>
        <w:spacing w:after="150" w:before="300"/>
      </w:pPr>
      <w:r>
        <w:t xml:space="preserve">2. Architecture Diagram</w:t>
      </w:r>
    </w:p>
    <w:p>
      <w:pPr>
        <w:spacing w:after="120"/>
      </w:pPr>
      <w:r>
        <w:t xml:space="preserve">The diagram below shows the full request path from the browser down to the database, and the internal layering of the backend.</w:t>
      </w:r>
    </w:p>
    <w:p>
      <w:pPr>
        <w:shd w:fill="F1F5F9" w:color="auto" w:val="clear"/>
        <w:spacing w:after="160" w:before="40"/>
      </w:pPr>
      <w:r>
        <w:rPr>
          <w:rFonts w:ascii="Consolas" w:cs="Consolas" w:eastAsia="Consolas" w:hAnsi="Consolas"/>
          <w:color w:val="0f172a"/>
          <w:sz w:val="20"/>
          <w:szCs w:val="20"/>
        </w:rPr>
        <w:t xml:space="preserve">Browser  (React + MobX, Vite)
   |  HTTPS / JSON / Bearer JWT
   v
Express API  (Backend/src)
   middleware    CORS, JSON body, JWT auth, error handler
   routes        auth, products, invoices, settings, dashboard, public
   services      line maths, invoice totals, CSV imports, dashboard stats
   repositories  raw SQL through the pg driver
   |  Postgres connection (SSL, Supabase pooler)
   v
Supabase PostgreSQL  (users, products, invoices, settings, counters)</w:t>
      </w:r>
    </w:p>
    <w:p>
      <w:pPr>
        <w:pStyle w:val="Heading1"/>
        <w:spacing w:after="150" w:before="300"/>
      </w:pPr>
      <w:r>
        <w:t xml:space="preserve">3. Frontend Architecture</w:t>
      </w:r>
    </w:p>
    <w:p>
      <w:pPr>
        <w:spacing w:after="120"/>
      </w:pPr>
      <w:r>
        <w:t xml:space="preserve">The frontend follows a MobX-store-per-feature pattern, with a thin HTTP layer shared by every store.</w:t>
      </w:r>
    </w:p>
    <w:p>
      <w:pPr>
        <w:pStyle w:val="Heading2"/>
        <w:spacing w:after="120" w:before="240"/>
      </w:pPr>
      <w:r>
        <w:t xml:space="preserve">3.1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284C7" w:color="auto" w:val="clear"/>
          </w:tcPr>
          <w:p>
            <w:r>
              <w:rPr>
                <w:b/>
                <w:bCs/>
                <w:color w:val="FFFFFF"/>
              </w:rPr>
              <w:t xml:space="preserve">Folder</w:t>
            </w:r>
          </w:p>
        </w:tc>
        <w:tc>
          <w:tcPr>
            <w:shd w:fill="0284C7" w:color="auto" w:val="clear"/>
          </w:tcPr>
          <w:p>
            <w:r>
              <w:rPr>
                <w:b/>
                <w:bCs/>
                <w:color w:val="FFFFFF"/>
              </w:rPr>
              <w:t xml:space="preserve">Responsibility</w:t>
            </w:r>
          </w:p>
        </w:tc>
      </w:tr>
      <w:tr>
        <w:tc>
          <w:p>
            <w:r>
              <w:rPr>
                <w:b w:val="false"/>
                <w:bCs w:val="false"/>
              </w:rPr>
              <w:t xml:space="preserve">core/interceptor</w:t>
            </w:r>
          </w:p>
        </w:tc>
        <w:tc>
          <w:p>
            <w:r>
              <w:rPr>
                <w:b w:val="false"/>
                <w:bCs w:val="false"/>
              </w:rPr>
              <w:t xml:space="preserve">One shared Axios instance. Request interceptor attaches the Bearer JWT from secure-storage; response interceptor normalises API errors and redirects to /login on 401.</w:t>
            </w:r>
          </w:p>
        </w:tc>
      </w:tr>
      <w:tr>
        <w:tc>
          <w:p>
            <w:r>
              <w:rPr>
                <w:b w:val="false"/>
                <w:bCs w:val="false"/>
              </w:rPr>
              <w:t xml:space="preserve">core/service</w:t>
            </w:r>
          </w:p>
        </w:tc>
        <w:tc>
          <w:p>
            <w:r>
              <w:rPr>
                <w:b w:val="false"/>
                <w:bCs w:val="false"/>
              </w:rPr>
              <w:t xml:space="preserve">Typed get/post/put/delete wrappers over the interceptor’s Axios instance. Every store calls these instead of Axios directly.</w:t>
            </w:r>
          </w:p>
        </w:tc>
      </w:tr>
      <w:tr>
        <w:tc>
          <w:p>
            <w:r>
              <w:rPr>
                <w:b w:val="false"/>
                <w:bCs w:val="false"/>
              </w:rPr>
              <w:t xml:space="preserve">core/stores</w:t>
            </w:r>
          </w:p>
        </w:tc>
        <w:tc>
          <w:p>
            <w:r>
              <w:rPr>
                <w:b w:val="false"/>
                <w:bCs w:val="false"/>
              </w:rPr>
              <w:t xml:space="preserve">MobX class stores (authStore, productStore, invoiceStore, settingsStore, dashboardStore, publicInvoiceStore). Each is a singleton, observable via makeObservable, aggregated into a RootStore.</w:t>
            </w:r>
          </w:p>
        </w:tc>
      </w:tr>
      <w:tr>
        <w:tc>
          <w:p>
            <w:r>
              <w:rPr>
                <w:b w:val="false"/>
                <w:bCs w:val="false"/>
              </w:rPr>
              <w:t xml:space="preserve">contexts</w:t>
            </w:r>
          </w:p>
        </w:tc>
        <w:tc>
          <w:p>
            <w:r>
              <w:rPr>
                <w:b w:val="false"/>
                <w:bCs w:val="false"/>
              </w:rPr>
              <w:t xml:space="preserve">store-provider.tsx exposes the RootStore via React context and a useStore() hook. auth-provider.tsx re-validates a persisted token against /auth/me on app mount.</w:t>
            </w:r>
          </w:p>
        </w:tc>
      </w:tr>
      <w:tr>
        <w:tc>
          <w:p>
            <w:r>
              <w:rPr>
                <w:b w:val="false"/>
                <w:bCs w:val="false"/>
              </w:rPr>
              <w:t xml:space="preserve">models</w:t>
            </w:r>
          </w:p>
        </w:tc>
        <w:tc>
          <w:p>
            <w:r>
              <w:rPr>
                <w:b w:val="false"/>
                <w:bCs w:val="false"/>
              </w:rPr>
              <w:t xml:space="preserve">TypeScript interfaces: forms/ (data shapes for create/edit forms), response/ (API response shapes), state/ (store state contracts), ICommon.ts (shared IObservableInitialState).</w:t>
            </w:r>
          </w:p>
        </w:tc>
      </w:tr>
      <w:tr>
        <w:tc>
          <w:p>
            <w:r>
              <w:rPr>
                <w:b w:val="false"/>
                <w:bCs w:val="false"/>
              </w:rPr>
              <w:t xml:space="preserve">modules/&lt;feature&gt;</w:t>
            </w:r>
          </w:p>
        </w:tc>
        <w:tc>
          <w:p>
            <w:r>
              <w:rPr>
                <w:b w:val="false"/>
                <w:bCs w:val="false"/>
              </w:rPr>
              <w:t xml:space="preserve">One folder per screen (auth, dashboard, product, invoice, settings, public-invoice), each wrapped in mobx-react-lite’s observer().</w:t>
            </w:r>
          </w:p>
        </w:tc>
      </w:tr>
      <w:tr>
        <w:tc>
          <w:p>
            <w:r>
              <w:rPr>
                <w:b w:val="false"/>
                <w:bCs w:val="false"/>
              </w:rPr>
              <w:t xml:space="preserve">shared-components</w:t>
            </w:r>
          </w:p>
        </w:tc>
        <w:tc>
          <w:p>
            <w:r>
              <w:rPr>
                <w:b w:val="false"/>
                <w:bCs w:val="false"/>
              </w:rPr>
              <w:t xml:space="preserve">layout.tsx (sidebar navigation shell) and protected-route.tsx (redirects unauthenticated users to /login).</w:t>
            </w:r>
          </w:p>
        </w:tc>
      </w:tr>
    </w:tbl>
    <w:p>
      <w:pPr>
        <w:pStyle w:val="Heading2"/>
        <w:spacing w:after="120" w:before="240"/>
      </w:pPr>
      <w:r>
        <w:t xml:space="preserve">3.2 Data flow</w:t>
      </w:r>
    </w:p>
    <w:p>
      <w:pPr>
        <w:spacing w:after="120"/>
      </w:pPr>
      <w:r>
        <w:t xml:space="preserve">A typical write flows: Component → store action (e.g. productStore.addAsync) → base-service.postRequest → interceptor (attaches JWT) → API. On success the store re-fetches the list and updates its observable state; observer() re-renders the component automatically.</w:t>
      </w:r>
    </w:p>
    <w:p>
      <w:pPr>
        <w:pStyle w:val="Heading1"/>
        <w:spacing w:after="150" w:before="300"/>
      </w:pPr>
      <w:r>
        <w:t xml:space="preserve">4. Backend Architecture</w:t>
      </w:r>
    </w:p>
    <w:p>
      <w:pPr>
        <w:spacing w:after="120"/>
      </w:pPr>
      <w:r>
        <w:t xml:space="preserve">The backend is a Node.js + Express application written in TypeScript. Code is organised in layers under Backend/src: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284C7" w:color="auto" w:val="clear"/>
          </w:tcPr>
          <w:p>
            <w:r>
              <w:rPr>
                <w:b/>
                <w:bCs/>
                <w:color w:val="FFFFFF"/>
              </w:rPr>
              <w:t xml:space="preserve">Location</w:t>
            </w:r>
          </w:p>
        </w:tc>
        <w:tc>
          <w:tcPr>
            <w:shd w:fill="0284C7" w:color="auto" w:val="clear"/>
          </w:tcPr>
          <w:p>
            <w:r>
              <w:rPr>
                <w:b/>
                <w:bCs/>
                <w:color w:val="FFFFFF"/>
              </w:rPr>
              <w:t xml:space="preserve">Responsibility</w:t>
            </w:r>
          </w:p>
        </w:tc>
      </w:tr>
      <w:tr>
        <w:tc>
          <w:p>
            <w:r>
              <w:rPr>
                <w:b w:val="false"/>
                <w:bCs w:val="false"/>
              </w:rPr>
              <w:t xml:space="preserve">index.ts, app.ts, config.ts</w:t>
            </w:r>
          </w:p>
        </w:tc>
        <w:tc>
          <w:p>
            <w:r>
              <w:rPr>
                <w:b w:val="false"/>
                <w:bCs w:val="false"/>
              </w:rPr>
              <w:t xml:space="preserve">Startup and Express wiring: CORS, JSON body parsing, route mounting, admin-user seeding, and configuration read from environment variables (.env).</w:t>
            </w:r>
          </w:p>
        </w:tc>
      </w:tr>
      <w:tr>
        <w:tc>
          <w:p>
            <w:r>
              <w:rPr>
                <w:b w:val="false"/>
                <w:bCs w:val="false"/>
              </w:rPr>
              <w:t xml:space="preserve">routes/</w:t>
            </w:r>
          </w:p>
        </w:tc>
        <w:tc>
          <w:p>
            <w:r>
              <w:rPr>
                <w:b w:val="false"/>
                <w:bCs w:val="false"/>
              </w:rPr>
              <w:t xml:space="preserve">One file per feature (auth, products, invoices, settings, dashboard, public). Thin handlers: validate the request, call a service or repository, and return the response envelope.</w:t>
            </w:r>
          </w:p>
        </w:tc>
      </w:tr>
      <w:tr>
        <w:tc>
          <w:p>
            <w:r>
              <w:rPr>
                <w:b w:val="false"/>
                <w:bCs w:val="false"/>
              </w:rPr>
              <w:t xml:space="preserve">middleware/</w:t>
            </w:r>
          </w:p>
        </w:tc>
        <w:tc>
          <w:p>
            <w:r>
              <w:rPr>
                <w:b w:val="false"/>
                <w:bCs w:val="false"/>
              </w:rPr>
              <w:t xml:space="preserve">requireAuth (JWT bearer validation), camelizeBody (accepts PascalCase or camelCase request keys), uuidParam, and errorHandler (maps errors to the response envelope and HTTP status).</w:t>
            </w:r>
          </w:p>
        </w:tc>
      </w:tr>
      <w:tr>
        <w:tc>
          <w:p>
            <w:r>
              <w:rPr>
                <w:b w:val="false"/>
                <w:bCs w:val="false"/>
              </w:rPr>
              <w:t xml:space="preserve">services/</w:t>
            </w:r>
          </w:p>
        </w:tc>
        <w:tc>
          <w:p>
            <w:r>
              <w:rPr>
                <w:b w:val="false"/>
                <w:bCs w:val="false"/>
              </w:rPr>
              <w:t xml:space="preserve">Business logic: lineCalculator (invoice line maths), invoiceService (validation and totals), csvParser, importProducts, importStock, and dashboardService.</w:t>
            </w:r>
          </w:p>
        </w:tc>
      </w:tr>
      <w:tr>
        <w:tc>
          <w:p>
            <w:r>
              <w:rPr>
                <w:b w:val="false"/>
                <w:bCs w:val="false"/>
              </w:rPr>
              <w:t xml:space="preserve">repositories/</w:t>
            </w:r>
          </w:p>
        </w:tc>
        <w:tc>
          <w:p>
            <w:r>
              <w:rPr>
                <w:b w:val="false"/>
                <w:bCs w:val="false"/>
              </w:rPr>
              <w:t xml:space="preserve">Raw SQL over the pg driver — no ORM. One repository per table group (users, products, invoices, settings); rows are mapped to typed objects by hand. Invoice creation runs in a single transaction.</w:t>
            </w:r>
          </w:p>
        </w:tc>
      </w:tr>
      <w:tr>
        <w:tc>
          <w:p>
            <w:r>
              <w:rPr>
                <w:b w:val="false"/>
                <w:bCs w:val="false"/>
              </w:rPr>
              <w:t xml:space="preserve">envelope.ts, errors.ts</w:t>
            </w:r>
          </w:p>
        </w:tc>
        <w:tc>
          <w:p>
            <w:r>
              <w:rPr>
                <w:b w:val="false"/>
                <w:bCs w:val="false"/>
              </w:rPr>
              <w:t xml:space="preserve">The { error, statusCode, messageId, messageText, data } envelope helpers, and AppError with the standard message ids (RecordNotFound, NameNotAvailable, InvalidEmailOrPassword, ...).</w:t>
            </w:r>
          </w:p>
        </w:tc>
      </w:tr>
    </w:tbl>
    <w:p>
      <w:pPr>
        <w:pStyle w:val="Heading2"/>
        <w:spacing w:after="120" w:before="240"/>
      </w:pPr>
      <w:r>
        <w:t xml:space="preserve">4.1 Request lifecycle</w:t>
      </w:r>
    </w:p>
    <w:p>
      <w:pPr>
        <w:pStyle w:val="ListParagraph"/>
        <w:numPr>
          <w:ilvl w:val="0"/>
          <w:numId w:val="1"/>
        </w:numPr>
        <w:spacing w:after="60"/>
      </w:pPr>
      <w:r>
        <w:t xml:space="preserve">Express receives the HTTP request; the JSON body is parsed and its keys normalised to camelCase.</w:t>
      </w:r>
    </w:p>
    <w:p>
      <w:pPr>
        <w:pStyle w:val="ListParagraph"/>
        <w:numPr>
          <w:ilvl w:val="0"/>
          <w:numId w:val="1"/>
        </w:numPr>
        <w:spacing w:after="60"/>
      </w:pPr>
      <w:r>
        <w:t xml:space="preserve">requireAuth verifies the Bearer JWT (skipped only for /api/auth/login and /api/public/*).</w:t>
      </w:r>
    </w:p>
    <w:p>
      <w:pPr>
        <w:pStyle w:val="ListParagraph"/>
        <w:numPr>
          <w:ilvl w:val="0"/>
          <w:numId w:val="1"/>
        </w:numPr>
        <w:spacing w:after="60"/>
      </w:pPr>
      <w:r>
        <w:t xml:space="preserve">The route handler validates the input, collecting every failure into one 400 message; a failure throws an AppError.</w:t>
      </w:r>
    </w:p>
    <w:p>
      <w:pPr>
        <w:pStyle w:val="ListParagraph"/>
        <w:numPr>
          <w:ilvl w:val="0"/>
          <w:numId w:val="1"/>
        </w:numPr>
        <w:spacing w:after="60"/>
      </w:pPr>
      <w:r>
        <w:t xml:space="preserve">The handler calls services and repositories, applies business rules, and returns the response envelope.</w:t>
      </w:r>
    </w:p>
    <w:p>
      <w:pPr>
        <w:pStyle w:val="ListParagraph"/>
        <w:numPr>
          <w:ilvl w:val="0"/>
          <w:numId w:val="1"/>
        </w:numPr>
        <w:spacing w:after="60"/>
      </w:pPr>
      <w:r>
        <w:t xml:space="preserve">Any thrown error is caught by errorHandler and serialised into the same envelope with the matching HTTP status code; unexpected errors become a generic 500.</w:t>
      </w:r>
    </w:p>
    <w:p>
      <w:pPr>
        <w:pStyle w:val="Heading1"/>
        <w:spacing w:after="150" w:before="300"/>
      </w:pPr>
      <w:r>
        <w:t xml:space="preserve">5.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284C7" w:color="auto" w:val="clear"/>
          </w:tcPr>
          <w:p>
            <w:r>
              <w:rPr>
                <w:b/>
                <w:bCs/>
                <w:color w:val="FFFFFF"/>
              </w:rPr>
              <w:t xml:space="preserve">Table</w:t>
            </w:r>
          </w:p>
        </w:tc>
        <w:tc>
          <w:tcPr>
            <w:shd w:fill="0284C7" w:color="auto" w:val="clear"/>
          </w:tcPr>
          <w:p>
            <w:r>
              <w:rPr>
                <w:b/>
                <w:bCs/>
                <w:color w:val="FFFFFF"/>
              </w:rPr>
              <w:t xml:space="preserve">Key columns</w:t>
            </w:r>
          </w:p>
        </w:tc>
      </w:tr>
      <w:tr>
        <w:tc>
          <w:p>
            <w:r>
              <w:rPr>
                <w:b w:val="false"/>
                <w:bCs w:val="false"/>
              </w:rPr>
              <w:t xml:space="preserve">users</w:t>
            </w:r>
          </w:p>
        </w:tc>
        <w:tc>
          <w:p>
            <w:r>
              <w:rPr>
                <w:b w:val="false"/>
                <w:bCs w:val="false"/>
              </w:rPr>
              <w:t xml:space="preserve">id, email (unique), password_hash (BCrypt), name, role, created_at</w:t>
            </w:r>
          </w:p>
        </w:tc>
      </w:tr>
      <w:tr>
        <w:tc>
          <w:p>
            <w:r>
              <w:rPr>
                <w:b w:val="false"/>
                <w:bCs w:val="false"/>
              </w:rPr>
              <w:t xml:space="preserve">products</w:t>
            </w:r>
          </w:p>
        </w:tc>
        <w:tc>
          <w:p>
            <w:r>
              <w:rPr>
                <w:b w:val="false"/>
                <w:bCs w:val="false"/>
              </w:rPr>
              <w:t xml:space="preserve">id, name (unique, case-insensitive), unit (LTR/KG/PCS), price, stock, low_stock_threshold, created_at</w:t>
            </w:r>
          </w:p>
        </w:tc>
      </w:tr>
      <w:tr>
        <w:tc>
          <w:p>
            <w:r>
              <w:rPr>
                <w:b w:val="false"/>
                <w:bCs w:val="false"/>
              </w:rPr>
              <w:t xml:space="preserve">invoices</w:t>
            </w:r>
          </w:p>
        </w:tc>
        <w:tc>
          <w:p>
            <w:r>
              <w:rPr>
                <w:b w:val="false"/>
                <w:bCs w:val="false"/>
              </w:rPr>
              <w:t xml:space="preserve">id, invoice_number (VD-YYYYMM-XXXX), items (JSONB), subtotal, discount, tax_percent, tax_amount, total, notes, created_at</w:t>
            </w:r>
          </w:p>
        </w:tc>
      </w:tr>
      <w:tr>
        <w:tc>
          <w:p>
            <w:r>
              <w:rPr>
                <w:b w:val="false"/>
                <w:bCs w:val="false"/>
              </w:rPr>
              <w:t xml:space="preserve">settings</w:t>
            </w:r>
          </w:p>
        </w:tc>
        <w:tc>
          <w:p>
            <w:r>
              <w:rPr>
                <w:b w:val="false"/>
                <w:bCs w:val="false"/>
              </w:rPr>
              <w:t xml:space="preserve">id='business' (singleton row), shop_name, address, phone, gst_number, footer_note, inventory_enabled</w:t>
            </w:r>
          </w:p>
        </w:tc>
      </w:tr>
      <w:tr>
        <w:tc>
          <w:p>
            <w:r>
              <w:rPr>
                <w:b w:val="false"/>
                <w:bCs w:val="false"/>
              </w:rPr>
              <w:t xml:space="preserve">counters</w:t>
            </w:r>
          </w:p>
        </w:tc>
        <w:tc>
          <w:p>
            <w:r>
              <w:rPr>
                <w:b w:val="false"/>
                <w:bCs w:val="false"/>
              </w:rPr>
              <w:t xml:space="preserve">id='invoice', seq — incremented atomically inside the same transaction as invoice insert + stock decrement</w:t>
            </w:r>
          </w:p>
        </w:tc>
      </w:tr>
    </w:tbl>
    <w:p>
      <w:pPr>
        <w:pStyle w:val="Heading1"/>
        <w:spacing w:after="150" w:before="300"/>
      </w:pPr>
      <w:r>
        <w:t xml:space="preserve">6. Cross-Cutting Concerns</w:t>
      </w:r>
    </w:p>
    <w:p>
      <w:pPr>
        <w:pStyle w:val="Heading2"/>
        <w:spacing w:after="120" w:before="240"/>
      </w:pPr>
      <w:r>
        <w:t xml:space="preserve">6.1 Authentication</w:t>
      </w:r>
    </w:p>
    <w:p>
      <w:pPr>
        <w:spacing w:after="120"/>
      </w:pPr>
      <w:r>
        <w:t xml:space="preserve">JWT bearer tokens (HS256, signed with JWT_SECRET), issued on /api/auth/login. Every route requires a valid token except /api/auth/login and /api/public/invoices/{id}. Passwords are hashed with bcrypt.</w:t>
      </w:r>
    </w:p>
    <w:p>
      <w:pPr>
        <w:pStyle w:val="Heading2"/>
        <w:spacing w:after="120" w:before="240"/>
      </w:pPr>
      <w:r>
        <w:t xml:space="preserve">6.2 Error contract</w:t>
      </w:r>
    </w:p>
    <w:p>
      <w:pPr>
        <w:spacing w:after="120"/>
      </w:pPr>
      <w:r>
        <w:t xml:space="preserve">Every API response — success or failure — is shaped as { error, statusCode, messageId, messageText, data }, so the frontend interceptor only needs one code path to detect and surface failures.</w:t>
      </w:r>
    </w:p>
    <w:p>
      <w:pPr>
        <w:pStyle w:val="Heading2"/>
        <w:spacing w:after="120" w:before="240"/>
      </w:pPr>
      <w:r>
        <w:t xml:space="preserve">6.3 CORS</w:t>
      </w:r>
    </w:p>
    <w:p>
      <w:pPr>
        <w:spacing w:after="120"/>
      </w:pPr>
      <w:r>
        <w:t xml:space="preserve">Configured via CORS_ORIGINS in Backend/.env (comma-separated); restrict this to the deployed frontend origin(s) in production.</w:t>
      </w:r>
    </w:p>
    <w:p>
      <w:r>
        <w:br w:type="page"/>
      </w:r>
    </w:p>
    <w:p>
      <w:pPr>
        <w:pStyle w:val="Heading1"/>
        <w:spacing w:after="150" w:before="300"/>
      </w:pPr>
      <w:r>
        <w:t xml:space="preserve">7. Scope Decisions</w:t>
      </w:r>
    </w:p>
    <w:p>
      <w:pPr>
        <w:spacing w:after="120"/>
      </w:pPr>
      <w:r>
        <w:t xml:space="preserve">Deliberately not carried over from the reference architecture this pattern is based on, since they are specific to a different domain or add enterprise scope this app does not need:</w:t>
      </w:r>
    </w:p>
    <w:p>
      <w:pPr>
        <w:pStyle w:val="ListParagraph"/>
        <w:numPr>
          <w:ilvl w:val="0"/>
          <w:numId w:val="1"/>
        </w:numPr>
        <w:spacing w:after="60"/>
      </w:pPr>
      <w:r>
        <w:t xml:space="preserve">AutoMapper — handlers map database rows to response objects by hand.</w:t>
      </w:r>
    </w:p>
    <w:p>
      <w:pPr>
        <w:pStyle w:val="ListParagraph"/>
        <w:numPr>
          <w:ilvl w:val="0"/>
          <w:numId w:val="1"/>
        </w:numPr>
        <w:spacing w:after="60"/>
      </w:pPr>
      <w:r>
        <w:t xml:space="preserve">Audit logging — no AuditLog entity/repository/table.</w:t>
      </w:r>
    </w:p>
    <w:p>
      <w:pPr>
        <w:pStyle w:val="ListParagraph"/>
        <w:numPr>
          <w:ilvl w:val="0"/>
          <w:numId w:val="1"/>
        </w:numPr>
        <w:spacing w:after="60"/>
      </w:pPr>
      <w:r>
        <w:t xml:space="preserve">A dedicated logging project — errors are logged to the console.</w:t>
      </w:r>
    </w:p>
    <w:p>
      <w:pPr>
        <w:pStyle w:val="ListParagraph"/>
        <w:numPr>
          <w:ilvl w:val="0"/>
          <w:numId w:val="1"/>
        </w:numPr>
        <w:spacing w:after="60"/>
      </w:pPr>
      <w:r>
        <w:t xml:space="preserve">MSAL/SSO authentication, i18n — email/password login only.</w:t>
      </w:r>
    </w:p>
    <w:p>
      <w:pPr>
        <w:pStyle w:val="ListParagraph"/>
        <w:numPr>
          <w:ilvl w:val="0"/>
          <w:numId w:val="1"/>
        </w:numPr>
        <w:spacing w:after="60"/>
      </w:pPr>
      <w:r>
        <w:t xml:space="preserve">JSON casing: responses are camelCase rather than PascalCase, since that is the natural convention for this TypeScript frontend; request bodies accept either.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792ddda8e646d5b72a6514a459b4fda9b31b3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2026-08-15T11:20:37.302Z</dcterms:created>
  <dcterms:modified xsi:type="dcterms:W3CDTF">2026-08-15T11:20:37.303Z</dcterms:modified>
</cp:coreProperties>
</file>

<file path=docProps/custom.xml><?xml version="1.0" encoding="utf-8"?>
<Properties xmlns="http://schemas.openxmlformats.org/officeDocument/2006/custom-properties" xmlns:vt="http://schemas.openxmlformats.org/officeDocument/2006/docPropsVTypes"/>
</file>