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284C7"/>
          <w:sz w:val="56"/>
          <w:szCs w:val="56"/>
        </w:rPr>
        <w:t xml:space="preserve">Vijay Dairy</w:t>
      </w:r>
    </w:p>
    <w:p>
      <w:pPr>
        <w:spacing w:after="400"/>
      </w:pPr>
      <w:r>
        <w:rPr>
          <w:color w:val="475569"/>
          <w:sz w:val="32"/>
          <w:szCs w:val="32"/>
        </w:rPr>
        <w:t xml:space="preserve">System Architecture</w:t>
      </w:r>
    </w:p>
    <w:p>
      <w:pPr>
        <w:spacing w:after="600"/>
      </w:pPr>
      <w:r>
        <w:rPr>
          <w:i/>
          <w:iCs/>
          <w:color w:val="64748B"/>
        </w:rPr>
        <w:t xml:space="preserve">Version 1.0 · Architecture Reference</w:t>
      </w:r>
    </w:p>
    <w:p>
      <w:pPr>
        <w:pStyle w:val="Heading1"/>
        <w:spacing w:after="150" w:before="300"/>
      </w:pPr>
      <w:r>
        <w:t xml:space="preserve">1. Overview</w:t>
      </w:r>
    </w:p>
    <w:p>
      <w:pPr>
        <w:spacing w:after="120"/>
      </w:pPr>
      <w:r>
        <w:t xml:space="preserve">Vijay Dairy is a single-admin dairy shop operations app covering products, invoicing, inventory, a revenue dashboard, business settings, and public (unauthenticated) invoice sharing. The stack 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Frontend: React + TypeScript, MobX for state management, Tailwind CSS, Vite.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Backend: ASP.NET Core Web API (.NET 10), layered into 6 projects, MediatR CQRS, raw ADO.NET (no ORM).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Database: PostgreSQL.</w:t>
      </w:r>
    </w:p>
    <w:p>
      <w:pPr>
        <w:pStyle w:val="Heading1"/>
        <w:spacing w:after="150" w:before="300"/>
      </w:pPr>
      <w:r>
        <w:t xml:space="preserve">2. Architecture Diagram</w:t>
      </w:r>
    </w:p>
    <w:p>
      <w:pPr>
        <w:spacing w:after="120"/>
      </w:pPr>
      <w:r>
        <w:t xml:space="preserve">The diagram below shows the full request path from the browser down to PostgreSQL, and the internal layering of both the frontend and backend.</w:t>
      </w:r>
    </w:p>
    <w:p>
      <w:pPr>
        <w:spacing w:after="200" w:before="200"/>
        <w:jc w:val="center"/>
      </w:pPr>
      <w:r>
        <w:drawing>
          <wp:inline distT="0" distB="0" distL="0" distR="0">
            <wp:extent cx="5905500" cy="446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50" w:before="300"/>
      </w:pPr>
      <w:r>
        <w:t xml:space="preserve">3. Frontend Architecture</w:t>
      </w:r>
    </w:p>
    <w:p>
      <w:pPr>
        <w:spacing w:after="120"/>
      </w:pPr>
      <w:r>
        <w:t xml:space="preserve">The frontend follows a MobX-store-per-feature pattern, with a thin HTTP layer shared by every store.</w:t>
      </w:r>
    </w:p>
    <w:p>
      <w:pPr>
        <w:pStyle w:val="Heading2"/>
        <w:spacing w:after="120" w:before="240"/>
      </w:pPr>
      <w:r>
        <w:t xml:space="preserve">3.1 Layers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Folder</w:t>
            </w:r>
          </w:p>
        </w:tc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core/interceptor</w:t>
            </w:r>
          </w:p>
        </w:tc>
        <w:tc>
          <w:p>
            <w:r>
              <w:rPr>
                <w:b w:val="false"/>
                <w:bCs w:val="false"/>
              </w:rPr>
              <w:t xml:space="preserve">One shared Axios instance. Request interceptor attaches the Bearer JWT from secure-storage; response interceptor normalises API errors and redirects to /login on 401.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core/service</w:t>
            </w:r>
          </w:p>
        </w:tc>
        <w:tc>
          <w:p>
            <w:r>
              <w:rPr>
                <w:b w:val="false"/>
                <w:bCs w:val="false"/>
              </w:rPr>
              <w:t xml:space="preserve">Typed get/post/put/delete wrappers over the interceptor’s Axios instance. Every store calls these instead of Axios directly.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core/stores</w:t>
            </w:r>
          </w:p>
        </w:tc>
        <w:tc>
          <w:p>
            <w:r>
              <w:rPr>
                <w:b w:val="false"/>
                <w:bCs w:val="false"/>
              </w:rPr>
              <w:t xml:space="preserve">MobX class stores (authStore, productStore, invoiceStore, settingsStore, dashboardStore, publicInvoiceStore). Each is a singleton, observable via makeObservable, aggregated into a RootStore.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contexts</w:t>
            </w:r>
          </w:p>
        </w:tc>
        <w:tc>
          <w:p>
            <w:r>
              <w:rPr>
                <w:b w:val="false"/>
                <w:bCs w:val="false"/>
              </w:rPr>
              <w:t xml:space="preserve">store-provider.tsx exposes the RootStore via React context and a useStore() hook. auth-provider.tsx re-validates a persisted token against /auth/me on app mount.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models</w:t>
            </w:r>
          </w:p>
        </w:tc>
        <w:tc>
          <w:p>
            <w:r>
              <w:rPr>
                <w:b w:val="false"/>
                <w:bCs w:val="false"/>
              </w:rPr>
              <w:t xml:space="preserve">TypeScript interfaces: forms/ (data shapes for create/edit forms), response/ (API response shapes), state/ (store state contracts), ICommon.ts (shared IObservableInitialState).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modules/&lt;feature&gt;</w:t>
            </w:r>
          </w:p>
        </w:tc>
        <w:tc>
          <w:p>
            <w:r>
              <w:rPr>
                <w:b w:val="false"/>
                <w:bCs w:val="false"/>
              </w:rPr>
              <w:t xml:space="preserve">One folder per screen (auth, dashboard, product, invoice, settings, public-invoice), each wrapped in mobx-react-lite’s observer().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shared-components</w:t>
            </w:r>
          </w:p>
        </w:tc>
        <w:tc>
          <w:p>
            <w:r>
              <w:rPr>
                <w:b w:val="false"/>
                <w:bCs w:val="false"/>
              </w:rPr>
              <w:t xml:space="preserve">layout.tsx (sidebar navigation shell) and protected-route.tsx (redirects unauthenticated users to /login).</w:t>
            </w:r>
          </w:p>
        </w:tc>
      </w:tr>
    </w:tbl>
    <w:p>
      <w:pPr>
        <w:pStyle w:val="Heading2"/>
        <w:spacing w:after="120" w:before="240"/>
      </w:pPr>
      <w:r>
        <w:t xml:space="preserve">3.2 Data flow</w:t>
      </w:r>
    </w:p>
    <w:p>
      <w:pPr>
        <w:spacing w:after="120"/>
      </w:pPr>
      <w:r>
        <w:t xml:space="preserve">A typical write flows: Component → store action (e.g. productStore.addAsync) → base-service.postRequest → interceptor (attaches JWT) → API. On success the store re-fetches the list and updates its observable state; observer() re-renders the component automatically.</w:t>
      </w:r>
    </w:p>
    <w:p>
      <w:pPr>
        <w:pStyle w:val="Heading1"/>
        <w:spacing w:after="150" w:before="300"/>
      </w:pPr>
      <w:r>
        <w:t xml:space="preserve">4. Backend Architecture</w:t>
      </w:r>
    </w:p>
    <w:p>
      <w:pPr>
        <w:spacing w:after="120"/>
      </w:pPr>
      <w:r>
        <w:t xml:space="preserve">The backend is split into 6 class-library/executable projects, mirroring a CQRS-oriented clean architecture: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Project</w:t>
            </w:r>
          </w:p>
        </w:tc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VijayDairy.Api</w:t>
            </w:r>
          </w:p>
        </w:tc>
        <w:tc>
          <w:p>
            <w:r>
              <w:rPr>
                <w:b w:val="false"/>
                <w:bCs w:val="false"/>
              </w:rPr>
              <w:t xml:space="preserve">Controllers (thin — each action just calls IMediator.Send), JWT bearer authentication, Program.cs startup, Middlewares/ErrorHandling.cs (maps exceptions to a ResponseModel + HTTP status), Helpers/ServiceManager.cs (all DI wiring in one place).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VijayDairy.Application</w:t>
            </w:r>
          </w:p>
        </w:tc>
        <w:tc>
          <w:p>
            <w:r>
              <w:rPr>
                <w:b w:val="false"/>
                <w:bCs w:val="false"/>
              </w:rPr>
              <w:t xml:space="preserve">Managements/&lt;Feature&gt;Management/{Commands,Queries}/&lt;Action&gt;/ — each action is a Command or Query + Handler (+ Validator for commands). Behaviours/RequestValidationBehavior.cs runs FluentValidation as a MediatR pipeline step before the handler executes.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VijayDairy.Domain</w:t>
            </w:r>
          </w:p>
        </w:tc>
        <w:tc>
          <w:p>
            <w:r>
              <w:rPr>
                <w:b w:val="false"/>
                <w:bCs w:val="false"/>
              </w:rPr>
              <w:t xml:space="preserve">Entities (Product, Invoice, User, BusinessSettings), Models/*VM.cs (view models returned to the client), Models/Common/ResponseModel.cs (the {error, statusCode, messageId, messageText, data} envelope).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VijayDairy.Persistence</w:t>
            </w:r>
          </w:p>
        </w:tc>
        <w:tc>
          <w:p>
            <w:r>
              <w:rPr>
                <w:b w:val="false"/>
                <w:bCs w:val="false"/>
              </w:rPr>
              <w:t xml:space="preserve">Repository interfaces (IUserRepository, IProductRepository, IInvoiceRepository, ISettingsRepository) and IDbHelper — the contracts the Application layer depends on.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VijayDairy.Postgres</w:t>
            </w:r>
          </w:p>
        </w:tc>
        <w:tc>
          <w:p>
            <w:r>
              <w:rPr>
                <w:b w:val="false"/>
                <w:bCs w:val="false"/>
              </w:rPr>
              <w:t xml:space="preserve">PostgresHelper: raw ADO.NET over Npgsql (NpgsqlConnection / NpgsqlCommand / IDataReader) — no Entity Framework, no Dapper. Repository implementations map IDataReader rows to entities by hand.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VijayDairy.Common</w:t>
            </w:r>
          </w:p>
        </w:tc>
        <w:tc>
          <w:p>
            <w:r>
              <w:rPr>
                <w:b w:val="false"/>
                <w:bCs w:val="false"/>
              </w:rPr>
              <w:t xml:space="preserve">Enums (ErrorMessages, SuccessMessages) with [Description] attributes plus a GetEnumDescription() extension, and typed exceptions (NotFoundException, DuplicateResourceException, ValidationException, InvalidEmailOrPasswordException, UnauthorizedException).</w:t>
            </w:r>
          </w:p>
        </w:tc>
      </w:tr>
    </w:tbl>
    <w:p>
      <w:pPr>
        <w:pStyle w:val="Heading2"/>
        <w:spacing w:after="120" w:before="240"/>
      </w:pPr>
      <w:r>
        <w:t xml:space="preserve">4.1 Request lifecycle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Controller receives the HTTP request and constructs a Command or Query DTO.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IMediator.Send(...) dispatches it through the MediatR pipeline.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RequestValidationBehavior runs the matching FluentValidation validator (if one is registered); a failure throws ValidationException.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Handler executes: calls one or more repositories, applies business rules, and returns a ResponseModel&lt;T&gt;.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thrown exception is caught by the ErrorHandling middleware and serialized into the same ResponseModel shape with the matching HTTP status code.</w:t>
      </w:r>
    </w:p>
    <w:p>
      <w:pPr>
        <w:pStyle w:val="Heading1"/>
        <w:spacing w:after="150" w:before="300"/>
      </w:pPr>
      <w:r>
        <w:t xml:space="preserve">5. Data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shd w:fill="0284C7" w:color="auto" w:val="clear"/>
          </w:tcPr>
          <w:p>
            <w:r>
              <w:rPr>
                <w:b/>
                <w:bCs/>
                <w:color w:val="FFFFFF"/>
              </w:rPr>
              <w:t xml:space="preserve">Key columns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users</w:t>
            </w:r>
          </w:p>
        </w:tc>
        <w:tc>
          <w:p>
            <w:r>
              <w:rPr>
                <w:b w:val="false"/>
                <w:bCs w:val="false"/>
              </w:rPr>
              <w:t xml:space="preserve">id, email (unique), password_hash (BCrypt), name, role, created_at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products</w:t>
            </w:r>
          </w:p>
        </w:tc>
        <w:tc>
          <w:p>
            <w:r>
              <w:rPr>
                <w:b w:val="false"/>
                <w:bCs w:val="false"/>
              </w:rPr>
              <w:t xml:space="preserve">id, name (unique, case-insensitive), unit (LTR/KG/GRAM/PCS), price, stock, low_stock_threshold, created_at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invoices</w:t>
            </w:r>
          </w:p>
        </w:tc>
        <w:tc>
          <w:p>
            <w:r>
              <w:rPr>
                <w:b w:val="false"/>
                <w:bCs w:val="false"/>
              </w:rPr>
              <w:t xml:space="preserve">id, invoice_number (VD-YYYYMM-XXXX), items (JSONB), subtotal, discount, tax_percent, tax_amount, total, notes, created_at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settings</w:t>
            </w:r>
          </w:p>
        </w:tc>
        <w:tc>
          <w:p>
            <w:r>
              <w:rPr>
                <w:b w:val="false"/>
                <w:bCs w:val="false"/>
              </w:rPr>
              <w:t xml:space="preserve">id='business' (singleton row), shop_name, address, phone, gst_number, footer_note, inventory_enabled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counters</w:t>
            </w:r>
          </w:p>
        </w:tc>
        <w:tc>
          <w:p>
            <w:r>
              <w:rPr>
                <w:b w:val="false"/>
                <w:bCs w:val="false"/>
              </w:rPr>
              <w:t xml:space="preserve">id='invoice', seq — incremented atomically inside the same transaction as invoice insert + stock decrement</w:t>
            </w:r>
          </w:p>
        </w:tc>
      </w:tr>
    </w:tbl>
    <w:p>
      <w:pPr>
        <w:pStyle w:val="Heading1"/>
        <w:spacing w:after="150" w:before="300"/>
      </w:pPr>
      <w:r>
        <w:t xml:space="preserve">6. Cross-Cutting Concerns</w:t>
      </w:r>
    </w:p>
    <w:p>
      <w:pPr>
        <w:pStyle w:val="Heading2"/>
        <w:spacing w:after="120" w:before="240"/>
      </w:pPr>
      <w:r>
        <w:t xml:space="preserve">6.1 Authentication</w:t>
      </w:r>
    </w:p>
    <w:p>
      <w:pPr>
        <w:spacing w:after="120"/>
      </w:pPr>
      <w:r>
        <w:t xml:space="preserve">JWT bearer tokens, issued on /api/auth/login. All controllers require authentication by default (global AuthorizeFilter); individual actions opt out with [AllowAnonymous] — used for /api/auth/login and /api/public/invoices/{id}.</w:t>
      </w:r>
    </w:p>
    <w:p>
      <w:pPr>
        <w:pStyle w:val="Heading2"/>
        <w:spacing w:after="120" w:before="240"/>
      </w:pPr>
      <w:r>
        <w:t xml:space="preserve">6.2 Error contract</w:t>
      </w:r>
    </w:p>
    <w:p>
      <w:pPr>
        <w:spacing w:after="120"/>
      </w:pPr>
      <w:r>
        <w:t xml:space="preserve">Every API response — success or failure — is shaped as { error, statusCode, messageId, messageText, data }, so the frontend interceptor only needs one code path to detect and surface failures.</w:t>
      </w:r>
    </w:p>
    <w:p>
      <w:pPr>
        <w:pStyle w:val="Heading2"/>
        <w:spacing w:after="120" w:before="240"/>
      </w:pPr>
      <w:r>
        <w:t xml:space="preserve">6.3 CORS</w:t>
      </w:r>
    </w:p>
    <w:p>
      <w:pPr>
        <w:spacing w:after="120"/>
      </w:pPr>
      <w:r>
        <w:t xml:space="preserve">Configured via Cors:AllowedOrigins in appsettings.json; restrict this to the deployed frontend origin(s) in production.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7. Scope Decisions</w:t>
      </w:r>
    </w:p>
    <w:p>
      <w:pPr>
        <w:spacing w:after="120"/>
      </w:pPr>
      <w:r>
        <w:t xml:space="preserve">Deliberately not carried over from the reference architecture this pattern is based on, since they are specific to a different domain or add enterprise scope this app does not need: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AutoMapper — handlers map Entity → VM by hand.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logging — no AuditLog entity/repository/table.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dedicated logging project — uses ASP.NET Core’s built-in ILogger.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MSAL/SSO authentication, i18n — email/password login only.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JSON casing: responses are camelCase (ASP.NET Core’s default Newtonsoft contract resolver) rather than PascalCase, since that is the natural convention for this TypeScript frontend.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792ddda8e646d5b72a6514a459b4fda9b31b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2026-08-15T11:20:37.302Z</dcterms:created>
  <dcterms:modified xsi:type="dcterms:W3CDTF">2026-08-15T11:20:37.303Z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