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ScholarMind PRD V6</w:t>
      </w:r>
      <w:r>
        <w:t xml:space="preserve"> </w:t>
      </w:r>
      <w:r>
        <w:t xml:space="preserve">%</w:t>
      </w:r>
      <w:r>
        <w:t xml:space="preserve"> </w:t>
      </w:r>
      <w:r>
        <w:t xml:space="preserve">% April 2026</w:t>
      </w:r>
    </w:p>
    <w:bookmarkStart w:id="21" w:name="scholarmind"/>
    <w:p>
      <w:pPr>
        <w:pStyle w:val="Heading1"/>
      </w:pPr>
      <w:r>
        <w:t xml:space="preserve">ScholarMind</w:t>
      </w:r>
    </w:p>
    <w:bookmarkStart w:id="20" w:name="Xfb3e745393951e106d2a210c456297076a33e17"/>
    <w:p>
      <w:pPr>
        <w:pStyle w:val="Heading2"/>
      </w:pPr>
      <w:r>
        <w:t xml:space="preserve">Trusted Learning Infrastructure &amp; Institutional Operations Platform</w:t>
      </w:r>
    </w:p>
    <w:p>
      <w:pPr>
        <w:pStyle w:val="FirstParagraph"/>
      </w:pPr>
      <w:r>
        <w:rPr>
          <w:i/>
          <w:iCs/>
        </w:rPr>
        <w:t xml:space="preserve">K-12 Schools · Multi-Campus Chains · International Schools · Colleges &amp; Universities · Coaching Institutes · Continuing Education · Workforce &amp; Lifelong Learning</w:t>
      </w:r>
    </w:p>
    <w:p>
      <w:pPr>
        <w:pStyle w:val="BodyText"/>
      </w:pPr>
      <w:r>
        <w:rPr>
          <w:b/>
          <w:bCs/>
        </w:rPr>
        <w:t xml:space="preserve">Agentic AI · Verifiable Credentials · Zero-Trust Security · Human-Governed Autonomy · Procurement-Grade Trust · Commercial Operating Discipline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Document Version</w:t>
            </w:r>
          </w:p>
        </w:tc>
        <w:tc>
          <w:tcPr/>
          <w:p>
            <w:pPr>
              <w:pStyle w:val="Compact"/>
              <w:jc w:val="left"/>
            </w:pPr>
            <w:r>
              <w:t xml:space="preserve">v6.0 — Comprehensive Execution, Governance &amp; Rollout Edition</w:t>
            </w:r>
          </w:p>
        </w:tc>
      </w:tr>
      <w:tr>
        <w:tc>
          <w:tcPr/>
          <w:p>
            <w:pPr>
              <w:pStyle w:val="Compact"/>
              <w:jc w:val="left"/>
            </w:pPr>
            <w:r>
              <w:t xml:space="preserve">Supersedes</w:t>
            </w:r>
          </w:p>
        </w:tc>
        <w:tc>
          <w:tcPr/>
          <w:p>
            <w:pPr>
              <w:pStyle w:val="Compact"/>
              <w:jc w:val="left"/>
            </w:pPr>
            <w:r>
              <w:t xml:space="preserve">v5.0 — Execution-Ready Operating Platform Edition · v4.0 — Trusted Learning Infrastructure Edition · v3.7 — Universal Education Edition</w:t>
            </w:r>
          </w:p>
        </w:tc>
      </w:tr>
      <w:tr>
        <w:tc>
          <w:tcPr/>
          <w:p>
            <w:pPr>
              <w:pStyle w:val="Compact"/>
              <w:jc w:val="left"/>
            </w:pPr>
            <w:r>
              <w:t xml:space="preserve">Classification</w:t>
            </w:r>
          </w:p>
        </w:tc>
        <w:tc>
          <w:tcPr/>
          <w:p>
            <w:pPr>
              <w:pStyle w:val="Compact"/>
              <w:jc w:val="left"/>
            </w:pPr>
            <w:r>
              <w:t xml:space="preserve">Confidential — Internal Use Only</w:t>
            </w:r>
          </w:p>
        </w:tc>
      </w:tr>
      <w:tr>
        <w:tc>
          <w:tcPr/>
          <w:p>
            <w:pPr>
              <w:pStyle w:val="Compact"/>
              <w:jc w:val="left"/>
            </w:pPr>
            <w:r>
              <w:t xml:space="preserve">Institution Types</w:t>
            </w:r>
          </w:p>
        </w:tc>
        <w:tc>
          <w:tcPr/>
          <w:p>
            <w:pPr>
              <w:pStyle w:val="Compact"/>
              <w:jc w:val="left"/>
            </w:pPr>
            <w:r>
              <w:t xml:space="preserve">K-12 · Multi-Campus Chains · International Schools · Colleges · Universities · Coaching Institutes · Continuing Education · Hybrid Education Groups</w:t>
            </w:r>
          </w:p>
        </w:tc>
      </w:tr>
      <w:tr>
        <w:tc>
          <w:tcPr/>
          <w:p>
            <w:pPr>
              <w:pStyle w:val="Compact"/>
              <w:jc w:val="left"/>
            </w:pPr>
            <w:r>
              <w:t xml:space="preserve">New in v6</w:t>
            </w:r>
          </w:p>
        </w:tc>
        <w:tc>
          <w:tcPr/>
          <w:p>
            <w:pPr>
              <w:pStyle w:val="Compact"/>
              <w:jc w:val="left"/>
            </w:pPr>
            <w:r>
              <w:t xml:space="preserve">Full v3.7 + v4 + v5 consolidation · module execution blocks · traceability matrix · explicit owner model · decision log and open questions · dependency architecture · full data/API design layer · operational migration playbooks · security/accessibility/AI evaluation operating models · quantified commercial assumptions · QA/release governance · required diagram pack · fully instantiated appendix tables</w:t>
            </w:r>
          </w:p>
        </w:tc>
      </w:tr>
    </w:tbl>
    <w:p>
      <w:pPr>
        <w:pStyle w:val="BodyText"/>
      </w:pPr>
      <w:r>
        <w:t xml:space="preserve">ewpage</w:t>
      </w:r>
    </w:p>
    <w:bookmarkEnd w:id="20"/>
    <w:bookmarkEnd w:id="21"/>
    <w:bookmarkStart w:id="28" w:name="executive-summary"/>
    <w:p>
      <w:pPr>
        <w:pStyle w:val="Heading1"/>
      </w:pPr>
      <w:r>
        <w:t xml:space="preserve">1. Executive Summary</w:t>
      </w:r>
    </w:p>
    <w:p>
      <w:pPr>
        <w:pStyle w:val="FirstParagraph"/>
      </w:pPr>
      <w:r>
        <w:t xml:space="preserve">ScholarMind v6 is a unified education operating platform for institutions that need more than administration software. It combines academic operations, finance, compliance, credential trust, learner progression, payment orchestration, multi-entity governance, and human-governed AI workflows inside one configurable platform.</w:t>
      </w:r>
    </w:p>
    <w:p>
      <w:pPr>
        <w:pStyle w:val="BodyText"/>
      </w:pPr>
      <w:r>
        <w:t xml:space="preserve">V6 preserves the universal institution model from v3.7, the trust and interoperability expansion introduced in v4, and the execution discipline introduced in v5. It adds explicit ownership, traceability, dependency chains, operating controls, migration playbooks, QA and rollout governance, and fully instantiated control tables so that product, engineering, implementation, procurement, and GTM teams can work from one document.</w:t>
      </w:r>
    </w:p>
    <w:bookmarkStart w:id="22" w:name="vision"/>
    <w:p>
      <w:pPr>
        <w:pStyle w:val="Heading2"/>
      </w:pPr>
      <w:r>
        <w:t xml:space="preserve">1.1 Vision</w:t>
      </w:r>
    </w:p>
    <w:p>
      <w:pPr>
        <w:pStyle w:val="FirstParagraph"/>
      </w:pPr>
      <w:r>
        <w:t xml:space="preserve">To become the education sector’s most trusted operating infrastructure: the system of record, workflow, trust, and intelligence that institutions of any type, size, geography, or resource level use to manage people, programmes, finances, compliance, credentials, and outcomes with strong local fit, global scale, and trusted AI.</w:t>
      </w:r>
    </w:p>
    <w:bookmarkEnd w:id="22"/>
    <w:bookmarkStart w:id="23" w:name="mission"/>
    <w:p>
      <w:pPr>
        <w:pStyle w:val="Heading2"/>
      </w:pPr>
      <w:r>
        <w:t xml:space="preserve">1.2 Mission</w:t>
      </w:r>
    </w:p>
    <w:p>
      <w:pPr>
        <w:pStyle w:val="FirstParagraph"/>
      </w:pPr>
      <w:r>
        <w:t xml:space="preserve">Deliver a unified, agent-first, standards-aware platform that adapts its interface, workflows, data model, regulatory pack, and analytics layer to the specific institution type — K-12, multi-campus chain, international school, college, university, coaching institute, continuing education provider, or hybrid education group — while preserving a shared core for security, AI governance, interoperability, equity architecture, credential portability, and commercial discipline.</w:t>
      </w:r>
    </w:p>
    <w:bookmarkEnd w:id="23"/>
    <w:bookmarkStart w:id="24" w:name="what-changes-in-v6"/>
    <w:p>
      <w:pPr>
        <w:pStyle w:val="Heading2"/>
      </w:pPr>
      <w:r>
        <w:t xml:space="preserve">1.3 What changes in v6</w:t>
      </w:r>
    </w:p>
    <w:p>
      <w:pPr>
        <w:numPr>
          <w:ilvl w:val="0"/>
          <w:numId w:val="1001"/>
        </w:numPr>
      </w:pPr>
      <w:r>
        <w:rPr>
          <w:b/>
          <w:bCs/>
        </w:rPr>
        <w:t xml:space="preserve">From platform strategy to release discipline</w:t>
      </w:r>
      <w:r>
        <w:br/>
      </w:r>
      <w:r>
        <w:t xml:space="preserve">Every major domain is classified by release tier, priority, dependency burden, governance complexity, and commercial packaging.</w:t>
      </w:r>
    </w:p>
    <w:p>
      <w:pPr>
        <w:numPr>
          <w:ilvl w:val="0"/>
          <w:numId w:val="1001"/>
        </w:numPr>
      </w:pPr>
      <w:r>
        <w:rPr>
          <w:b/>
          <w:bCs/>
        </w:rPr>
        <w:t xml:space="preserve">From high-level trust narrative to operational controls</w:t>
      </w:r>
      <w:r>
        <w:br/>
      </w:r>
      <w:r>
        <w:t xml:space="preserve">Credential trust, procurement evidence, payment security scope, AI governance, accessibility readiness, and privacy controls are defined as operational systems rather than abstract principles.</w:t>
      </w:r>
    </w:p>
    <w:p>
      <w:pPr>
        <w:numPr>
          <w:ilvl w:val="0"/>
          <w:numId w:val="1001"/>
        </w:numPr>
      </w:pPr>
      <w:r>
        <w:rPr>
          <w:b/>
          <w:bCs/>
        </w:rPr>
        <w:t xml:space="preserve">From broad scope to retained detail plus execution logic</w:t>
      </w:r>
      <w:r>
        <w:br/>
      </w:r>
      <w:r>
        <w:t xml:space="preserve">Personas, use cases, agent responsibilities, module requirements, KPI/NFR tables, AI adoption rules, non-automation boundaries, ownership, and migration logic are all preserved in one execution-grade structure.</w:t>
      </w:r>
    </w:p>
    <w:p>
      <w:pPr>
        <w:numPr>
          <w:ilvl w:val="0"/>
          <w:numId w:val="1001"/>
        </w:numPr>
      </w:pPr>
      <w:r>
        <w:rPr>
          <w:b/>
          <w:bCs/>
        </w:rPr>
        <w:t xml:space="preserve">From roadmap language to implementation-readiness</w:t>
      </w:r>
      <w:r>
        <w:br/>
      </w:r>
      <w:r>
        <w:t xml:space="preserve">V6 specifies migration factory workstreams, coexistence modes, role matrices, implementation phases, approval tables, QA strategy, UAT signoff, and KPI baselines.</w:t>
      </w:r>
    </w:p>
    <w:p>
      <w:pPr>
        <w:numPr>
          <w:ilvl w:val="0"/>
          <w:numId w:val="1001"/>
        </w:numPr>
      </w:pPr>
      <w:r>
        <w:rPr>
          <w:b/>
          <w:bCs/>
        </w:rPr>
        <w:t xml:space="preserve">From product document to operating document</w:t>
      </w:r>
      <w:r>
        <w:br/>
      </w:r>
      <w:r>
        <w:t xml:space="preserve">V6 is intended to support product planning, engineering scoping, solution consulting, security review, procurement response, pilot design, and executive decision-making.</w:t>
      </w:r>
    </w:p>
    <w:bookmarkEnd w:id="24"/>
    <w:bookmarkStart w:id="25" w:name="strategic-pillars"/>
    <w:p>
      <w:pPr>
        <w:pStyle w:val="Heading2"/>
      </w:pPr>
      <w:r>
        <w:t xml:space="preserve">1.4 Strategic Pillars</w:t>
      </w:r>
    </w:p>
    <w:p>
      <w:pPr>
        <w:pStyle w:val="Compact"/>
        <w:numPr>
          <w:ilvl w:val="0"/>
          <w:numId w:val="1002"/>
        </w:numPr>
      </w:pPr>
      <w:r>
        <w:t xml:space="preserve">Universal Institution Model</w:t>
      </w:r>
      <w:r>
        <w:br/>
      </w:r>
    </w:p>
    <w:p>
      <w:pPr>
        <w:pStyle w:val="Compact"/>
        <w:numPr>
          <w:ilvl w:val="0"/>
          <w:numId w:val="1002"/>
        </w:numPr>
      </w:pPr>
      <w:r>
        <w:t xml:space="preserve">Multi-Campus Hierarchy</w:t>
      </w:r>
      <w:r>
        <w:br/>
      </w:r>
    </w:p>
    <w:p>
      <w:pPr>
        <w:pStyle w:val="Compact"/>
        <w:numPr>
          <w:ilvl w:val="0"/>
          <w:numId w:val="1002"/>
        </w:numPr>
      </w:pPr>
      <w:r>
        <w:t xml:space="preserve">Higher Education Intelligence</w:t>
      </w:r>
      <w:r>
        <w:br/>
      </w:r>
    </w:p>
    <w:p>
      <w:pPr>
        <w:pStyle w:val="Compact"/>
        <w:numPr>
          <w:ilvl w:val="0"/>
          <w:numId w:val="1002"/>
        </w:numPr>
      </w:pPr>
      <w:r>
        <w:t xml:space="preserve">Coaching Engine</w:t>
      </w:r>
      <w:r>
        <w:br/>
      </w:r>
    </w:p>
    <w:p>
      <w:pPr>
        <w:pStyle w:val="Compact"/>
        <w:numPr>
          <w:ilvl w:val="0"/>
          <w:numId w:val="1002"/>
        </w:numPr>
      </w:pPr>
      <w:r>
        <w:t xml:space="preserve">International Operations</w:t>
      </w:r>
      <w:r>
        <w:br/>
      </w:r>
    </w:p>
    <w:p>
      <w:pPr>
        <w:pStyle w:val="Compact"/>
        <w:numPr>
          <w:ilvl w:val="0"/>
          <w:numId w:val="1002"/>
        </w:numPr>
      </w:pPr>
      <w:r>
        <w:t xml:space="preserve">Trust Rails by Design</w:t>
      </w:r>
      <w:r>
        <w:br/>
      </w:r>
    </w:p>
    <w:p>
      <w:pPr>
        <w:pStyle w:val="Compact"/>
        <w:numPr>
          <w:ilvl w:val="0"/>
          <w:numId w:val="1002"/>
        </w:numPr>
      </w:pPr>
      <w:r>
        <w:t xml:space="preserve">Human-Governed AI Operations</w:t>
      </w:r>
      <w:r>
        <w:br/>
      </w:r>
    </w:p>
    <w:p>
      <w:pPr>
        <w:pStyle w:val="Compact"/>
        <w:numPr>
          <w:ilvl w:val="0"/>
          <w:numId w:val="1002"/>
        </w:numPr>
      </w:pPr>
      <w:r>
        <w:t xml:space="preserve">Zero-Trust Security &amp; Privacy by Default</w:t>
      </w:r>
      <w:r>
        <w:br/>
      </w:r>
    </w:p>
    <w:p>
      <w:pPr>
        <w:pStyle w:val="Compact"/>
        <w:numPr>
          <w:ilvl w:val="0"/>
          <w:numId w:val="1002"/>
        </w:numPr>
      </w:pPr>
      <w:r>
        <w:t xml:space="preserve">Global Equity by Design</w:t>
      </w:r>
      <w:r>
        <w:br/>
      </w:r>
    </w:p>
    <w:p>
      <w:pPr>
        <w:pStyle w:val="Compact"/>
        <w:numPr>
          <w:ilvl w:val="0"/>
          <w:numId w:val="1002"/>
        </w:numPr>
      </w:pPr>
      <w:r>
        <w:t xml:space="preserve">Commercial Flexibility &amp; Margin Discipline</w:t>
      </w:r>
    </w:p>
    <w:bookmarkEnd w:id="25"/>
    <w:bookmarkStart w:id="26" w:name="institution-type-capability-map"/>
    <w:p>
      <w:pPr>
        <w:pStyle w:val="Heading2"/>
      </w:pPr>
      <w:r>
        <w:t xml:space="preserve">1.5 Institution Type Capability Map</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Capability Area</w:t>
            </w:r>
          </w:p>
        </w:tc>
        <w:tc>
          <w:tcPr/>
          <w:p>
            <w:pPr>
              <w:pStyle w:val="Compact"/>
              <w:jc w:val="left"/>
            </w:pPr>
            <w:r>
              <w:t xml:space="preserve">K-12</w:t>
            </w:r>
          </w:p>
        </w:tc>
        <w:tc>
          <w:tcPr/>
          <w:p>
            <w:pPr>
              <w:pStyle w:val="Compact"/>
              <w:jc w:val="left"/>
            </w:pPr>
            <w:r>
              <w:t xml:space="preserve">Multi-Campus Group</w:t>
            </w:r>
          </w:p>
        </w:tc>
        <w:tc>
          <w:tcPr/>
          <w:p>
            <w:pPr>
              <w:pStyle w:val="Compact"/>
              <w:jc w:val="left"/>
            </w:pPr>
            <w:r>
              <w:t xml:space="preserve">International School Group</w:t>
            </w:r>
          </w:p>
        </w:tc>
        <w:tc>
          <w:tcPr/>
          <w:p>
            <w:pPr>
              <w:pStyle w:val="Compact"/>
              <w:jc w:val="left"/>
            </w:pPr>
            <w:r>
              <w:t xml:space="preserve">College / University</w:t>
            </w:r>
          </w:p>
        </w:tc>
        <w:tc>
          <w:tcPr/>
          <w:p>
            <w:pPr>
              <w:pStyle w:val="Compact"/>
              <w:jc w:val="left"/>
            </w:pPr>
            <w:r>
              <w:t xml:space="preserve">Coaching Network</w:t>
            </w:r>
          </w:p>
        </w:tc>
        <w:tc>
          <w:tcPr/>
          <w:p>
            <w:pPr>
              <w:pStyle w:val="Compact"/>
              <w:jc w:val="left"/>
            </w:pPr>
            <w:r>
              <w:t xml:space="preserve">Continuing / Executive Education</w:t>
            </w:r>
          </w:p>
        </w:tc>
      </w:tr>
      <w:tr>
        <w:tc>
          <w:tcPr/>
          <w:p>
            <w:pPr>
              <w:pStyle w:val="Compact"/>
              <w:jc w:val="left"/>
            </w:pPr>
            <w:r>
              <w:t xml:space="preserve">Student / Learner Management</w:t>
            </w:r>
          </w:p>
        </w:tc>
        <w:tc>
          <w:tcPr/>
          <w:p>
            <w:pPr>
              <w:pStyle w:val="Compact"/>
              <w:jc w:val="left"/>
            </w:pPr>
            <w:r>
              <w:t xml:space="preserve">Full</w:t>
            </w:r>
          </w:p>
        </w:tc>
        <w:tc>
          <w:tcPr/>
          <w:p>
            <w:pPr>
              <w:pStyle w:val="Compact"/>
              <w:jc w:val="left"/>
            </w:pPr>
            <w:r>
              <w:t xml:space="preserve">Full</w:t>
            </w:r>
          </w:p>
        </w:tc>
        <w:tc>
          <w:tcPr/>
          <w:p>
            <w:pPr>
              <w:pStyle w:val="Compact"/>
              <w:jc w:val="left"/>
            </w:pPr>
            <w:r>
              <w:t xml:space="preserve">Full</w:t>
            </w:r>
          </w:p>
        </w:tc>
        <w:tc>
          <w:tcPr/>
          <w:p>
            <w:pPr>
              <w:pStyle w:val="Compact"/>
              <w:jc w:val="left"/>
            </w:pPr>
            <w:r>
              <w:t xml:space="preserve">Full</w:t>
            </w:r>
          </w:p>
        </w:tc>
        <w:tc>
          <w:tcPr/>
          <w:p>
            <w:pPr>
              <w:pStyle w:val="Compact"/>
              <w:jc w:val="left"/>
            </w:pPr>
            <w:r>
              <w:t xml:space="preserve">Full</w:t>
            </w:r>
          </w:p>
        </w:tc>
        <w:tc>
          <w:tcPr/>
          <w:p>
            <w:pPr>
              <w:pStyle w:val="Compact"/>
              <w:jc w:val="left"/>
            </w:pPr>
            <w:r>
              <w:t xml:space="preserve">Full</w:t>
            </w:r>
          </w:p>
        </w:tc>
      </w:tr>
      <w:tr>
        <w:tc>
          <w:tcPr/>
          <w:p>
            <w:pPr>
              <w:pStyle w:val="Compact"/>
              <w:jc w:val="left"/>
            </w:pPr>
            <w:r>
              <w:t xml:space="preserve">Attendance &amp; Scheduling</w:t>
            </w:r>
          </w:p>
        </w:tc>
        <w:tc>
          <w:tcPr/>
          <w:p>
            <w:pPr>
              <w:pStyle w:val="Compact"/>
              <w:jc w:val="left"/>
            </w:pPr>
            <w:r>
              <w:t xml:space="preserve">Full</w:t>
            </w:r>
          </w:p>
        </w:tc>
        <w:tc>
          <w:tcPr/>
          <w:p>
            <w:pPr>
              <w:pStyle w:val="Compact"/>
              <w:jc w:val="left"/>
            </w:pPr>
            <w:r>
              <w:t xml:space="preserve">Cross-campus</w:t>
            </w:r>
          </w:p>
        </w:tc>
        <w:tc>
          <w:tcPr/>
          <w:p>
            <w:pPr>
              <w:pStyle w:val="Compact"/>
              <w:jc w:val="left"/>
            </w:pPr>
            <w:r>
              <w:t xml:space="preserve">Multi-curriculum</w:t>
            </w:r>
          </w:p>
        </w:tc>
        <w:tc>
          <w:tcPr/>
          <w:p>
            <w:pPr>
              <w:pStyle w:val="Compact"/>
              <w:jc w:val="left"/>
            </w:pPr>
            <w:r>
              <w:t xml:space="preserve">Course / section / exam</w:t>
            </w:r>
          </w:p>
        </w:tc>
        <w:tc>
          <w:tcPr/>
          <w:p>
            <w:pPr>
              <w:pStyle w:val="Compact"/>
              <w:jc w:val="left"/>
            </w:pPr>
            <w:r>
              <w:t xml:space="preserve">Batch / center</w:t>
            </w:r>
          </w:p>
        </w:tc>
        <w:tc>
          <w:tcPr/>
          <w:p>
            <w:pPr>
              <w:pStyle w:val="Compact"/>
              <w:jc w:val="left"/>
            </w:pPr>
            <w:r>
              <w:t xml:space="preserve">Cohort / session</w:t>
            </w:r>
          </w:p>
        </w:tc>
      </w:tr>
      <w:tr>
        <w:tc>
          <w:tcPr/>
          <w:p>
            <w:pPr>
              <w:pStyle w:val="Compact"/>
              <w:jc w:val="left"/>
            </w:pPr>
            <w:r>
              <w:t xml:space="preserve">Academic Model</w:t>
            </w:r>
          </w:p>
        </w:tc>
        <w:tc>
          <w:tcPr/>
          <w:p>
            <w:pPr>
              <w:pStyle w:val="Compact"/>
              <w:jc w:val="left"/>
            </w:pPr>
            <w:r>
              <w:t xml:space="preserve">Grade / board</w:t>
            </w:r>
          </w:p>
        </w:tc>
        <w:tc>
          <w:tcPr/>
          <w:p>
            <w:pPr>
              <w:pStyle w:val="Compact"/>
              <w:jc w:val="left"/>
            </w:pPr>
            <w:r>
              <w:t xml:space="preserve">Central governance</w:t>
            </w:r>
          </w:p>
        </w:tc>
        <w:tc>
          <w:tcPr/>
          <w:p>
            <w:pPr>
              <w:pStyle w:val="Compact"/>
              <w:jc w:val="left"/>
            </w:pPr>
            <w:r>
              <w:t xml:space="preserve">Multi-board</w:t>
            </w:r>
          </w:p>
        </w:tc>
        <w:tc>
          <w:tcPr/>
          <w:p>
            <w:pPr>
              <w:pStyle w:val="Compact"/>
              <w:jc w:val="left"/>
            </w:pPr>
            <w:r>
              <w:t xml:space="preserve">Credit / program / outcome</w:t>
            </w:r>
          </w:p>
        </w:tc>
        <w:tc>
          <w:tcPr/>
          <w:p>
            <w:pPr>
              <w:pStyle w:val="Compact"/>
              <w:jc w:val="left"/>
            </w:pPr>
            <w:r>
              <w:t xml:space="preserve">Exam-oriented</w:t>
            </w:r>
          </w:p>
        </w:tc>
        <w:tc>
          <w:tcPr/>
          <w:p>
            <w:pPr>
              <w:pStyle w:val="Compact"/>
              <w:jc w:val="left"/>
            </w:pPr>
            <w:r>
              <w:t xml:space="preserve">Short-course / stackable</w:t>
            </w:r>
          </w:p>
        </w:tc>
      </w:tr>
      <w:tr>
        <w:tc>
          <w:tcPr/>
          <w:p>
            <w:pPr>
              <w:pStyle w:val="Compact"/>
              <w:jc w:val="left"/>
            </w:pPr>
            <w:r>
              <w:t xml:space="preserve">Finance &amp; Collections</w:t>
            </w:r>
          </w:p>
        </w:tc>
        <w:tc>
          <w:tcPr/>
          <w:p>
            <w:pPr>
              <w:pStyle w:val="Compact"/>
              <w:jc w:val="left"/>
            </w:pPr>
            <w:r>
              <w:t xml:space="preserve">Fees</w:t>
            </w:r>
          </w:p>
        </w:tc>
        <w:tc>
          <w:tcPr/>
          <w:p>
            <w:pPr>
              <w:pStyle w:val="Compact"/>
              <w:jc w:val="left"/>
            </w:pPr>
            <w:r>
              <w:t xml:space="preserve">Consolidated</w:t>
            </w:r>
          </w:p>
        </w:tc>
        <w:tc>
          <w:tcPr/>
          <w:p>
            <w:pPr>
              <w:pStyle w:val="Compact"/>
              <w:jc w:val="left"/>
            </w:pPr>
            <w:r>
              <w:t xml:space="preserve">Multi-currency</w:t>
            </w:r>
          </w:p>
        </w:tc>
        <w:tc>
          <w:tcPr/>
          <w:p>
            <w:pPr>
              <w:pStyle w:val="Compact"/>
              <w:jc w:val="left"/>
            </w:pPr>
            <w:r>
              <w:t xml:space="preserve">Tuition / grants / aid</w:t>
            </w:r>
          </w:p>
        </w:tc>
        <w:tc>
          <w:tcPr/>
          <w:p>
            <w:pPr>
              <w:pStyle w:val="Compact"/>
              <w:jc w:val="left"/>
            </w:pPr>
            <w:r>
              <w:t xml:space="preserve">Batch fees</w:t>
            </w:r>
          </w:p>
        </w:tc>
        <w:tc>
          <w:tcPr/>
          <w:p>
            <w:pPr>
              <w:pStyle w:val="Compact"/>
              <w:jc w:val="left"/>
            </w:pPr>
            <w:r>
              <w:t xml:space="preserve">Course commerce / sponsor billing</w:t>
            </w:r>
          </w:p>
        </w:tc>
      </w:tr>
      <w:tr>
        <w:tc>
          <w:tcPr/>
          <w:p>
            <w:pPr>
              <w:pStyle w:val="Compact"/>
              <w:jc w:val="left"/>
            </w:pPr>
            <w:r>
              <w:t xml:space="preserve">HR &amp; Capacity</w:t>
            </w:r>
          </w:p>
        </w:tc>
        <w:tc>
          <w:tcPr/>
          <w:p>
            <w:pPr>
              <w:pStyle w:val="Compact"/>
              <w:jc w:val="left"/>
            </w:pPr>
            <w:r>
              <w:t xml:space="preserve">Full</w:t>
            </w:r>
          </w:p>
        </w:tc>
        <w:tc>
          <w:tcPr/>
          <w:p>
            <w:pPr>
              <w:pStyle w:val="Compact"/>
              <w:jc w:val="left"/>
            </w:pPr>
            <w:r>
              <w:t xml:space="preserve">Shared service</w:t>
            </w:r>
          </w:p>
        </w:tc>
        <w:tc>
          <w:tcPr/>
          <w:p>
            <w:pPr>
              <w:pStyle w:val="Compact"/>
              <w:jc w:val="left"/>
            </w:pPr>
            <w:r>
              <w:t xml:space="preserve">Multi-country</w:t>
            </w:r>
          </w:p>
        </w:tc>
        <w:tc>
          <w:tcPr/>
          <w:p>
            <w:pPr>
              <w:pStyle w:val="Compact"/>
              <w:jc w:val="left"/>
            </w:pPr>
            <w:r>
              <w:t xml:space="preserve">Faculty / staff / workload</w:t>
            </w:r>
          </w:p>
        </w:tc>
        <w:tc>
          <w:tcPr/>
          <w:p>
            <w:pPr>
              <w:pStyle w:val="Compact"/>
              <w:jc w:val="left"/>
            </w:pPr>
            <w:r>
              <w:t xml:space="preserve">Faculty / counselor</w:t>
            </w:r>
          </w:p>
        </w:tc>
        <w:tc>
          <w:tcPr/>
          <w:p>
            <w:pPr>
              <w:pStyle w:val="Compact"/>
              <w:jc w:val="left"/>
            </w:pPr>
            <w:r>
              <w:t xml:space="preserve">Instructor / contract faculty</w:t>
            </w:r>
          </w:p>
        </w:tc>
      </w:tr>
      <w:tr>
        <w:tc>
          <w:tcPr/>
          <w:p>
            <w:pPr>
              <w:pStyle w:val="Compact"/>
              <w:jc w:val="left"/>
            </w:pPr>
            <w:r>
              <w:t xml:space="preserve">Credentialing</w:t>
            </w:r>
          </w:p>
        </w:tc>
        <w:tc>
          <w:tcPr/>
          <w:p>
            <w:pPr>
              <w:pStyle w:val="Compact"/>
              <w:jc w:val="left"/>
            </w:pPr>
            <w:r>
              <w:t xml:space="preserve">Report cards</w:t>
            </w:r>
          </w:p>
        </w:tc>
        <w:tc>
          <w:tcPr/>
          <w:p>
            <w:pPr>
              <w:pStyle w:val="Compact"/>
              <w:jc w:val="left"/>
            </w:pPr>
            <w:r>
              <w:t xml:space="preserve">Group portability</w:t>
            </w:r>
          </w:p>
        </w:tc>
        <w:tc>
          <w:tcPr/>
          <w:p>
            <w:pPr>
              <w:pStyle w:val="Compact"/>
              <w:jc w:val="left"/>
            </w:pPr>
            <w:r>
              <w:t xml:space="preserve">Cross-border records</w:t>
            </w:r>
          </w:p>
        </w:tc>
        <w:tc>
          <w:tcPr/>
          <w:p>
            <w:pPr>
              <w:pStyle w:val="Compact"/>
              <w:jc w:val="left"/>
            </w:pPr>
            <w:r>
              <w:t xml:space="preserve">Transcript / degree / awards</w:t>
            </w:r>
          </w:p>
        </w:tc>
        <w:tc>
          <w:tcPr/>
          <w:p>
            <w:pPr>
              <w:pStyle w:val="Compact"/>
              <w:jc w:val="left"/>
            </w:pPr>
            <w:r>
              <w:t xml:space="preserve">Test / skill certificates</w:t>
            </w:r>
          </w:p>
        </w:tc>
        <w:tc>
          <w:tcPr/>
          <w:p>
            <w:pPr>
              <w:pStyle w:val="Compact"/>
              <w:jc w:val="left"/>
            </w:pPr>
            <w:r>
              <w:t xml:space="preserve">Microcredentials / badges</w:t>
            </w:r>
          </w:p>
        </w:tc>
      </w:tr>
      <w:tr>
        <w:tc>
          <w:tcPr/>
          <w:p>
            <w:pPr>
              <w:pStyle w:val="Compact"/>
              <w:jc w:val="left"/>
            </w:pPr>
            <w:r>
              <w:t xml:space="preserve">Compliance</w:t>
            </w:r>
          </w:p>
        </w:tc>
        <w:tc>
          <w:tcPr/>
          <w:p>
            <w:pPr>
              <w:pStyle w:val="Compact"/>
              <w:jc w:val="left"/>
            </w:pPr>
            <w:r>
              <w:t xml:space="preserve">Board / child safety</w:t>
            </w:r>
          </w:p>
        </w:tc>
        <w:tc>
          <w:tcPr/>
          <w:p>
            <w:pPr>
              <w:pStyle w:val="Compact"/>
              <w:jc w:val="left"/>
            </w:pPr>
            <w:r>
              <w:t xml:space="preserve">Group policy</w:t>
            </w:r>
          </w:p>
        </w:tc>
        <w:tc>
          <w:tcPr/>
          <w:p>
            <w:pPr>
              <w:pStyle w:val="Compact"/>
              <w:jc w:val="left"/>
            </w:pPr>
            <w:r>
              <w:t xml:space="preserve">Country / visa / tax</w:t>
            </w:r>
          </w:p>
        </w:tc>
        <w:tc>
          <w:tcPr/>
          <w:p>
            <w:pPr>
              <w:pStyle w:val="Compact"/>
              <w:jc w:val="left"/>
            </w:pPr>
            <w:r>
              <w:t xml:space="preserve">UGC / AICTE / NAAC / ABET / QAA</w:t>
            </w:r>
          </w:p>
        </w:tc>
        <w:tc>
          <w:tcPr/>
          <w:p>
            <w:pPr>
              <w:pStyle w:val="Compact"/>
              <w:jc w:val="left"/>
            </w:pPr>
            <w:r>
              <w:t xml:space="preserve">Franchise controls</w:t>
            </w:r>
          </w:p>
        </w:tc>
        <w:tc>
          <w:tcPr/>
          <w:p>
            <w:pPr>
              <w:pStyle w:val="Compact"/>
              <w:jc w:val="left"/>
            </w:pPr>
            <w:r>
              <w:t xml:space="preserve">Contract / audit / CE rules</w:t>
            </w:r>
          </w:p>
        </w:tc>
      </w:tr>
      <w:tr>
        <w:tc>
          <w:tcPr/>
          <w:p>
            <w:pPr>
              <w:pStyle w:val="Compact"/>
              <w:jc w:val="left"/>
            </w:pPr>
            <w:r>
              <w:t xml:space="preserve">Analytics</w:t>
            </w:r>
          </w:p>
        </w:tc>
        <w:tc>
          <w:tcPr/>
          <w:p>
            <w:pPr>
              <w:pStyle w:val="Compact"/>
              <w:jc w:val="left"/>
            </w:pPr>
            <w:r>
              <w:t xml:space="preserve">School ops</w:t>
            </w:r>
          </w:p>
        </w:tc>
        <w:tc>
          <w:tcPr/>
          <w:p>
            <w:pPr>
              <w:pStyle w:val="Compact"/>
              <w:jc w:val="left"/>
            </w:pPr>
            <w:r>
              <w:t xml:space="preserve">HQ dashboards</w:t>
            </w:r>
          </w:p>
        </w:tc>
        <w:tc>
          <w:tcPr/>
          <w:p>
            <w:pPr>
              <w:pStyle w:val="Compact"/>
              <w:jc w:val="left"/>
            </w:pPr>
            <w:r>
              <w:t xml:space="preserve">Group reporting</w:t>
            </w:r>
          </w:p>
        </w:tc>
        <w:tc>
          <w:tcPr/>
          <w:p>
            <w:pPr>
              <w:pStyle w:val="Compact"/>
              <w:jc w:val="left"/>
            </w:pPr>
            <w:r>
              <w:t xml:space="preserve">Registrar / research / outcome</w:t>
            </w:r>
          </w:p>
        </w:tc>
        <w:tc>
          <w:tcPr/>
          <w:p>
            <w:pPr>
              <w:pStyle w:val="Compact"/>
              <w:jc w:val="left"/>
            </w:pPr>
            <w:r>
              <w:t xml:space="preserve">Rank / batch / center</w:t>
            </w:r>
          </w:p>
        </w:tc>
        <w:tc>
          <w:tcPr/>
          <w:p>
            <w:pPr>
              <w:pStyle w:val="Compact"/>
              <w:jc w:val="left"/>
            </w:pPr>
            <w:r>
              <w:t xml:space="preserve">Revenue / completion / renewal</w:t>
            </w:r>
          </w:p>
        </w:tc>
      </w:tr>
      <w:tr>
        <w:tc>
          <w:tcPr/>
          <w:p>
            <w:pPr>
              <w:pStyle w:val="Compact"/>
              <w:jc w:val="left"/>
            </w:pPr>
            <w:r>
              <w:t xml:space="preserve">AI Governance</w:t>
            </w:r>
          </w:p>
        </w:tc>
        <w:tc>
          <w:tcPr/>
          <w:p>
            <w:pPr>
              <w:pStyle w:val="Compact"/>
              <w:jc w:val="left"/>
            </w:pPr>
            <w:r>
              <w:t xml:space="preserve">Moderate</w:t>
            </w:r>
          </w:p>
        </w:tc>
        <w:tc>
          <w:tcPr/>
          <w:p>
            <w:pPr>
              <w:pStyle w:val="Compact"/>
              <w:jc w:val="left"/>
            </w:pPr>
            <w:r>
              <w:t xml:space="preserve">Group controls</w:t>
            </w:r>
          </w:p>
        </w:tc>
        <w:tc>
          <w:tcPr/>
          <w:p>
            <w:pPr>
              <w:pStyle w:val="Compact"/>
              <w:jc w:val="left"/>
            </w:pPr>
            <w:r>
              <w:t xml:space="preserve">Multi-country controls</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High</w:t>
            </w:r>
          </w:p>
        </w:tc>
      </w:tr>
      <w:tr>
        <w:tc>
          <w:tcPr/>
          <w:p>
            <w:pPr>
              <w:pStyle w:val="Compact"/>
              <w:jc w:val="left"/>
            </w:pPr>
            <w:r>
              <w:t xml:space="preserve">Benchmarking</w:t>
            </w:r>
          </w:p>
        </w:tc>
        <w:tc>
          <w:tcPr/>
          <w:p>
            <w:pPr>
              <w:pStyle w:val="Compact"/>
              <w:jc w:val="left"/>
            </w:pPr>
            <w:r>
              <w:t xml:space="preserve">Optional</w:t>
            </w:r>
          </w:p>
        </w:tc>
        <w:tc>
          <w:tcPr/>
          <w:p>
            <w:pPr>
              <w:pStyle w:val="Compact"/>
              <w:jc w:val="left"/>
            </w:pPr>
            <w:r>
              <w:t xml:space="preserve">Strong</w:t>
            </w:r>
          </w:p>
        </w:tc>
        <w:tc>
          <w:tcPr/>
          <w:p>
            <w:pPr>
              <w:pStyle w:val="Compact"/>
              <w:jc w:val="left"/>
            </w:pPr>
            <w:r>
              <w:t xml:space="preserve">Strong</w:t>
            </w:r>
          </w:p>
        </w:tc>
        <w:tc>
          <w:tcPr/>
          <w:p>
            <w:pPr>
              <w:pStyle w:val="Compact"/>
              <w:jc w:val="left"/>
            </w:pPr>
            <w:r>
              <w:t xml:space="preserve">Strong</w:t>
            </w:r>
          </w:p>
        </w:tc>
        <w:tc>
          <w:tcPr/>
          <w:p>
            <w:pPr>
              <w:pStyle w:val="Compact"/>
              <w:jc w:val="left"/>
            </w:pPr>
            <w:r>
              <w:t xml:space="preserve">Strong</w:t>
            </w:r>
          </w:p>
        </w:tc>
        <w:tc>
          <w:tcPr/>
          <w:p>
            <w:pPr>
              <w:pStyle w:val="Compact"/>
              <w:jc w:val="left"/>
            </w:pPr>
            <w:r>
              <w:t xml:space="preserve">Moderate</w:t>
            </w:r>
          </w:p>
        </w:tc>
      </w:tr>
    </w:tbl>
    <w:bookmarkEnd w:id="26"/>
    <w:bookmarkStart w:id="27" w:name="key-outcomes-by-institution-type"/>
    <w:p>
      <w:pPr>
        <w:pStyle w:val="Heading2"/>
      </w:pPr>
      <w:r>
        <w:t xml:space="preserve">1.6 Key Outcomes by Institution Type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Institution Type</w:t>
            </w:r>
          </w:p>
        </w:tc>
        <w:tc>
          <w:tcPr/>
          <w:p>
            <w:pPr>
              <w:pStyle w:val="Compact"/>
              <w:jc w:val="left"/>
            </w:pPr>
            <w:r>
              <w:t xml:space="preserve">Pain Today</w:t>
            </w:r>
          </w:p>
        </w:tc>
        <w:tc>
          <w:tcPr/>
          <w:p>
            <w:pPr>
              <w:pStyle w:val="Compact"/>
              <w:jc w:val="left"/>
            </w:pPr>
            <w:r>
              <w:t xml:space="preserve">Outcome with ScholarMind v6</w:t>
            </w:r>
          </w:p>
        </w:tc>
      </w:tr>
      <w:tr>
        <w:tc>
          <w:tcPr/>
          <w:p>
            <w:pPr>
              <w:pStyle w:val="Compact"/>
              <w:jc w:val="left"/>
            </w:pPr>
            <w:r>
              <w:t xml:space="preserve">Multi-campus chain</w:t>
            </w:r>
          </w:p>
        </w:tc>
        <w:tc>
          <w:tcPr/>
          <w:p>
            <w:pPr>
              <w:pStyle w:val="Compact"/>
              <w:jc w:val="left"/>
            </w:pPr>
            <w:r>
              <w:t xml:space="preserve">Fragmented campus systems and weak HQ visibility</w:t>
            </w:r>
          </w:p>
        </w:tc>
        <w:tc>
          <w:tcPr/>
          <w:p>
            <w:pPr>
              <w:pStyle w:val="Compact"/>
              <w:jc w:val="left"/>
            </w:pPr>
            <w:r>
              <w:t xml:space="preserve">One governed data and workflow layer with cross-campus analytics, policy inheritance, shared-service control, and benchmarkable operations</w:t>
            </w:r>
          </w:p>
        </w:tc>
      </w:tr>
      <w:tr>
        <w:tc>
          <w:tcPr/>
          <w:p>
            <w:pPr>
              <w:pStyle w:val="Compact"/>
              <w:jc w:val="left"/>
            </w:pPr>
            <w:r>
              <w:t xml:space="preserve">International group</w:t>
            </w:r>
          </w:p>
        </w:tc>
        <w:tc>
          <w:tcPr/>
          <w:p>
            <w:pPr>
              <w:pStyle w:val="Compact"/>
              <w:jc w:val="left"/>
            </w:pPr>
            <w:r>
              <w:t xml:space="preserve">Manual currency, visa, curriculum, and reporting complexity</w:t>
            </w:r>
          </w:p>
        </w:tc>
        <w:tc>
          <w:tcPr/>
          <w:p>
            <w:pPr>
              <w:pStyle w:val="Compact"/>
              <w:jc w:val="left"/>
            </w:pPr>
            <w:r>
              <w:t xml:space="preserve">Country-aware operating model with multi-currency finance, student mobility, multilingual communication, and international compliance support</w:t>
            </w:r>
          </w:p>
        </w:tc>
      </w:tr>
      <w:tr>
        <w:tc>
          <w:tcPr/>
          <w:p>
            <w:pPr>
              <w:pStyle w:val="Compact"/>
              <w:jc w:val="left"/>
            </w:pPr>
            <w:r>
              <w:t xml:space="preserve">College / university</w:t>
            </w:r>
          </w:p>
        </w:tc>
        <w:tc>
          <w:tcPr/>
          <w:p>
            <w:pPr>
              <w:pStyle w:val="Compact"/>
              <w:jc w:val="left"/>
            </w:pPr>
            <w:r>
              <w:t xml:space="preserve">Registrar bottlenecks, weak transferability, manual accreditation, disconnected student success interventions</w:t>
            </w:r>
          </w:p>
        </w:tc>
        <w:tc>
          <w:tcPr/>
          <w:p>
            <w:pPr>
              <w:pStyle w:val="Compact"/>
              <w:jc w:val="left"/>
            </w:pPr>
            <w:r>
              <w:t xml:space="preserve">Credit mobility, degree audit, accreditation automation, student success case management, research/placement readiness, and verifiable academic records</w:t>
            </w:r>
          </w:p>
        </w:tc>
      </w:tr>
      <w:tr>
        <w:tc>
          <w:tcPr/>
          <w:p>
            <w:pPr>
              <w:pStyle w:val="Compact"/>
              <w:jc w:val="left"/>
            </w:pPr>
            <w:r>
              <w:t xml:space="preserve">Coaching network</w:t>
            </w:r>
          </w:p>
        </w:tc>
        <w:tc>
          <w:tcPr/>
          <w:p>
            <w:pPr>
              <w:pStyle w:val="Compact"/>
              <w:jc w:val="left"/>
            </w:pPr>
            <w:r>
              <w:t xml:space="preserve">Fragmented batch operations and informal communication</w:t>
            </w:r>
          </w:p>
        </w:tc>
        <w:tc>
          <w:tcPr/>
          <w:p>
            <w:pPr>
              <w:pStyle w:val="Compact"/>
              <w:jc w:val="left"/>
            </w:pPr>
            <w:r>
              <w:t xml:space="preserve">Structured batch intelligence, test series operations, doubt routing, parent reporting, and center-level revenue / performance control</w:t>
            </w:r>
          </w:p>
        </w:tc>
      </w:tr>
      <w:tr>
        <w:tc>
          <w:tcPr/>
          <w:p>
            <w:pPr>
              <w:pStyle w:val="Compact"/>
              <w:jc w:val="left"/>
            </w:pPr>
            <w:r>
              <w:t xml:space="preserve">Continuing / executive education provider</w:t>
            </w:r>
          </w:p>
        </w:tc>
        <w:tc>
          <w:tcPr/>
          <w:p>
            <w:pPr>
              <w:pStyle w:val="Compact"/>
              <w:jc w:val="left"/>
            </w:pPr>
            <w:r>
              <w:t xml:space="preserve">Disconnected commerce, delivery, and credentialing</w:t>
            </w:r>
          </w:p>
        </w:tc>
        <w:tc>
          <w:tcPr/>
          <w:p>
            <w:pPr>
              <w:pStyle w:val="Compact"/>
              <w:jc w:val="left"/>
            </w:pPr>
            <w:r>
              <w:t xml:space="preserve">Non-degree catalog, sponsor billing, stackable credentialing, cohort operations, and pathway conversion into degree or workforce journeys</w:t>
            </w:r>
          </w:p>
        </w:tc>
      </w:tr>
      <w:tr>
        <w:tc>
          <w:tcPr/>
          <w:p>
            <w:pPr>
              <w:pStyle w:val="Compact"/>
              <w:jc w:val="left"/>
            </w:pPr>
            <w:r>
              <w:t xml:space="preserve">Hybrid group</w:t>
            </w:r>
          </w:p>
        </w:tc>
        <w:tc>
          <w:tcPr/>
          <w:p>
            <w:pPr>
              <w:pStyle w:val="Compact"/>
              <w:jc w:val="left"/>
            </w:pPr>
            <w:r>
              <w:t xml:space="preserve">Separate systems by institution type and learner stage</w:t>
            </w:r>
          </w:p>
        </w:tc>
        <w:tc>
          <w:tcPr/>
          <w:p>
            <w:pPr>
              <w:pStyle w:val="Compact"/>
              <w:jc w:val="left"/>
            </w:pPr>
            <w:r>
              <w:t xml:space="preserve">Unified lifelong learner profile spanning school, degree, coaching, non-degree, and alumni outcome layers</w:t>
            </w:r>
          </w:p>
        </w:tc>
      </w:tr>
    </w:tbl>
    <w:bookmarkEnd w:id="27"/>
    <w:bookmarkEnd w:id="28"/>
    <w:bookmarkStart w:id="41" w:name="X00552ec9b6442828586c9e9b02448f47d0b5352"/>
    <w:p>
      <w:pPr>
        <w:pStyle w:val="Heading1"/>
      </w:pPr>
      <w:r>
        <w:t xml:space="preserve">2. Problem Statement, Market Context &amp; Strategic Positioning</w:t>
      </w:r>
    </w:p>
    <w:bookmarkStart w:id="29" w:name="core-problem"/>
    <w:p>
      <w:pPr>
        <w:pStyle w:val="Heading2"/>
      </w:pPr>
      <w:r>
        <w:t xml:space="preserve">2.1 Core problem</w:t>
      </w:r>
    </w:p>
    <w:p>
      <w:pPr>
        <w:pStyle w:val="FirstParagraph"/>
      </w:pPr>
      <w:r>
        <w:t xml:space="preserve">Education institutions still operate across fragmented systems for admissions, academics, finance, HR, credentialing, learning, payments, compliance, and reporting. That fragmentation creates five strategic problems:</w:t>
      </w:r>
    </w:p>
    <w:p>
      <w:pPr>
        <w:pStyle w:val="Compact"/>
        <w:numPr>
          <w:ilvl w:val="0"/>
          <w:numId w:val="1003"/>
        </w:numPr>
      </w:pPr>
      <w:r>
        <w:t xml:space="preserve">Incomplete learner identity</w:t>
      </w:r>
      <w:r>
        <w:br/>
      </w:r>
    </w:p>
    <w:p>
      <w:pPr>
        <w:pStyle w:val="Compact"/>
        <w:numPr>
          <w:ilvl w:val="0"/>
          <w:numId w:val="1003"/>
        </w:numPr>
      </w:pPr>
      <w:r>
        <w:t xml:space="preserve">Weak institutional trust</w:t>
      </w:r>
      <w:r>
        <w:br/>
      </w:r>
    </w:p>
    <w:p>
      <w:pPr>
        <w:pStyle w:val="Compact"/>
        <w:numPr>
          <w:ilvl w:val="0"/>
          <w:numId w:val="1003"/>
        </w:numPr>
      </w:pPr>
      <w:r>
        <w:t xml:space="preserve">Operational inefficiency</w:t>
      </w:r>
      <w:r>
        <w:br/>
      </w:r>
    </w:p>
    <w:p>
      <w:pPr>
        <w:pStyle w:val="Compact"/>
        <w:numPr>
          <w:ilvl w:val="0"/>
          <w:numId w:val="1003"/>
        </w:numPr>
      </w:pPr>
      <w:r>
        <w:t xml:space="preserve">Poor multi-entity governance</w:t>
      </w:r>
      <w:r>
        <w:br/>
      </w:r>
    </w:p>
    <w:p>
      <w:pPr>
        <w:pStyle w:val="Compact"/>
        <w:numPr>
          <w:ilvl w:val="0"/>
          <w:numId w:val="1003"/>
        </w:numPr>
      </w:pPr>
      <w:r>
        <w:t xml:space="preserve">Unclear AI risk posture</w:t>
      </w:r>
    </w:p>
    <w:bookmarkEnd w:id="29"/>
    <w:bookmarkStart w:id="30" w:name="why-the-problem-matters-more-now"/>
    <w:p>
      <w:pPr>
        <w:pStyle w:val="Heading2"/>
      </w:pPr>
      <w:r>
        <w:t xml:space="preserve">2.2 Why the problem matters more now</w:t>
      </w:r>
    </w:p>
    <w:p>
      <w:pPr>
        <w:pStyle w:val="FirstParagraph"/>
      </w:pPr>
      <w:r>
        <w:t xml:space="preserve">Institutions increasingly need:</w:t>
      </w:r>
      <w:r>
        <w:t xml:space="preserve"> </w:t>
      </w:r>
      <w:r>
        <w:t xml:space="preserve">- digitally trusted records,</w:t>
      </w:r>
      <w:r>
        <w:t xml:space="preserve"> </w:t>
      </w:r>
      <w:r>
        <w:t xml:space="preserve">- procurement-ready security and privacy posture,</w:t>
      </w:r>
      <w:r>
        <w:t xml:space="preserve"> </w:t>
      </w:r>
      <w:r>
        <w:t xml:space="preserve">- accessible design and evidence,</w:t>
      </w:r>
      <w:r>
        <w:t xml:space="preserve"> </w:t>
      </w:r>
      <w:r>
        <w:t xml:space="preserve">- cross-border and multi-currency support,</w:t>
      </w:r>
      <w:r>
        <w:t xml:space="preserve"> </w:t>
      </w:r>
      <w:r>
        <w:t xml:space="preserve">- non-degree and lifelong learning models,</w:t>
      </w:r>
      <w:r>
        <w:t xml:space="preserve"> </w:t>
      </w:r>
      <w:r>
        <w:t xml:space="preserve">- workflow-aware AI controls,</w:t>
      </w:r>
      <w:r>
        <w:t xml:space="preserve"> </w:t>
      </w:r>
      <w:r>
        <w:t xml:space="preserve">- measurable student and commercial outcomes,</w:t>
      </w:r>
      <w:r>
        <w:t xml:space="preserve"> </w:t>
      </w:r>
      <w:r>
        <w:t xml:space="preserve">- coexistence and low-risk migration from legacy systems.</w:t>
      </w:r>
    </w:p>
    <w:bookmarkEnd w:id="30"/>
    <w:bookmarkStart w:id="36" w:name="segment-specific-gaps"/>
    <w:p>
      <w:pPr>
        <w:pStyle w:val="Heading2"/>
      </w:pPr>
      <w:r>
        <w:t xml:space="preserve">2.3 Segment-specific gaps</w:t>
      </w:r>
    </w:p>
    <w:bookmarkStart w:id="31" w:name="multi-campus-school-groups"/>
    <w:p>
      <w:pPr>
        <w:pStyle w:val="Heading3"/>
      </w:pPr>
      <w:r>
        <w:t xml:space="preserve">Multi-campus school groups</w:t>
      </w:r>
    </w:p>
    <w:p>
      <w:pPr>
        <w:pStyle w:val="Compact"/>
        <w:numPr>
          <w:ilvl w:val="0"/>
          <w:numId w:val="1004"/>
        </w:numPr>
      </w:pPr>
      <w:r>
        <w:t xml:space="preserve">weak HQ command and benchmarking,</w:t>
      </w:r>
    </w:p>
    <w:p>
      <w:pPr>
        <w:pStyle w:val="Compact"/>
        <w:numPr>
          <w:ilvl w:val="0"/>
          <w:numId w:val="1004"/>
        </w:numPr>
      </w:pPr>
      <w:r>
        <w:t xml:space="preserve">inconsistent policy inheritance,</w:t>
      </w:r>
    </w:p>
    <w:p>
      <w:pPr>
        <w:pStyle w:val="Compact"/>
        <w:numPr>
          <w:ilvl w:val="0"/>
          <w:numId w:val="1004"/>
        </w:numPr>
      </w:pPr>
      <w:r>
        <w:t xml:space="preserve">manual transfer and shared-service operations,</w:t>
      </w:r>
    </w:p>
    <w:p>
      <w:pPr>
        <w:pStyle w:val="Compact"/>
        <w:numPr>
          <w:ilvl w:val="0"/>
          <w:numId w:val="1004"/>
        </w:numPr>
      </w:pPr>
      <w:r>
        <w:t xml:space="preserve">limited privacy-safe cross-campus comparison.</w:t>
      </w:r>
    </w:p>
    <w:bookmarkEnd w:id="31"/>
    <w:bookmarkStart w:id="32" w:name="international-groups"/>
    <w:p>
      <w:pPr>
        <w:pStyle w:val="Heading3"/>
      </w:pPr>
      <w:r>
        <w:t xml:space="preserve">International groups</w:t>
      </w:r>
    </w:p>
    <w:p>
      <w:pPr>
        <w:pStyle w:val="Compact"/>
        <w:numPr>
          <w:ilvl w:val="0"/>
          <w:numId w:val="1005"/>
        </w:numPr>
      </w:pPr>
      <w:r>
        <w:t xml:space="preserve">fragmented FX and tax handling,</w:t>
      </w:r>
    </w:p>
    <w:p>
      <w:pPr>
        <w:pStyle w:val="Compact"/>
        <w:numPr>
          <w:ilvl w:val="0"/>
          <w:numId w:val="1005"/>
        </w:numPr>
      </w:pPr>
      <w:r>
        <w:t xml:space="preserve">under-supported visa and guardianship workflows,</w:t>
      </w:r>
    </w:p>
    <w:p>
      <w:pPr>
        <w:pStyle w:val="Compact"/>
        <w:numPr>
          <w:ilvl w:val="0"/>
          <w:numId w:val="1005"/>
        </w:numPr>
      </w:pPr>
      <w:r>
        <w:t xml:space="preserve">poor group reporting across boards and entities,</w:t>
      </w:r>
    </w:p>
    <w:p>
      <w:pPr>
        <w:pStyle w:val="Compact"/>
        <w:numPr>
          <w:ilvl w:val="0"/>
          <w:numId w:val="1005"/>
        </w:numPr>
      </w:pPr>
      <w:r>
        <w:t xml:space="preserve">disconnected multilingual communication.</w:t>
      </w:r>
    </w:p>
    <w:bookmarkEnd w:id="32"/>
    <w:bookmarkStart w:id="33" w:name="colleges-and-universities"/>
    <w:p>
      <w:pPr>
        <w:pStyle w:val="Heading3"/>
      </w:pPr>
      <w:r>
        <w:t xml:space="preserve">Colleges and universities</w:t>
      </w:r>
    </w:p>
    <w:p>
      <w:pPr>
        <w:pStyle w:val="Compact"/>
        <w:numPr>
          <w:ilvl w:val="0"/>
          <w:numId w:val="1006"/>
        </w:numPr>
      </w:pPr>
      <w:r>
        <w:t xml:space="preserve">slow transfer and prior-learning workflows,</w:t>
      </w:r>
    </w:p>
    <w:p>
      <w:pPr>
        <w:pStyle w:val="Compact"/>
        <w:numPr>
          <w:ilvl w:val="0"/>
          <w:numId w:val="1006"/>
        </w:numPr>
      </w:pPr>
      <w:r>
        <w:t xml:space="preserve">scattered accreditation evidence,</w:t>
      </w:r>
    </w:p>
    <w:p>
      <w:pPr>
        <w:pStyle w:val="Compact"/>
        <w:numPr>
          <w:ilvl w:val="0"/>
          <w:numId w:val="1006"/>
        </w:numPr>
      </w:pPr>
      <w:r>
        <w:t xml:space="preserve">weak outcome and skills mapping,</w:t>
      </w:r>
    </w:p>
    <w:p>
      <w:pPr>
        <w:pStyle w:val="Compact"/>
        <w:numPr>
          <w:ilvl w:val="0"/>
          <w:numId w:val="1006"/>
        </w:numPr>
      </w:pPr>
      <w:r>
        <w:t xml:space="preserve">heavy vendor review burden,</w:t>
      </w:r>
    </w:p>
    <w:p>
      <w:pPr>
        <w:pStyle w:val="Compact"/>
        <w:numPr>
          <w:ilvl w:val="0"/>
          <w:numId w:val="1006"/>
        </w:numPr>
      </w:pPr>
      <w:r>
        <w:t xml:space="preserve">learner records not portable or employer-ready enough.</w:t>
      </w:r>
    </w:p>
    <w:bookmarkEnd w:id="33"/>
    <w:bookmarkStart w:id="34" w:name="coaching-networks"/>
    <w:p>
      <w:pPr>
        <w:pStyle w:val="Heading3"/>
      </w:pPr>
      <w:r>
        <w:t xml:space="preserve">Coaching networks</w:t>
      </w:r>
    </w:p>
    <w:p>
      <w:pPr>
        <w:pStyle w:val="Compact"/>
        <w:numPr>
          <w:ilvl w:val="0"/>
          <w:numId w:val="1007"/>
        </w:numPr>
      </w:pPr>
      <w:r>
        <w:t xml:space="preserve">informal batch and parent operations,</w:t>
      </w:r>
    </w:p>
    <w:p>
      <w:pPr>
        <w:pStyle w:val="Compact"/>
        <w:numPr>
          <w:ilvl w:val="0"/>
          <w:numId w:val="1007"/>
        </w:numPr>
      </w:pPr>
      <w:r>
        <w:t xml:space="preserve">limited center profitability visibility,</w:t>
      </w:r>
    </w:p>
    <w:p>
      <w:pPr>
        <w:pStyle w:val="Compact"/>
        <w:numPr>
          <w:ilvl w:val="0"/>
          <w:numId w:val="1007"/>
        </w:numPr>
      </w:pPr>
      <w:r>
        <w:t xml:space="preserve">weak franchise governance,</w:t>
      </w:r>
    </w:p>
    <w:p>
      <w:pPr>
        <w:pStyle w:val="Compact"/>
        <w:numPr>
          <w:ilvl w:val="0"/>
          <w:numId w:val="1007"/>
        </w:numPr>
      </w:pPr>
      <w:r>
        <w:t xml:space="preserve">poor progression into formal higher-ed or workforce pathways.</w:t>
      </w:r>
    </w:p>
    <w:bookmarkEnd w:id="34"/>
    <w:bookmarkStart w:id="35" w:name="continuing-executive-education"/>
    <w:p>
      <w:pPr>
        <w:pStyle w:val="Heading3"/>
      </w:pPr>
      <w:r>
        <w:t xml:space="preserve">Continuing / executive education</w:t>
      </w:r>
    </w:p>
    <w:p>
      <w:pPr>
        <w:pStyle w:val="Compact"/>
        <w:numPr>
          <w:ilvl w:val="0"/>
          <w:numId w:val="1008"/>
        </w:numPr>
      </w:pPr>
      <w:r>
        <w:t xml:space="preserve">non-degree operations detached from core systems,</w:t>
      </w:r>
    </w:p>
    <w:p>
      <w:pPr>
        <w:pStyle w:val="Compact"/>
        <w:numPr>
          <w:ilvl w:val="0"/>
          <w:numId w:val="1008"/>
        </w:numPr>
      </w:pPr>
      <w:r>
        <w:t xml:space="preserve">weak sponsor and enterprise billing,</w:t>
      </w:r>
    </w:p>
    <w:p>
      <w:pPr>
        <w:pStyle w:val="Compact"/>
        <w:numPr>
          <w:ilvl w:val="0"/>
          <w:numId w:val="1008"/>
        </w:numPr>
      </w:pPr>
      <w:r>
        <w:t xml:space="preserve">limited stackability into larger learner journeys.</w:t>
      </w:r>
    </w:p>
    <w:bookmarkEnd w:id="35"/>
    <w:bookmarkEnd w:id="36"/>
    <w:bookmarkStart w:id="37" w:name="competitor-landscape-and-implications"/>
    <w:p>
      <w:pPr>
        <w:pStyle w:val="Heading2"/>
      </w:pPr>
      <w:r>
        <w:t xml:space="preserve">2.4 Competitor landscape and implications</w:t>
      </w:r>
    </w:p>
    <w:p>
      <w:pPr>
        <w:pStyle w:val="FirstParagraph"/>
      </w:pPr>
      <w:r>
        <w:t xml:space="preserve">The education software market is converging into strong but fragmented clusters: K-12 administration, private and international school operations, higher-ed ERP/SIS, digital admissions and communications, international curriculum platforms, and coaching digitization. Differentiation cannot be based on feature count alone; it must come from a credible cross-segment operating model, strong migration capability, enterprise-grade governance, standards-aware interoperability, and a visible AI trust posture.</w:t>
      </w:r>
    </w:p>
    <w:bookmarkEnd w:id="37"/>
    <w:bookmarkStart w:id="38" w:name="strategic-wedge"/>
    <w:p>
      <w:pPr>
        <w:pStyle w:val="Heading2"/>
      </w:pPr>
      <w:r>
        <w:t xml:space="preserve">2.5 Strategic wedge</w:t>
      </w:r>
    </w:p>
    <w:p>
      <w:pPr>
        <w:pStyle w:val="FirstParagraph"/>
      </w:pPr>
      <w:r>
        <w:t xml:space="preserve">ScholarMind’s strongest entry point remains multi-entity education groups: organizations running more than one institution type, campus, country, or commercial model. The platform’s structural advantage appears where common identity, common finance, common trust, and common AI governance matter across heterogeneous entities.</w:t>
      </w:r>
    </w:p>
    <w:bookmarkEnd w:id="38"/>
    <w:bookmarkStart w:id="39" w:name="segment-sequencing-and-non-goals"/>
    <w:p>
      <w:pPr>
        <w:pStyle w:val="Heading2"/>
      </w:pPr>
      <w:r>
        <w:t xml:space="preserve">2.6 Segment sequencing and non-goals</w:t>
      </w:r>
    </w:p>
    <w:p>
      <w:pPr>
        <w:pStyle w:val="FirstParagraph"/>
      </w:pPr>
      <w:r>
        <w:rPr>
          <w:b/>
          <w:bCs/>
        </w:rPr>
        <w:t xml:space="preserve">Wave 1:</w:t>
      </w:r>
      <w:r>
        <w:t xml:space="preserve"> </w:t>
      </w:r>
      <w:r>
        <w:t xml:space="preserve">premium school chains, international groups, and diversified education groups with shared-service finance and admissions complexity.</w:t>
      </w:r>
      <w:r>
        <w:br/>
      </w:r>
      <w:r>
        <w:rPr>
          <w:b/>
          <w:bCs/>
        </w:rPr>
        <w:t xml:space="preserve">Wave 2:</w:t>
      </w:r>
      <w:r>
        <w:t xml:space="preserve"> </w:t>
      </w:r>
      <w:r>
        <w:t xml:space="preserve">autonomous colleges and university systems that need stronger group reporting, payments, registrar intelligence, and AI operations.</w:t>
      </w:r>
      <w:r>
        <w:br/>
      </w:r>
      <w:r>
        <w:rPr>
          <w:b/>
          <w:bCs/>
        </w:rPr>
        <w:t xml:space="preserve">Wave 3:</w:t>
      </w:r>
      <w:r>
        <w:t xml:space="preserve"> </w:t>
      </w:r>
      <w:r>
        <w:t xml:space="preserve">coaching and franchise networks where governance, testing, and collections become the expansion motion.</w:t>
      </w:r>
    </w:p>
    <w:p>
      <w:pPr>
        <w:pStyle w:val="BodyText"/>
      </w:pPr>
      <w:r>
        <w:rPr>
          <w:b/>
          <w:bCs/>
        </w:rPr>
        <w:t xml:space="preserve">Non-goals for the first 24 months</w:t>
      </w:r>
      <w:r>
        <w:t xml:space="preserve"> </w:t>
      </w:r>
      <w:r>
        <w:t xml:space="preserve">- pure LMS replacement deals,</w:t>
      </w:r>
      <w:r>
        <w:t xml:space="preserve"> </w:t>
      </w:r>
      <w:r>
        <w:t xml:space="preserve">- one-off brochure website projects,</w:t>
      </w:r>
      <w:r>
        <w:t xml:space="preserve"> </w:t>
      </w:r>
      <w:r>
        <w:t xml:space="preserve">- bespoke consumer tutoring marketplaces,</w:t>
      </w:r>
      <w:r>
        <w:t xml:space="preserve"> </w:t>
      </w:r>
      <w:r>
        <w:t xml:space="preserve">- heavily customized on-premise implementations with no path to product repeatability,</w:t>
      </w:r>
      <w:r>
        <w:t xml:space="preserve"> </w:t>
      </w:r>
      <w:r>
        <w:t xml:space="preserve">- custom enterprise services that bypass the product control model.</w:t>
      </w:r>
    </w:p>
    <w:bookmarkEnd w:id="39"/>
    <w:bookmarkStart w:id="40" w:name="competitive-battlecards"/>
    <w:p>
      <w:pPr>
        <w:pStyle w:val="Heading2"/>
      </w:pPr>
      <w:r>
        <w:t xml:space="preserve">2.7 Competitive battlecards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Competitor Type</w:t>
            </w:r>
          </w:p>
        </w:tc>
        <w:tc>
          <w:tcPr/>
          <w:p>
            <w:pPr>
              <w:pStyle w:val="Compact"/>
              <w:jc w:val="left"/>
            </w:pPr>
            <w:r>
              <w:t xml:space="preserve">What They Do Well</w:t>
            </w:r>
          </w:p>
        </w:tc>
        <w:tc>
          <w:tcPr/>
          <w:p>
            <w:pPr>
              <w:pStyle w:val="Compact"/>
              <w:jc w:val="left"/>
            </w:pPr>
            <w:r>
              <w:t xml:space="preserve">Where ScholarMind Presses</w:t>
            </w:r>
          </w:p>
        </w:tc>
      </w:tr>
      <w:tr>
        <w:tc>
          <w:tcPr/>
          <w:p>
            <w:pPr>
              <w:pStyle w:val="Compact"/>
              <w:jc w:val="left"/>
            </w:pPr>
            <w:r>
              <w:t xml:space="preserve">Traditional K-12 SIS vendors</w:t>
            </w:r>
          </w:p>
        </w:tc>
        <w:tc>
          <w:tcPr/>
          <w:p>
            <w:pPr>
              <w:pStyle w:val="Compact"/>
              <w:jc w:val="left"/>
            </w:pPr>
            <w:r>
              <w:t xml:space="preserve">scheduling, compliance, district administration depth</w:t>
            </w:r>
          </w:p>
        </w:tc>
        <w:tc>
          <w:tcPr/>
          <w:p>
            <w:pPr>
              <w:pStyle w:val="Compact"/>
              <w:jc w:val="left"/>
            </w:pPr>
            <w:r>
              <w:t xml:space="preserve">multi-campus governance, trust portability, payments + AI governance</w:t>
            </w:r>
          </w:p>
        </w:tc>
      </w:tr>
      <w:tr>
        <w:tc>
          <w:tcPr/>
          <w:p>
            <w:pPr>
              <w:pStyle w:val="Compact"/>
              <w:jc w:val="left"/>
            </w:pPr>
            <w:r>
              <w:t xml:space="preserve">Higher-ed ERP/SIS vendors</w:t>
            </w:r>
          </w:p>
        </w:tc>
        <w:tc>
          <w:tcPr/>
          <w:p>
            <w:pPr>
              <w:pStyle w:val="Compact"/>
              <w:jc w:val="left"/>
            </w:pPr>
            <w:r>
              <w:t xml:space="preserve">registrar depth, finance workflows, installed base</w:t>
            </w:r>
          </w:p>
        </w:tc>
        <w:tc>
          <w:tcPr/>
          <w:p>
            <w:pPr>
              <w:pStyle w:val="Compact"/>
              <w:jc w:val="left"/>
            </w:pPr>
            <w:r>
              <w:t xml:space="preserve">portability, student success orchestration, credential trust, mixed-entity groups</w:t>
            </w:r>
          </w:p>
        </w:tc>
      </w:tr>
      <w:tr>
        <w:tc>
          <w:tcPr/>
          <w:p>
            <w:pPr>
              <w:pStyle w:val="Compact"/>
              <w:jc w:val="left"/>
            </w:pPr>
            <w:r>
              <w:t xml:space="preserve">Independent / international school platforms</w:t>
            </w:r>
          </w:p>
        </w:tc>
        <w:tc>
          <w:tcPr/>
          <w:p>
            <w:pPr>
              <w:pStyle w:val="Compact"/>
              <w:jc w:val="left"/>
            </w:pPr>
            <w:r>
              <w:t xml:space="preserve">strong parent/community experience</w:t>
            </w:r>
          </w:p>
        </w:tc>
        <w:tc>
          <w:tcPr/>
          <w:p>
            <w:pPr>
              <w:pStyle w:val="Compact"/>
              <w:jc w:val="left"/>
            </w:pPr>
            <w:r>
              <w:t xml:space="preserve">multi-entity finance, group governance, multi-currency and broader operating stack</w:t>
            </w:r>
          </w:p>
        </w:tc>
      </w:tr>
      <w:tr>
        <w:tc>
          <w:tcPr/>
          <w:p>
            <w:pPr>
              <w:pStyle w:val="Compact"/>
              <w:jc w:val="left"/>
            </w:pPr>
            <w:r>
              <w:t xml:space="preserve">Coaching / creator platforms</w:t>
            </w:r>
          </w:p>
        </w:tc>
        <w:tc>
          <w:tcPr/>
          <w:p>
            <w:pPr>
              <w:pStyle w:val="Compact"/>
              <w:jc w:val="left"/>
            </w:pPr>
            <w:r>
              <w:t xml:space="preserve">mobile-first distribution, content commerce</w:t>
            </w:r>
          </w:p>
        </w:tc>
        <w:tc>
          <w:tcPr/>
          <w:p>
            <w:pPr>
              <w:pStyle w:val="Compact"/>
              <w:jc w:val="left"/>
            </w:pPr>
            <w:r>
              <w:t xml:space="preserve">structured operations, governance, revenue assurance, parent and center analytics</w:t>
            </w:r>
          </w:p>
        </w:tc>
      </w:tr>
      <w:tr>
        <w:tc>
          <w:tcPr/>
          <w:p>
            <w:pPr>
              <w:pStyle w:val="Compact"/>
              <w:jc w:val="left"/>
            </w:pPr>
            <w:r>
              <w:t xml:space="preserve">AI overlays on legacy systems</w:t>
            </w:r>
          </w:p>
        </w:tc>
        <w:tc>
          <w:tcPr/>
          <w:p>
            <w:pPr>
              <w:pStyle w:val="Compact"/>
              <w:jc w:val="left"/>
            </w:pPr>
            <w:r>
              <w:t xml:space="preserve">fast assistive UX and copilots</w:t>
            </w:r>
          </w:p>
        </w:tc>
        <w:tc>
          <w:tcPr/>
          <w:p>
            <w:pPr>
              <w:pStyle w:val="Compact"/>
              <w:jc w:val="left"/>
            </w:pPr>
            <w:r>
              <w:t xml:space="preserve">governed workflows, provenance, approvals, trust evidence, deeper operating ownership</w:t>
            </w:r>
          </w:p>
        </w:tc>
      </w:tr>
    </w:tbl>
    <w:bookmarkEnd w:id="40"/>
    <w:bookmarkEnd w:id="41"/>
    <w:bookmarkStart w:id="45" w:name="product-thesis-principles-non-goals"/>
    <w:p>
      <w:pPr>
        <w:pStyle w:val="Heading1"/>
      </w:pPr>
      <w:r>
        <w:t xml:space="preserve">3. Product Thesis, Principles &amp; Non-Goals</w:t>
      </w:r>
    </w:p>
    <w:bookmarkStart w:id="42" w:name="product-principles"/>
    <w:p>
      <w:pPr>
        <w:pStyle w:val="Heading2"/>
      </w:pPr>
      <w:r>
        <w:t xml:space="preserve">3.1 Product principles</w:t>
      </w:r>
    </w:p>
    <w:p>
      <w:pPr>
        <w:pStyle w:val="Compact"/>
        <w:numPr>
          <w:ilvl w:val="0"/>
          <w:numId w:val="1009"/>
        </w:numPr>
      </w:pPr>
      <w:r>
        <w:t xml:space="preserve">One core, many institution shapes — no architecture forks by institution type.</w:t>
      </w:r>
      <w:r>
        <w:br/>
      </w:r>
    </w:p>
    <w:p>
      <w:pPr>
        <w:pStyle w:val="Compact"/>
        <w:numPr>
          <w:ilvl w:val="0"/>
          <w:numId w:val="1009"/>
        </w:numPr>
      </w:pPr>
      <w:r>
        <w:t xml:space="preserve">Trust is a product feature — credentials, audit trails, and evidence packaging are built in.</w:t>
      </w:r>
      <w:r>
        <w:br/>
      </w:r>
    </w:p>
    <w:p>
      <w:pPr>
        <w:pStyle w:val="Compact"/>
        <w:numPr>
          <w:ilvl w:val="0"/>
          <w:numId w:val="1009"/>
        </w:numPr>
      </w:pPr>
      <w:r>
        <w:t xml:space="preserve">AI is governed, not merely embedded — risk-tiered actions, disclosures, approvals, and overrides are mandatory.</w:t>
      </w:r>
      <w:r>
        <w:br/>
      </w:r>
    </w:p>
    <w:p>
      <w:pPr>
        <w:pStyle w:val="Compact"/>
        <w:numPr>
          <w:ilvl w:val="0"/>
          <w:numId w:val="1009"/>
        </w:numPr>
      </w:pPr>
      <w:r>
        <w:t xml:space="preserve">Migration is a feature, not an afterthought — import, coexistence, cutover, rollback, and record reconciliation are first-class.</w:t>
      </w:r>
      <w:r>
        <w:br/>
      </w:r>
    </w:p>
    <w:p>
      <w:pPr>
        <w:pStyle w:val="Compact"/>
        <w:numPr>
          <w:ilvl w:val="0"/>
          <w:numId w:val="1009"/>
        </w:numPr>
      </w:pPr>
      <w:r>
        <w:t xml:space="preserve">Standards support must be explicit — every integration and portability claim needs versioned status.</w:t>
      </w:r>
      <w:r>
        <w:br/>
      </w:r>
    </w:p>
    <w:p>
      <w:pPr>
        <w:pStyle w:val="Compact"/>
        <w:numPr>
          <w:ilvl w:val="0"/>
          <w:numId w:val="1009"/>
        </w:numPr>
      </w:pPr>
      <w:r>
        <w:t xml:space="preserve">Commercial models must stay legible — platform, services, ecosystem, and AI economics are separated.</w:t>
      </w:r>
      <w:r>
        <w:br/>
      </w:r>
    </w:p>
    <w:p>
      <w:pPr>
        <w:pStyle w:val="Compact"/>
        <w:numPr>
          <w:ilvl w:val="0"/>
          <w:numId w:val="1009"/>
        </w:numPr>
      </w:pPr>
      <w:r>
        <w:t xml:space="preserve">Accessibility, privacy, and security must be baseline expectations — not premium options.</w:t>
      </w:r>
      <w:r>
        <w:br/>
      </w:r>
    </w:p>
    <w:p>
      <w:pPr>
        <w:pStyle w:val="Compact"/>
        <w:numPr>
          <w:ilvl w:val="0"/>
          <w:numId w:val="1009"/>
        </w:numPr>
      </w:pPr>
      <w:r>
        <w:t xml:space="preserve">Human ownership remains mandatory for high-risk workflows.</w:t>
      </w:r>
    </w:p>
    <w:bookmarkEnd w:id="42"/>
    <w:bookmarkStart w:id="43" w:name="product-non-goals"/>
    <w:p>
      <w:pPr>
        <w:pStyle w:val="Heading2"/>
      </w:pPr>
      <w:r>
        <w:t xml:space="preserve">3.2 Product non-goals</w:t>
      </w:r>
    </w:p>
    <w:p>
      <w:pPr>
        <w:pStyle w:val="FirstParagraph"/>
      </w:pPr>
      <w:r>
        <w:t xml:space="preserve">ScholarMind v6 is</w:t>
      </w:r>
      <w:r>
        <w:t xml:space="preserve"> </w:t>
      </w:r>
      <w:r>
        <w:rPr>
          <w:b/>
          <w:bCs/>
        </w:rPr>
        <w:t xml:space="preserve">not</w:t>
      </w:r>
      <w:r>
        <w:t xml:space="preserve"> </w:t>
      </w:r>
      <w:r>
        <w:t xml:space="preserve">intended to be:</w:t>
      </w:r>
      <w:r>
        <w:t xml:space="preserve"> </w:t>
      </w:r>
      <w:r>
        <w:t xml:space="preserve">- a full content-authoring LMS replacement,</w:t>
      </w:r>
      <w:r>
        <w:t xml:space="preserve"> </w:t>
      </w:r>
      <w:r>
        <w:t xml:space="preserve">- a bespoke custom ERP for unrelated industries,</w:t>
      </w:r>
      <w:r>
        <w:t xml:space="preserve"> </w:t>
      </w:r>
      <w:r>
        <w:t xml:space="preserve">- a consumer tutoring marketplace,</w:t>
      </w:r>
      <w:r>
        <w:t xml:space="preserve"> </w:t>
      </w:r>
      <w:r>
        <w:t xml:space="preserve">- an open-ended systems integrator program without repeatable product boundaries,</w:t>
      </w:r>
      <w:r>
        <w:t xml:space="preserve"> </w:t>
      </w:r>
      <w:r>
        <w:t xml:space="preserve">- a generic HR/payroll platform outside education context.</w:t>
      </w:r>
    </w:p>
    <w:bookmarkEnd w:id="43"/>
    <w:bookmarkStart w:id="44" w:name="scope-discipline-rules"/>
    <w:p>
      <w:pPr>
        <w:pStyle w:val="Heading2"/>
      </w:pPr>
      <w:r>
        <w:t xml:space="preserve">3.3 Scope discipline rules</w:t>
      </w:r>
    </w:p>
    <w:p>
      <w:pPr>
        <w:pStyle w:val="FirstParagraph"/>
      </w:pPr>
      <w:r>
        <w:t xml:space="preserve">Any feature entering v6 or later must answer:</w:t>
      </w:r>
      <w:r>
        <w:t xml:space="preserve"> </w:t>
      </w:r>
      <w:r>
        <w:t xml:space="preserve">1. Which institution segment needs it?</w:t>
      </w:r>
      <w:r>
        <w:t xml:space="preserve"> </w:t>
      </w:r>
      <w:r>
        <w:t xml:space="preserve">2. Which release tier owns it?</w:t>
      </w:r>
      <w:r>
        <w:t xml:space="preserve"> </w:t>
      </w:r>
      <w:r>
        <w:t xml:space="preserve">3. Which product KPI does it improve?</w:t>
      </w:r>
      <w:r>
        <w:t xml:space="preserve"> </w:t>
      </w:r>
      <w:r>
        <w:t xml:space="preserve">4. Which governance, privacy, accessibility, security, and AI controls does it affect?</w:t>
      </w:r>
      <w:r>
        <w:t xml:space="preserve"> </w:t>
      </w:r>
      <w:r>
        <w:t xml:space="preserve">5. Does it generalize across customers without creating a fork?</w:t>
      </w:r>
    </w:p>
    <w:bookmarkEnd w:id="44"/>
    <w:bookmarkEnd w:id="45"/>
    <w:bookmarkStart w:id="57" w:name="X8f05dd7b1b8fdfbf4359dad176e267a0172487a"/>
    <w:p>
      <w:pPr>
        <w:pStyle w:val="Heading1"/>
      </w:pPr>
      <w:r>
        <w:t xml:space="preserve">4. Product Overview, Architecture &amp; Deployment Model</w:t>
      </w:r>
    </w:p>
    <w:bookmarkStart w:id="46" w:name="product-definition"/>
    <w:p>
      <w:pPr>
        <w:pStyle w:val="Heading2"/>
      </w:pPr>
      <w:r>
        <w:t xml:space="preserve">4.1 Product definition</w:t>
      </w:r>
    </w:p>
    <w:p>
      <w:pPr>
        <w:pStyle w:val="FirstParagraph"/>
      </w:pPr>
      <w:r>
        <w:t xml:space="preserve">ScholarMind v6 is a configurable cloud platform that combines:</w:t>
      </w:r>
      <w:r>
        <w:t xml:space="preserve"> </w:t>
      </w:r>
      <w:r>
        <w:t xml:space="preserve">- education operations,</w:t>
      </w:r>
      <w:r>
        <w:t xml:space="preserve"> </w:t>
      </w:r>
      <w:r>
        <w:t xml:space="preserve">- trust and credential infrastructure,</w:t>
      </w:r>
      <w:r>
        <w:t xml:space="preserve"> </w:t>
      </w:r>
      <w:r>
        <w:t xml:space="preserve">- AI-governed automation,</w:t>
      </w:r>
      <w:r>
        <w:t xml:space="preserve"> </w:t>
      </w:r>
      <w:r>
        <w:t xml:space="preserve">- payments and treasury controls,</w:t>
      </w:r>
      <w:r>
        <w:t xml:space="preserve"> </w:t>
      </w:r>
      <w:r>
        <w:t xml:space="preserve">- institutional analytics,</w:t>
      </w:r>
      <w:r>
        <w:t xml:space="preserve"> </w:t>
      </w:r>
      <w:r>
        <w:t xml:space="preserve">- compliance and evidence workflows,</w:t>
      </w:r>
      <w:r>
        <w:t xml:space="preserve"> </w:t>
      </w:r>
      <w:r>
        <w:t xml:space="preserve">- lifelong learner progression.</w:t>
      </w:r>
    </w:p>
    <w:bookmarkEnd w:id="46"/>
    <w:bookmarkStart w:id="47" w:name="layered-architecture"/>
    <w:p>
      <w:pPr>
        <w:pStyle w:val="Heading2"/>
      </w:pPr>
      <w:r>
        <w:t xml:space="preserve">4.2 Layered architecture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Components</w:t>
            </w:r>
          </w:p>
        </w:tc>
      </w:tr>
      <w:tr>
        <w:tc>
          <w:tcPr/>
          <w:p>
            <w:pPr>
              <w:pStyle w:val="Compact"/>
              <w:jc w:val="left"/>
            </w:pPr>
            <w:r>
              <w:t xml:space="preserve">Group / Trust Control Layer</w:t>
            </w:r>
          </w:p>
        </w:tc>
        <w:tc>
          <w:tcPr/>
          <w:p>
            <w:pPr>
              <w:pStyle w:val="Compact"/>
              <w:jc w:val="left"/>
            </w:pPr>
            <w:r>
              <w:t xml:space="preserve">group dashboards, policy engine, shared-service controls, benchmark packs, entity hierarchy</w:t>
            </w:r>
          </w:p>
        </w:tc>
      </w:tr>
      <w:tr>
        <w:tc>
          <w:tcPr/>
          <w:p>
            <w:pPr>
              <w:pStyle w:val="Compact"/>
              <w:jc w:val="left"/>
            </w:pPr>
            <w:r>
              <w:t xml:space="preserve">Institution Type Adapter Layer</w:t>
            </w:r>
          </w:p>
        </w:tc>
        <w:tc>
          <w:tcPr/>
          <w:p>
            <w:pPr>
              <w:pStyle w:val="Compact"/>
              <w:jc w:val="left"/>
            </w:pPr>
            <w:r>
              <w:t xml:space="preserve">K-12, higher-ed, international, coaching, continuing-ed, hybrid adapters</w:t>
            </w:r>
          </w:p>
        </w:tc>
      </w:tr>
      <w:tr>
        <w:tc>
          <w:tcPr/>
          <w:p>
            <w:pPr>
              <w:pStyle w:val="Compact"/>
              <w:jc w:val="left"/>
            </w:pPr>
            <w:r>
              <w:t xml:space="preserve">Experience Layer</w:t>
            </w:r>
          </w:p>
        </w:tc>
        <w:tc>
          <w:tcPr/>
          <w:p>
            <w:pPr>
              <w:pStyle w:val="Compact"/>
              <w:jc w:val="left"/>
            </w:pPr>
            <w:r>
              <w:t xml:space="preserve">admin web, faculty portal, parent portal, student portal, mobile app, PWA, counselor interface, sponsor portal, verifier portal, SMS/USSD</w:t>
            </w:r>
          </w:p>
        </w:tc>
      </w:tr>
      <w:tr>
        <w:tc>
          <w:tcPr/>
          <w:p>
            <w:pPr>
              <w:pStyle w:val="Compact"/>
              <w:jc w:val="left"/>
            </w:pPr>
            <w:r>
              <w:t xml:space="preserve">Workflow &amp; Agent Orchestration Layer</w:t>
            </w:r>
          </w:p>
        </w:tc>
        <w:tc>
          <w:tcPr/>
          <w:p>
            <w:pPr>
              <w:pStyle w:val="Compact"/>
              <w:jc w:val="left"/>
            </w:pPr>
            <w:r>
              <w:t xml:space="preserve">SynthesisAgent, workflow engine, HITL gateway, task planner, approval service, policy service, memory store</w:t>
            </w:r>
          </w:p>
        </w:tc>
      </w:tr>
      <w:tr>
        <w:tc>
          <w:tcPr/>
          <w:p>
            <w:pPr>
              <w:pStyle w:val="Compact"/>
              <w:jc w:val="left"/>
            </w:pPr>
            <w:r>
              <w:t xml:space="preserve">Academic &amp; Institutional Services Layer</w:t>
            </w:r>
          </w:p>
        </w:tc>
        <w:tc>
          <w:tcPr/>
          <w:p>
            <w:pPr>
              <w:pStyle w:val="Compact"/>
              <w:jc w:val="left"/>
            </w:pPr>
            <w:r>
              <w:t xml:space="preserve">admissions, academics, timetable, exams, finance, aid, HR, accreditation, student success, continuing-ed, credentialing, research, placement</w:t>
            </w:r>
          </w:p>
        </w:tc>
      </w:tr>
      <w:tr>
        <w:tc>
          <w:tcPr/>
          <w:p>
            <w:pPr>
              <w:pStyle w:val="Compact"/>
              <w:jc w:val="left"/>
            </w:pPr>
            <w:r>
              <w:t xml:space="preserve">Trust &amp; Credential Layer</w:t>
            </w:r>
          </w:p>
        </w:tc>
        <w:tc>
          <w:tcPr/>
          <w:p>
            <w:pPr>
              <w:pStyle w:val="Compact"/>
              <w:jc w:val="left"/>
            </w:pPr>
            <w:r>
              <w:t xml:space="preserve">credential issuance, verification, transcript bundle service, verifier APIs, consent controls, wallet patterns</w:t>
            </w:r>
          </w:p>
        </w:tc>
      </w:tr>
      <w:tr>
        <w:tc>
          <w:tcPr/>
          <w:p>
            <w:pPr>
              <w:pStyle w:val="Compact"/>
              <w:jc w:val="left"/>
            </w:pPr>
            <w:r>
              <w:t xml:space="preserve">Data &amp; Intelligence Layer</w:t>
            </w:r>
          </w:p>
        </w:tc>
        <w:tc>
          <w:tcPr/>
          <w:p>
            <w:pPr>
              <w:pStyle w:val="Compact"/>
              <w:jc w:val="left"/>
            </w:pPr>
            <w:r>
              <w:t xml:space="preserve">PostgreSQL, object storage, search, vector store, analytics warehouse, event bus, rules engine</w:t>
            </w:r>
          </w:p>
        </w:tc>
      </w:tr>
      <w:tr>
        <w:tc>
          <w:tcPr/>
          <w:p>
            <w:pPr>
              <w:pStyle w:val="Compact"/>
              <w:jc w:val="left"/>
            </w:pPr>
            <w:r>
              <w:t xml:space="preserve">Security &amp; Governance Layer</w:t>
            </w:r>
          </w:p>
        </w:tc>
        <w:tc>
          <w:tcPr/>
          <w:p>
            <w:pPr>
              <w:pStyle w:val="Compact"/>
              <w:jc w:val="left"/>
            </w:pPr>
            <w:r>
              <w:t xml:space="preserve">IAM, RBAC/ABAC, mTLS, WAF, DLP, SIEM, HSM, audit logs, AI registry, evidence room</w:t>
            </w:r>
          </w:p>
        </w:tc>
      </w:tr>
      <w:tr>
        <w:tc>
          <w:tcPr/>
          <w:p>
            <w:pPr>
              <w:pStyle w:val="Compact"/>
              <w:jc w:val="left"/>
            </w:pPr>
            <w:r>
              <w:t xml:space="preserve">Infrastructure Layer</w:t>
            </w:r>
          </w:p>
        </w:tc>
        <w:tc>
          <w:tcPr/>
          <w:p>
            <w:pPr>
              <w:pStyle w:val="Compact"/>
              <w:jc w:val="left"/>
            </w:pPr>
            <w:r>
              <w:t xml:space="preserve">Kubernetes, region controls, DR, CDN, edge sync, observability stack</w:t>
            </w:r>
          </w:p>
        </w:tc>
      </w:tr>
    </w:tbl>
    <w:bookmarkEnd w:id="47"/>
    <w:bookmarkStart w:id="48" w:name="multi-campus-hierarchy-model"/>
    <w:p>
      <w:pPr>
        <w:pStyle w:val="Heading2"/>
      </w:pPr>
      <w:r>
        <w:t xml:space="preserve">4.3 Multi-campus hierarchy model</w:t>
      </w:r>
    </w:p>
    <w:p>
      <w:pPr>
        <w:pStyle w:val="FirstParagraph"/>
      </w:pPr>
      <w:r>
        <w:t xml:space="preserve">The platform supports a four-level model:</w:t>
      </w:r>
      <w:r>
        <w:t xml:space="preserve"> </w:t>
      </w:r>
      <w:r>
        <w:t xml:space="preserve">1. Group / Trust / University System</w:t>
      </w:r>
      <w:r>
        <w:br/>
      </w:r>
      <w:r>
        <w:t xml:space="preserve">2. Institution / Campus / Center</w:t>
      </w:r>
      <w:r>
        <w:br/>
      </w:r>
      <w:r>
        <w:t xml:space="preserve">3. Department / School / Faculty / Batch / Cohort</w:t>
      </w:r>
      <w:r>
        <w:br/>
      </w:r>
      <w:r>
        <w:t xml:space="preserve">4. Learner / Guardian / Sponsor / Employer relationship layer</w:t>
      </w:r>
    </w:p>
    <w:p>
      <w:pPr>
        <w:pStyle w:val="BodyText"/>
      </w:pPr>
      <w:r>
        <w:rPr>
          <w:b/>
          <w:bCs/>
        </w:rPr>
        <w:t xml:space="preserve">Policy inheritance:</w:t>
      </w:r>
      <w:r>
        <w:t xml:space="preserve"> </w:t>
      </w:r>
      <w:r>
        <w:t xml:space="preserve">HQ defines guardrails for fees, grading scales, curriculum frameworks, compliance packs, retention rules, and role templates; campuses and institutions operate within those boundaries and customize only where explicitly permitted.</w:t>
      </w:r>
    </w:p>
    <w:bookmarkEnd w:id="48"/>
    <w:bookmarkStart w:id="49" w:name="cross-campus-transfer-model"/>
    <w:p>
      <w:pPr>
        <w:pStyle w:val="Heading2"/>
      </w:pPr>
      <w:r>
        <w:t xml:space="preserve">4.4 Cross-campus transfer model</w:t>
      </w:r>
    </w:p>
    <w:p>
      <w:pPr>
        <w:pStyle w:val="Compact"/>
        <w:numPr>
          <w:ilvl w:val="0"/>
          <w:numId w:val="1010"/>
        </w:numPr>
      </w:pPr>
      <w:r>
        <w:t xml:space="preserve">Student transfer between campuses of the same group is automated: records, IEP, attendance history, fee balance, and academic transcript transfer within a defined SLA.</w:t>
      </w:r>
    </w:p>
    <w:p>
      <w:pPr>
        <w:pStyle w:val="Compact"/>
        <w:numPr>
          <w:ilvl w:val="0"/>
          <w:numId w:val="1010"/>
        </w:numPr>
      </w:pPr>
      <w:r>
        <w:t xml:space="preserve">Cross-group transfer exports a portable learner/academic record bundle for import into the receiving institution.</w:t>
      </w:r>
    </w:p>
    <w:p>
      <w:pPr>
        <w:pStyle w:val="Compact"/>
        <w:numPr>
          <w:ilvl w:val="0"/>
          <w:numId w:val="1010"/>
        </w:numPr>
      </w:pPr>
      <w:r>
        <w:t xml:space="preserve">Higher education transfer supports credit equivalency mapping between departments, colleges, or partner universities.</w:t>
      </w:r>
    </w:p>
    <w:bookmarkEnd w:id="49"/>
    <w:bookmarkStart w:id="50" w:name="agent-fleet-complete-retained-model"/>
    <w:p>
      <w:pPr>
        <w:pStyle w:val="Heading2"/>
      </w:pPr>
      <w:r>
        <w:t xml:space="preserve">4.5 Agent fleet — complete retained model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Agent</w:t>
            </w:r>
          </w:p>
        </w:tc>
        <w:tc>
          <w:tcPr/>
          <w:p>
            <w:pPr>
              <w:pStyle w:val="Compact"/>
              <w:jc w:val="left"/>
            </w:pPr>
            <w:r>
              <w:t xml:space="preserve">Domain</w:t>
            </w:r>
          </w:p>
        </w:tc>
        <w:tc>
          <w:tcPr/>
          <w:p>
            <w:pPr>
              <w:pStyle w:val="Compact"/>
              <w:jc w:val="left"/>
            </w:pPr>
            <w:r>
              <w:t xml:space="preserve">Core Responsibilities</w:t>
            </w:r>
          </w:p>
        </w:tc>
      </w:tr>
      <w:tr>
        <w:tc>
          <w:tcPr/>
          <w:p>
            <w:pPr>
              <w:pStyle w:val="Compact"/>
              <w:jc w:val="left"/>
            </w:pPr>
            <w:r>
              <w:t xml:space="preserve">SynthesisAgent</w:t>
            </w:r>
          </w:p>
        </w:tc>
        <w:tc>
          <w:tcPr/>
          <w:p>
            <w:pPr>
              <w:pStyle w:val="Compact"/>
              <w:jc w:val="left"/>
            </w:pPr>
            <w:r>
              <w:t xml:space="preserve">Cross-Domain</w:t>
            </w:r>
          </w:p>
        </w:tc>
        <w:tc>
          <w:tcPr/>
          <w:p>
            <w:pPr>
              <w:pStyle w:val="Compact"/>
              <w:jc w:val="left"/>
            </w:pPr>
            <w:r>
              <w:t xml:space="preserve">master orchestrator, multi-signal welfare synthesis, cross-campus escalation, anomaly synthesis</w:t>
            </w:r>
          </w:p>
        </w:tc>
      </w:tr>
      <w:tr>
        <w:tc>
          <w:tcPr/>
          <w:p>
            <w:pPr>
              <w:pStyle w:val="Compact"/>
              <w:jc w:val="left"/>
            </w:pPr>
            <w:r>
              <w:t xml:space="preserve">EnrollAgent</w:t>
            </w:r>
          </w:p>
        </w:tc>
        <w:tc>
          <w:tcPr/>
          <w:p>
            <w:pPr>
              <w:pStyle w:val="Compact"/>
              <w:jc w:val="left"/>
            </w:pPr>
            <w:r>
              <w:t xml:space="preserve">Admissions</w:t>
            </w:r>
          </w:p>
        </w:tc>
        <w:tc>
          <w:tcPr/>
          <w:p>
            <w:pPr>
              <w:pStyle w:val="Compact"/>
              <w:jc w:val="left"/>
            </w:pPr>
            <w:r>
              <w:t xml:space="preserve">K-12 + UG/PG/PhD + coaching enrollment, document verification, refugee rapid intake</w:t>
            </w:r>
          </w:p>
        </w:tc>
      </w:tr>
      <w:tr>
        <w:tc>
          <w:tcPr/>
          <w:p>
            <w:pPr>
              <w:pStyle w:val="Compact"/>
              <w:jc w:val="left"/>
            </w:pPr>
            <w:r>
              <w:t xml:space="preserve">AttendAgent</w:t>
            </w:r>
          </w:p>
        </w:tc>
        <w:tc>
          <w:tcPr/>
          <w:p>
            <w:pPr>
              <w:pStyle w:val="Compact"/>
              <w:jc w:val="left"/>
            </w:pPr>
            <w:r>
              <w:t xml:space="preserve">Attendance</w:t>
            </w:r>
          </w:p>
        </w:tc>
        <w:tc>
          <w:tcPr/>
          <w:p>
            <w:pPr>
              <w:pStyle w:val="Compact"/>
              <w:jc w:val="left"/>
            </w:pPr>
            <w:r>
              <w:t xml:space="preserve">multi-modal attendance, cross-campus pattern detection, lecture/lab/batch attendance</w:t>
            </w:r>
          </w:p>
        </w:tc>
      </w:tr>
      <w:tr>
        <w:tc>
          <w:tcPr/>
          <w:p>
            <w:pPr>
              <w:pStyle w:val="Compact"/>
              <w:jc w:val="left"/>
            </w:pPr>
            <w:r>
              <w:t xml:space="preserve">AcademAgent</w:t>
            </w:r>
          </w:p>
        </w:tc>
        <w:tc>
          <w:tcPr/>
          <w:p>
            <w:pPr>
              <w:pStyle w:val="Compact"/>
              <w:jc w:val="left"/>
            </w:pPr>
            <w:r>
              <w:t xml:space="preserve">Academics</w:t>
            </w:r>
          </w:p>
        </w:tc>
        <w:tc>
          <w:tcPr/>
          <w:p>
            <w:pPr>
              <w:pStyle w:val="Compact"/>
              <w:jc w:val="left"/>
            </w:pPr>
            <w:r>
              <w:t xml:space="preserve">K-12 curriculum, HE course management, coaching syllabus, grade/credit management</w:t>
            </w:r>
          </w:p>
        </w:tc>
      </w:tr>
      <w:tr>
        <w:tc>
          <w:tcPr/>
          <w:p>
            <w:pPr>
              <w:pStyle w:val="Compact"/>
              <w:jc w:val="left"/>
            </w:pPr>
            <w:r>
              <w:t xml:space="preserve">NeuroAgent</w:t>
            </w:r>
          </w:p>
        </w:tc>
        <w:tc>
          <w:tcPr/>
          <w:p>
            <w:pPr>
              <w:pStyle w:val="Compact"/>
              <w:jc w:val="left"/>
            </w:pPr>
            <w:r>
              <w:t xml:space="preserve">SEND</w:t>
            </w:r>
          </w:p>
        </w:tc>
        <w:tc>
          <w:tcPr/>
          <w:p>
            <w:pPr>
              <w:pStyle w:val="Compact"/>
              <w:jc w:val="left"/>
            </w:pPr>
            <w:r>
              <w:t xml:space="preserve">IEP compliance, accommodation monitoring, disability services support</w:t>
            </w:r>
          </w:p>
        </w:tc>
      </w:tr>
      <w:tr>
        <w:tc>
          <w:tcPr/>
          <w:p>
            <w:pPr>
              <w:pStyle w:val="Compact"/>
              <w:jc w:val="left"/>
            </w:pPr>
            <w:r>
              <w:t xml:space="preserve">RiskAgent</w:t>
            </w:r>
          </w:p>
        </w:tc>
        <w:tc>
          <w:tcPr/>
          <w:p>
            <w:pPr>
              <w:pStyle w:val="Compact"/>
              <w:jc w:val="left"/>
            </w:pPr>
            <w:r>
              <w:t xml:space="preserve">Student Wellbeing</w:t>
            </w:r>
          </w:p>
        </w:tc>
        <w:tc>
          <w:tcPr/>
          <w:p>
            <w:pPr>
              <w:pStyle w:val="Compact"/>
              <w:jc w:val="left"/>
            </w:pPr>
            <w:r>
              <w:t xml:space="preserve">early warning scoring, dropout prediction, wellbeing flags, HE attrition logic</w:t>
            </w:r>
          </w:p>
        </w:tc>
      </w:tr>
      <w:tr>
        <w:tc>
          <w:tcPr/>
          <w:p>
            <w:pPr>
              <w:pStyle w:val="Compact"/>
              <w:jc w:val="left"/>
            </w:pPr>
            <w:r>
              <w:t xml:space="preserve">CommAgent</w:t>
            </w:r>
          </w:p>
        </w:tc>
        <w:tc>
          <w:tcPr/>
          <w:p>
            <w:pPr>
              <w:pStyle w:val="Compact"/>
              <w:jc w:val="left"/>
            </w:pPr>
            <w:r>
              <w:t xml:space="preserve">Communications</w:t>
            </w:r>
          </w:p>
        </w:tc>
        <w:tc>
          <w:tcPr/>
          <w:p>
            <w:pPr>
              <w:pStyle w:val="Compact"/>
              <w:jc w:val="left"/>
            </w:pPr>
            <w:r>
              <w:t xml:space="preserve">multi-channel messaging, multilingual communications, cascaded group communication</w:t>
            </w:r>
          </w:p>
        </w:tc>
      </w:tr>
      <w:tr>
        <w:tc>
          <w:tcPr/>
          <w:p>
            <w:pPr>
              <w:pStyle w:val="Compact"/>
              <w:jc w:val="left"/>
            </w:pPr>
            <w:r>
              <w:t xml:space="preserve">FeeAgent</w:t>
            </w:r>
          </w:p>
        </w:tc>
        <w:tc>
          <w:tcPr/>
          <w:p>
            <w:pPr>
              <w:pStyle w:val="Compact"/>
              <w:jc w:val="left"/>
            </w:pPr>
            <w:r>
              <w:t xml:space="preserve">Finance</w:t>
            </w:r>
          </w:p>
        </w:tc>
        <w:tc>
          <w:tcPr/>
          <w:p>
            <w:pPr>
              <w:pStyle w:val="Compact"/>
              <w:jc w:val="left"/>
            </w:pPr>
            <w:r>
              <w:t xml:space="preserve">fees, tuition, batch billing, scholarship/grant coordination, collections intelligence</w:t>
            </w:r>
          </w:p>
        </w:tc>
      </w:tr>
      <w:tr>
        <w:tc>
          <w:tcPr/>
          <w:p>
            <w:pPr>
              <w:pStyle w:val="Compact"/>
              <w:jc w:val="left"/>
            </w:pPr>
            <w:r>
              <w:t xml:space="preserve">HRAgent</w:t>
            </w:r>
          </w:p>
        </w:tc>
        <w:tc>
          <w:tcPr/>
          <w:p>
            <w:pPr>
              <w:pStyle w:val="Compact"/>
              <w:jc w:val="left"/>
            </w:pPr>
            <w:r>
              <w:t xml:space="preserve">Human Resources</w:t>
            </w:r>
          </w:p>
        </w:tc>
        <w:tc>
          <w:tcPr/>
          <w:p>
            <w:pPr>
              <w:pStyle w:val="Compact"/>
              <w:jc w:val="left"/>
            </w:pPr>
            <w:r>
              <w:t xml:space="preserve">school staff, faculty, coaching faculty, multi-campus payroll, workload management</w:t>
            </w:r>
          </w:p>
        </w:tc>
      </w:tr>
      <w:tr>
        <w:tc>
          <w:tcPr/>
          <w:p>
            <w:pPr>
              <w:pStyle w:val="Compact"/>
              <w:jc w:val="left"/>
            </w:pPr>
            <w:r>
              <w:t xml:space="preserve">SchedulAgent</w:t>
            </w:r>
          </w:p>
        </w:tc>
        <w:tc>
          <w:tcPr/>
          <w:p>
            <w:pPr>
              <w:pStyle w:val="Compact"/>
              <w:jc w:val="left"/>
            </w:pPr>
            <w:r>
              <w:t xml:space="preserve">Timetabling</w:t>
            </w:r>
          </w:p>
        </w:tc>
        <w:tc>
          <w:tcPr/>
          <w:p>
            <w:pPr>
              <w:pStyle w:val="Compact"/>
              <w:jc w:val="left"/>
            </w:pPr>
            <w:r>
              <w:t xml:space="preserve">K-12, HE lecture/lab/tutorial, coaching batch schedules</w:t>
            </w:r>
          </w:p>
        </w:tc>
      </w:tr>
      <w:tr>
        <w:tc>
          <w:tcPr/>
          <w:p>
            <w:pPr>
              <w:pStyle w:val="Compact"/>
              <w:jc w:val="left"/>
            </w:pPr>
            <w:r>
              <w:t xml:space="preserve">TeachAgent</w:t>
            </w:r>
          </w:p>
        </w:tc>
        <w:tc>
          <w:tcPr/>
          <w:p>
            <w:pPr>
              <w:pStyle w:val="Compact"/>
              <w:jc w:val="left"/>
            </w:pPr>
            <w:r>
              <w:t xml:space="preserve">Teacher CPD</w:t>
            </w:r>
          </w:p>
        </w:tc>
        <w:tc>
          <w:tcPr/>
          <w:p>
            <w:pPr>
              <w:pStyle w:val="Compact"/>
              <w:jc w:val="left"/>
            </w:pPr>
            <w:r>
              <w:t xml:space="preserve">CPD profiles, pedagogical analysis, coaching faculty performance, workload monitoring</w:t>
            </w:r>
          </w:p>
        </w:tc>
      </w:tr>
      <w:tr>
        <w:tc>
          <w:tcPr/>
          <w:p>
            <w:pPr>
              <w:pStyle w:val="Compact"/>
              <w:jc w:val="left"/>
            </w:pPr>
            <w:r>
              <w:t xml:space="preserve">AlumniAgent</w:t>
            </w:r>
          </w:p>
        </w:tc>
        <w:tc>
          <w:tcPr/>
          <w:p>
            <w:pPr>
              <w:pStyle w:val="Compact"/>
              <w:jc w:val="left"/>
            </w:pPr>
            <w:r>
              <w:t xml:space="preserve">Alumni &amp; Outcomes</w:t>
            </w:r>
          </w:p>
        </w:tc>
        <w:tc>
          <w:tcPr/>
          <w:p>
            <w:pPr>
              <w:pStyle w:val="Compact"/>
              <w:jc w:val="left"/>
            </w:pPr>
            <w:r>
              <w:t xml:space="preserve">alumni records, graduate tracking, employer relationships</w:t>
            </w:r>
          </w:p>
        </w:tc>
      </w:tr>
      <w:tr>
        <w:tc>
          <w:tcPr/>
          <w:p>
            <w:pPr>
              <w:pStyle w:val="Compact"/>
              <w:jc w:val="left"/>
            </w:pPr>
            <w:r>
              <w:t xml:space="preserve">FacilitiesAgent</w:t>
            </w:r>
          </w:p>
        </w:tc>
        <w:tc>
          <w:tcPr/>
          <w:p>
            <w:pPr>
              <w:pStyle w:val="Compact"/>
              <w:jc w:val="left"/>
            </w:pPr>
            <w:r>
              <w:t xml:space="preserve">Campus &amp; IoT</w:t>
            </w:r>
          </w:p>
        </w:tc>
        <w:tc>
          <w:tcPr/>
          <w:p>
            <w:pPr>
              <w:pStyle w:val="Compact"/>
              <w:jc w:val="left"/>
            </w:pPr>
            <w:r>
              <w:t xml:space="preserve">facilities management, smart building controls, equipment tracking</w:t>
            </w:r>
          </w:p>
        </w:tc>
      </w:tr>
      <w:tr>
        <w:tc>
          <w:tcPr/>
          <w:p>
            <w:pPr>
              <w:pStyle w:val="Compact"/>
              <w:jc w:val="left"/>
            </w:pPr>
            <w:r>
              <w:t xml:space="preserve">GreenAgent</w:t>
            </w:r>
          </w:p>
        </w:tc>
        <w:tc>
          <w:tcPr/>
          <w:p>
            <w:pPr>
              <w:pStyle w:val="Compact"/>
              <w:jc w:val="left"/>
            </w:pPr>
            <w:r>
              <w:t xml:space="preserve">Sustainability</w:t>
            </w:r>
          </w:p>
        </w:tc>
        <w:tc>
          <w:tcPr/>
          <w:p>
            <w:pPr>
              <w:pStyle w:val="Compact"/>
              <w:jc w:val="left"/>
            </w:pPr>
            <w:r>
              <w:t xml:space="preserve">sustainability reporting, carbon tracking, SDG-linked indicators</w:t>
            </w:r>
          </w:p>
        </w:tc>
      </w:tr>
      <w:tr>
        <w:tc>
          <w:tcPr/>
          <w:p>
            <w:pPr>
              <w:pStyle w:val="Compact"/>
              <w:jc w:val="left"/>
            </w:pPr>
            <w:r>
              <w:t xml:space="preserve">CompliAgent</w:t>
            </w:r>
          </w:p>
        </w:tc>
        <w:tc>
          <w:tcPr/>
          <w:p>
            <w:pPr>
              <w:pStyle w:val="Compact"/>
              <w:jc w:val="left"/>
            </w:pPr>
            <w:r>
              <w:t xml:space="preserve">Compliance</w:t>
            </w:r>
          </w:p>
        </w:tc>
        <w:tc>
          <w:tcPr/>
          <w:p>
            <w:pPr>
              <w:pStyle w:val="Compact"/>
              <w:jc w:val="left"/>
            </w:pPr>
            <w:r>
              <w:t xml:space="preserve">K-12 boards, UGC/AICTE/NAAC, international accreditation, regulatory calendars</w:t>
            </w:r>
          </w:p>
        </w:tc>
      </w:tr>
      <w:tr>
        <w:tc>
          <w:tcPr/>
          <w:p>
            <w:pPr>
              <w:pStyle w:val="Compact"/>
              <w:jc w:val="left"/>
            </w:pPr>
            <w:r>
              <w:t xml:space="preserve">InsightAgent</w:t>
            </w:r>
          </w:p>
        </w:tc>
        <w:tc>
          <w:tcPr/>
          <w:p>
            <w:pPr>
              <w:pStyle w:val="Compact"/>
              <w:jc w:val="left"/>
            </w:pPr>
            <w:r>
              <w:t xml:space="preserve">Analytics</w:t>
            </w:r>
          </w:p>
        </w:tc>
        <w:tc>
          <w:tcPr/>
          <w:p>
            <w:pPr>
              <w:pStyle w:val="Compact"/>
              <w:jc w:val="left"/>
            </w:pPr>
            <w:r>
              <w:t xml:space="preserve">chain KPIs, benchmarking, outcome analytics, coaching rank analytics</w:t>
            </w:r>
          </w:p>
        </w:tc>
      </w:tr>
      <w:tr>
        <w:tc>
          <w:tcPr/>
          <w:p>
            <w:pPr>
              <w:pStyle w:val="Compact"/>
              <w:jc w:val="left"/>
            </w:pPr>
            <w:r>
              <w:t xml:space="preserve">SecureAgent</w:t>
            </w:r>
          </w:p>
        </w:tc>
        <w:tc>
          <w:tcPr/>
          <w:p>
            <w:pPr>
              <w:pStyle w:val="Compact"/>
              <w:jc w:val="left"/>
            </w:pPr>
            <w:r>
              <w:t xml:space="preserve">Security</w:t>
            </w:r>
          </w:p>
        </w:tc>
        <w:tc>
          <w:tcPr/>
          <w:p>
            <w:pPr>
              <w:pStyle w:val="Compact"/>
              <w:jc w:val="left"/>
            </w:pPr>
            <w:r>
              <w:t xml:space="preserve">threat detection, policy enforcement, AI ethics audit, control evidence</w:t>
            </w:r>
          </w:p>
        </w:tc>
      </w:tr>
      <w:tr>
        <w:tc>
          <w:tcPr/>
          <w:p>
            <w:pPr>
              <w:pStyle w:val="Compact"/>
              <w:jc w:val="left"/>
            </w:pPr>
            <w:r>
              <w:t xml:space="preserve">LibraryAgent</w:t>
            </w:r>
          </w:p>
        </w:tc>
        <w:tc>
          <w:tcPr/>
          <w:p>
            <w:pPr>
              <w:pStyle w:val="Compact"/>
              <w:jc w:val="left"/>
            </w:pPr>
            <w:r>
              <w:t xml:space="preserve">Library</w:t>
            </w:r>
          </w:p>
        </w:tc>
        <w:tc>
          <w:tcPr/>
          <w:p>
            <w:pPr>
              <w:pStyle w:val="Compact"/>
              <w:jc w:val="left"/>
            </w:pPr>
            <w:r>
              <w:t xml:space="preserve">multi-campus catalog federation, inter-library loans, digital repository</w:t>
            </w:r>
          </w:p>
        </w:tc>
      </w:tr>
      <w:tr>
        <w:tc>
          <w:tcPr/>
          <w:p>
            <w:pPr>
              <w:pStyle w:val="Compact"/>
              <w:jc w:val="left"/>
            </w:pPr>
            <w:r>
              <w:t xml:space="preserve">CrisisAgent</w:t>
            </w:r>
          </w:p>
        </w:tc>
        <w:tc>
          <w:tcPr/>
          <w:p>
            <w:pPr>
              <w:pStyle w:val="Compact"/>
              <w:jc w:val="left"/>
            </w:pPr>
            <w:r>
              <w:t xml:space="preserve">Emergency</w:t>
            </w:r>
          </w:p>
        </w:tc>
        <w:tc>
          <w:tcPr/>
          <w:p>
            <w:pPr>
              <w:pStyle w:val="Compact"/>
              <w:jc w:val="left"/>
            </w:pPr>
            <w:r>
              <w:t xml:space="preserve">crisis activation, campus isolation, welfare coordination</w:t>
            </w:r>
          </w:p>
        </w:tc>
      </w:tr>
      <w:tr>
        <w:tc>
          <w:tcPr/>
          <w:p>
            <w:pPr>
              <w:pStyle w:val="Compact"/>
              <w:jc w:val="left"/>
            </w:pPr>
            <w:r>
              <w:t xml:space="preserve">CampusAgent</w:t>
            </w:r>
          </w:p>
        </w:tc>
        <w:tc>
          <w:tcPr/>
          <w:p>
            <w:pPr>
              <w:pStyle w:val="Compact"/>
              <w:jc w:val="left"/>
            </w:pPr>
            <w:r>
              <w:t xml:space="preserve">Multi-Campus</w:t>
            </w:r>
          </w:p>
        </w:tc>
        <w:tc>
          <w:tcPr/>
          <w:p>
            <w:pPr>
              <w:pStyle w:val="Compact"/>
              <w:jc w:val="left"/>
            </w:pPr>
            <w:r>
              <w:t xml:space="preserve">transfer management, HQ policy enforcement, onboarding, benchmarking</w:t>
            </w:r>
          </w:p>
        </w:tc>
      </w:tr>
      <w:tr>
        <w:tc>
          <w:tcPr/>
          <w:p>
            <w:pPr>
              <w:pStyle w:val="Compact"/>
              <w:jc w:val="left"/>
            </w:pPr>
            <w:r>
              <w:t xml:space="preserve">AdvisorAgent</w:t>
            </w:r>
          </w:p>
        </w:tc>
        <w:tc>
          <w:tcPr/>
          <w:p>
            <w:pPr>
              <w:pStyle w:val="Compact"/>
              <w:jc w:val="left"/>
            </w:pPr>
            <w:r>
              <w:t xml:space="preserve">Academic Advising</w:t>
            </w:r>
          </w:p>
        </w:tc>
        <w:tc>
          <w:tcPr/>
          <w:p>
            <w:pPr>
              <w:pStyle w:val="Compact"/>
              <w:jc w:val="left"/>
            </w:pPr>
            <w:r>
              <w:t xml:space="preserve">degree audit, prerequisite checking, study plan recommendations, graduation risk</w:t>
            </w:r>
          </w:p>
        </w:tc>
      </w:tr>
      <w:tr>
        <w:tc>
          <w:tcPr/>
          <w:p>
            <w:pPr>
              <w:pStyle w:val="Compact"/>
              <w:jc w:val="left"/>
            </w:pPr>
            <w:r>
              <w:t xml:space="preserve">ResearchAgent</w:t>
            </w:r>
          </w:p>
        </w:tc>
        <w:tc>
          <w:tcPr/>
          <w:p>
            <w:pPr>
              <w:pStyle w:val="Compact"/>
              <w:jc w:val="left"/>
            </w:pPr>
            <w:r>
              <w:t xml:space="preserve">Research Management</w:t>
            </w:r>
          </w:p>
        </w:tc>
        <w:tc>
          <w:tcPr/>
          <w:p>
            <w:pPr>
              <w:pStyle w:val="Compact"/>
              <w:jc w:val="left"/>
            </w:pPr>
            <w:r>
              <w:t xml:space="preserve">grants, publications, ethics clearance, output reporting</w:t>
            </w:r>
          </w:p>
        </w:tc>
      </w:tr>
      <w:tr>
        <w:tc>
          <w:tcPr/>
          <w:p>
            <w:pPr>
              <w:pStyle w:val="Compact"/>
              <w:jc w:val="left"/>
            </w:pPr>
            <w:r>
              <w:t xml:space="preserve">AccredAgent</w:t>
            </w:r>
          </w:p>
        </w:tc>
        <w:tc>
          <w:tcPr/>
          <w:p>
            <w:pPr>
              <w:pStyle w:val="Compact"/>
              <w:jc w:val="left"/>
            </w:pPr>
            <w:r>
              <w:t xml:space="preserve">Accreditation</w:t>
            </w:r>
          </w:p>
        </w:tc>
        <w:tc>
          <w:tcPr/>
          <w:p>
            <w:pPr>
              <w:pStyle w:val="Compact"/>
              <w:jc w:val="left"/>
            </w:pPr>
            <w:r>
              <w:t xml:space="preserve">criterion tracking, evidence collection, SSR drafting, visit preparation</w:t>
            </w:r>
          </w:p>
        </w:tc>
      </w:tr>
      <w:tr>
        <w:tc>
          <w:tcPr/>
          <w:p>
            <w:pPr>
              <w:pStyle w:val="Compact"/>
              <w:jc w:val="left"/>
            </w:pPr>
            <w:r>
              <w:t xml:space="preserve">BatchAgent</w:t>
            </w:r>
          </w:p>
        </w:tc>
        <w:tc>
          <w:tcPr/>
          <w:p>
            <w:pPr>
              <w:pStyle w:val="Compact"/>
              <w:jc w:val="left"/>
            </w:pPr>
            <w:r>
              <w:t xml:space="preserve">Coaching</w:t>
            </w:r>
          </w:p>
        </w:tc>
        <w:tc>
          <w:tcPr/>
          <w:p>
            <w:pPr>
              <w:pStyle w:val="Compact"/>
              <w:jc w:val="left"/>
            </w:pPr>
            <w:r>
              <w:t xml:space="preserve">batch creation, test scheduling, performance analytics, doubt routing</w:t>
            </w:r>
          </w:p>
        </w:tc>
      </w:tr>
      <w:tr>
        <w:tc>
          <w:tcPr/>
          <w:p>
            <w:pPr>
              <w:pStyle w:val="Compact"/>
              <w:jc w:val="left"/>
            </w:pPr>
            <w:r>
              <w:t xml:space="preserve">PlacementAgent</w:t>
            </w:r>
          </w:p>
        </w:tc>
        <w:tc>
          <w:tcPr/>
          <w:p>
            <w:pPr>
              <w:pStyle w:val="Compact"/>
              <w:jc w:val="left"/>
            </w:pPr>
            <w:r>
              <w:t xml:space="preserve">Placement &amp; Careers</w:t>
            </w:r>
          </w:p>
        </w:tc>
        <w:tc>
          <w:tcPr/>
          <w:p>
            <w:pPr>
              <w:pStyle w:val="Compact"/>
              <w:jc w:val="left"/>
            </w:pPr>
            <w:r>
              <w:t xml:space="preserve">job posting, interview scheduling, offer tracking, placement analytics</w:t>
            </w:r>
          </w:p>
        </w:tc>
      </w:tr>
      <w:tr>
        <w:tc>
          <w:tcPr/>
          <w:p>
            <w:pPr>
              <w:pStyle w:val="Compact"/>
              <w:jc w:val="left"/>
            </w:pPr>
            <w:r>
              <w:t xml:space="preserve">IntlAgent</w:t>
            </w:r>
          </w:p>
        </w:tc>
        <w:tc>
          <w:tcPr/>
          <w:p>
            <w:pPr>
              <w:pStyle w:val="Compact"/>
              <w:jc w:val="left"/>
            </w:pPr>
            <w:r>
              <w:t xml:space="preserve">International Ops</w:t>
            </w:r>
          </w:p>
        </w:tc>
        <w:tc>
          <w:tcPr/>
          <w:p>
            <w:pPr>
              <w:pStyle w:val="Compact"/>
              <w:jc w:val="left"/>
            </w:pPr>
            <w:r>
              <w:t xml:space="preserve">multi-currency, cross-country compliance, visa tracking, expatriate support</w:t>
            </w:r>
          </w:p>
        </w:tc>
      </w:tr>
      <w:tr>
        <w:tc>
          <w:tcPr/>
          <w:p>
            <w:pPr>
              <w:pStyle w:val="Compact"/>
              <w:jc w:val="left"/>
            </w:pPr>
            <w:r>
              <w:t xml:space="preserve">SuccessAgent</w:t>
            </w:r>
          </w:p>
        </w:tc>
        <w:tc>
          <w:tcPr/>
          <w:p>
            <w:pPr>
              <w:pStyle w:val="Compact"/>
              <w:jc w:val="left"/>
            </w:pPr>
            <w:r>
              <w:t xml:space="preserve">Student Success</w:t>
            </w:r>
          </w:p>
        </w:tc>
        <w:tc>
          <w:tcPr/>
          <w:p>
            <w:pPr>
              <w:pStyle w:val="Compact"/>
              <w:jc w:val="left"/>
            </w:pPr>
            <w:r>
              <w:t xml:space="preserve">case routing, care-plan orchestration, intervention prioritization</w:t>
            </w:r>
          </w:p>
        </w:tc>
      </w:tr>
      <w:tr>
        <w:tc>
          <w:tcPr/>
          <w:p>
            <w:pPr>
              <w:pStyle w:val="Compact"/>
              <w:jc w:val="left"/>
            </w:pPr>
            <w:r>
              <w:t xml:space="preserve">CredentialAgent</w:t>
            </w:r>
          </w:p>
        </w:tc>
        <w:tc>
          <w:tcPr/>
          <w:p>
            <w:pPr>
              <w:pStyle w:val="Compact"/>
              <w:jc w:val="left"/>
            </w:pPr>
            <w:r>
              <w:t xml:space="preserve">Credential Trust</w:t>
            </w:r>
          </w:p>
        </w:tc>
        <w:tc>
          <w:tcPr/>
          <w:p>
            <w:pPr>
              <w:pStyle w:val="Compact"/>
              <w:jc w:val="left"/>
            </w:pPr>
            <w:r>
              <w:t xml:space="preserve">issuance policy, revocation, verification, bundle assembly</w:t>
            </w:r>
          </w:p>
        </w:tc>
      </w:tr>
      <w:tr>
        <w:tc>
          <w:tcPr/>
          <w:p>
            <w:pPr>
              <w:pStyle w:val="Compact"/>
              <w:jc w:val="left"/>
            </w:pPr>
            <w:r>
              <w:t xml:space="preserve">CommerceAgent</w:t>
            </w:r>
          </w:p>
        </w:tc>
        <w:tc>
          <w:tcPr/>
          <w:p>
            <w:pPr>
              <w:pStyle w:val="Compact"/>
              <w:jc w:val="left"/>
            </w:pPr>
            <w:r>
              <w:t xml:space="preserve">Continuing / Enterprise</w:t>
            </w:r>
          </w:p>
        </w:tc>
        <w:tc>
          <w:tcPr/>
          <w:p>
            <w:pPr>
              <w:pStyle w:val="Compact"/>
              <w:jc w:val="left"/>
            </w:pPr>
            <w:r>
              <w:t xml:space="preserve">sponsor billing, cohort commerce, renewals, stackable pathway logic</w:t>
            </w:r>
          </w:p>
        </w:tc>
      </w:tr>
    </w:tbl>
    <w:bookmarkEnd w:id="50"/>
    <w:bookmarkStart w:id="51" w:name="X9439e70dcbbf32854d10da4f3a4c3c8c178aebc"/>
    <w:p>
      <w:pPr>
        <w:pStyle w:val="Heading2"/>
      </w:pPr>
      <w:r>
        <w:t xml:space="preserve">4.6 Deployment, tenancy &amp; regional hosting options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Deployment model</w:t>
            </w:r>
          </w:p>
        </w:tc>
        <w:tc>
          <w:tcPr/>
          <w:p>
            <w:pPr>
              <w:pStyle w:val="Compact"/>
              <w:jc w:val="left"/>
            </w:pPr>
            <w:r>
              <w:t xml:space="preserve">Best fit</w:t>
            </w:r>
          </w:p>
        </w:tc>
        <w:tc>
          <w:tcPr/>
          <w:p>
            <w:pPr>
              <w:pStyle w:val="Compact"/>
              <w:jc w:val="left"/>
            </w:pPr>
            <w:r>
              <w:t xml:space="preserve">Residency / control posture</w:t>
            </w:r>
          </w:p>
        </w:tc>
        <w:tc>
          <w:tcPr/>
          <w:p>
            <w:pPr>
              <w:pStyle w:val="Compact"/>
              <w:jc w:val="left"/>
            </w:pPr>
            <w:r>
              <w:t xml:space="preserve">Commercial note</w:t>
            </w:r>
          </w:p>
        </w:tc>
      </w:tr>
      <w:tr>
        <w:tc>
          <w:tcPr/>
          <w:p>
            <w:pPr>
              <w:pStyle w:val="Compact"/>
              <w:jc w:val="left"/>
            </w:pPr>
            <w:r>
              <w:t xml:space="preserve">Shared multi-tenant SaaS</w:t>
            </w:r>
          </w:p>
        </w:tc>
        <w:tc>
          <w:tcPr/>
          <w:p>
            <w:pPr>
              <w:pStyle w:val="Compact"/>
              <w:jc w:val="left"/>
            </w:pPr>
            <w:r>
              <w:t xml:space="preserve">Most schools, colleges, coaching groups</w:t>
            </w:r>
          </w:p>
        </w:tc>
        <w:tc>
          <w:tcPr/>
          <w:p>
            <w:pPr>
              <w:pStyle w:val="Compact"/>
              <w:jc w:val="left"/>
            </w:pPr>
            <w:r>
              <w:t xml:space="preserve">logical tenant isolation, regional hosting, standard controls</w:t>
            </w:r>
          </w:p>
        </w:tc>
        <w:tc>
          <w:tcPr/>
          <w:p>
            <w:pPr>
              <w:pStyle w:val="Compact"/>
              <w:jc w:val="left"/>
            </w:pPr>
            <w:r>
              <w:t xml:space="preserve">fastest go-live and best gross margin</w:t>
            </w:r>
          </w:p>
        </w:tc>
      </w:tr>
      <w:tr>
        <w:tc>
          <w:tcPr/>
          <w:p>
            <w:pPr>
              <w:pStyle w:val="Compact"/>
              <w:jc w:val="left"/>
            </w:pPr>
            <w:r>
              <w:t xml:space="preserve">Regional SaaS</w:t>
            </w:r>
          </w:p>
        </w:tc>
        <w:tc>
          <w:tcPr/>
          <w:p>
            <w:pPr>
              <w:pStyle w:val="Compact"/>
              <w:jc w:val="left"/>
            </w:pPr>
            <w:r>
              <w:t xml:space="preserve">National chains and cross-border groups</w:t>
            </w:r>
          </w:p>
        </w:tc>
        <w:tc>
          <w:tcPr/>
          <w:p>
            <w:pPr>
              <w:pStyle w:val="Compact"/>
              <w:jc w:val="left"/>
            </w:pPr>
            <w:r>
              <w:t xml:space="preserve">data stored in selected region; common product core</w:t>
            </w:r>
          </w:p>
        </w:tc>
        <w:tc>
          <w:tcPr/>
          <w:p>
            <w:pPr>
              <w:pStyle w:val="Compact"/>
              <w:jc w:val="left"/>
            </w:pPr>
            <w:r>
              <w:t xml:space="preserve">default for international expansion</w:t>
            </w:r>
          </w:p>
        </w:tc>
      </w:tr>
      <w:tr>
        <w:tc>
          <w:tcPr/>
          <w:p>
            <w:pPr>
              <w:pStyle w:val="Compact"/>
              <w:jc w:val="left"/>
            </w:pPr>
            <w:r>
              <w:t xml:space="preserve">Dedicated single-tenant</w:t>
            </w:r>
          </w:p>
        </w:tc>
        <w:tc>
          <w:tcPr/>
          <w:p>
            <w:pPr>
              <w:pStyle w:val="Compact"/>
              <w:jc w:val="left"/>
            </w:pPr>
            <w:r>
              <w:t xml:space="preserve">Large universities / premium groups</w:t>
            </w:r>
          </w:p>
        </w:tc>
        <w:tc>
          <w:tcPr/>
          <w:p>
            <w:pPr>
              <w:pStyle w:val="Compact"/>
              <w:jc w:val="left"/>
            </w:pPr>
            <w:r>
              <w:t xml:space="preserve">dedicated runtime and stronger change-control boundaries</w:t>
            </w:r>
          </w:p>
        </w:tc>
        <w:tc>
          <w:tcPr/>
          <w:p>
            <w:pPr>
              <w:pStyle w:val="Compact"/>
              <w:jc w:val="left"/>
            </w:pPr>
            <w:r>
              <w:t xml:space="preserve">higher ACV and premium support</w:t>
            </w:r>
          </w:p>
        </w:tc>
      </w:tr>
      <w:tr>
        <w:tc>
          <w:tcPr/>
          <w:p>
            <w:pPr>
              <w:pStyle w:val="Compact"/>
              <w:jc w:val="left"/>
            </w:pPr>
            <w:r>
              <w:t xml:space="preserve">Private cloud / sovereign cloud</w:t>
            </w:r>
          </w:p>
        </w:tc>
        <w:tc>
          <w:tcPr/>
          <w:p>
            <w:pPr>
              <w:pStyle w:val="Compact"/>
              <w:jc w:val="left"/>
            </w:pPr>
            <w:r>
              <w:t xml:space="preserve">Public sector, regulated markets</w:t>
            </w:r>
          </w:p>
        </w:tc>
        <w:tc>
          <w:tcPr/>
          <w:p>
            <w:pPr>
              <w:pStyle w:val="Compact"/>
              <w:jc w:val="left"/>
            </w:pPr>
            <w:r>
              <w:t xml:space="preserve">customer-approved boundary and stricter residency</w:t>
            </w:r>
          </w:p>
        </w:tc>
        <w:tc>
          <w:tcPr/>
          <w:p>
            <w:pPr>
              <w:pStyle w:val="Compact"/>
              <w:jc w:val="left"/>
            </w:pPr>
            <w:r>
              <w:t xml:space="preserve">strategic but slower sales cycle</w:t>
            </w:r>
          </w:p>
        </w:tc>
      </w:tr>
      <w:tr>
        <w:tc>
          <w:tcPr/>
          <w:p>
            <w:pPr>
              <w:pStyle w:val="Compact"/>
              <w:jc w:val="left"/>
            </w:pPr>
            <w:r>
              <w:t xml:space="preserve">Restricted on-prem edge nodes</w:t>
            </w:r>
          </w:p>
        </w:tc>
        <w:tc>
          <w:tcPr/>
          <w:p>
            <w:pPr>
              <w:pStyle w:val="Compact"/>
              <w:jc w:val="left"/>
            </w:pPr>
            <w:r>
              <w:t xml:space="preserve">Low-connectivity campuses or policy exceptions</w:t>
            </w:r>
          </w:p>
        </w:tc>
        <w:tc>
          <w:tcPr/>
          <w:p>
            <w:pPr>
              <w:pStyle w:val="Compact"/>
              <w:jc w:val="left"/>
            </w:pPr>
            <w:r>
              <w:t xml:space="preserve">offline-capable sync edge with central policy control</w:t>
            </w:r>
          </w:p>
        </w:tc>
        <w:tc>
          <w:tcPr/>
          <w:p>
            <w:pPr>
              <w:pStyle w:val="Compact"/>
              <w:jc w:val="left"/>
            </w:pPr>
            <w:r>
              <w:t xml:space="preserve">only where repeatable architecture is preserved</w:t>
            </w:r>
          </w:p>
        </w:tc>
      </w:tr>
    </w:tbl>
    <w:bookmarkEnd w:id="51"/>
    <w:bookmarkStart w:id="56" w:name="reference-architectures-by-segment"/>
    <w:p>
      <w:pPr>
        <w:pStyle w:val="Heading2"/>
      </w:pPr>
      <w:r>
        <w:t xml:space="preserve">4.7 Reference architectures by segment</w:t>
      </w:r>
    </w:p>
    <w:bookmarkStart w:id="52" w:name="a.-k-12-multi-campus-chain"/>
    <w:p>
      <w:pPr>
        <w:pStyle w:val="Heading3"/>
      </w:pPr>
      <w:r>
        <w:t xml:space="preserve">A. K-12 Multi-Campus Chain</w:t>
      </w:r>
    </w:p>
    <w:p>
      <w:pPr>
        <w:pStyle w:val="Compact"/>
        <w:numPr>
          <w:ilvl w:val="0"/>
          <w:numId w:val="1011"/>
        </w:numPr>
      </w:pPr>
      <w:r>
        <w:t xml:space="preserve">Core modules: admissions, attendance, academics, fees, parent experience, safeguarding, HQ governance</w:t>
      </w:r>
    </w:p>
    <w:p>
      <w:pPr>
        <w:pStyle w:val="Compact"/>
        <w:numPr>
          <w:ilvl w:val="0"/>
          <w:numId w:val="1011"/>
        </w:numPr>
      </w:pPr>
      <w:r>
        <w:t xml:space="preserve">Differentiators: policy inheritance, benchmark dashboards, crisis response, shared teacher pools</w:t>
      </w:r>
    </w:p>
    <w:p>
      <w:pPr>
        <w:pStyle w:val="Compact"/>
        <w:numPr>
          <w:ilvl w:val="0"/>
          <w:numId w:val="1011"/>
        </w:numPr>
      </w:pPr>
      <w:r>
        <w:t xml:space="preserve">Control posture: strong guardian consent, K-12 privacy defaults, child-safety record isolation</w:t>
      </w:r>
    </w:p>
    <w:bookmarkEnd w:id="52"/>
    <w:bookmarkStart w:id="53" w:name="b.-university-higher-education"/>
    <w:p>
      <w:pPr>
        <w:pStyle w:val="Heading3"/>
      </w:pPr>
      <w:r>
        <w:t xml:space="preserve">B. University / Higher Education</w:t>
      </w:r>
    </w:p>
    <w:p>
      <w:pPr>
        <w:pStyle w:val="Compact"/>
        <w:numPr>
          <w:ilvl w:val="0"/>
          <w:numId w:val="1012"/>
        </w:numPr>
      </w:pPr>
      <w:r>
        <w:t xml:space="preserve">Core modules: registrar, course/program management, degree audit, transfer, prior learning, accreditation, research, placement</w:t>
      </w:r>
    </w:p>
    <w:p>
      <w:pPr>
        <w:pStyle w:val="Compact"/>
        <w:numPr>
          <w:ilvl w:val="0"/>
          <w:numId w:val="1012"/>
        </w:numPr>
      </w:pPr>
      <w:r>
        <w:t xml:space="preserve">Differentiators: verified records, accreditation automation, student success case management, skills/outcome graph</w:t>
      </w:r>
    </w:p>
    <w:p>
      <w:pPr>
        <w:pStyle w:val="Compact"/>
        <w:numPr>
          <w:ilvl w:val="0"/>
          <w:numId w:val="1012"/>
        </w:numPr>
      </w:pPr>
      <w:r>
        <w:t xml:space="preserve">Control posture: academic sign-off, transcript integrity, AI approval chains, evidence-room support</w:t>
      </w:r>
    </w:p>
    <w:bookmarkEnd w:id="53"/>
    <w:bookmarkStart w:id="54" w:name="c.-international-school-group"/>
    <w:p>
      <w:pPr>
        <w:pStyle w:val="Heading3"/>
      </w:pPr>
      <w:r>
        <w:t xml:space="preserve">C. International School Group</w:t>
      </w:r>
    </w:p>
    <w:p>
      <w:pPr>
        <w:pStyle w:val="Compact"/>
        <w:numPr>
          <w:ilvl w:val="0"/>
          <w:numId w:val="1013"/>
        </w:numPr>
      </w:pPr>
      <w:r>
        <w:t xml:space="preserve">Core modules: multi-currency finance, curriculum management, multilingual communication, guardianship/visa workflows, group reporting</w:t>
      </w:r>
    </w:p>
    <w:p>
      <w:pPr>
        <w:pStyle w:val="Compact"/>
        <w:numPr>
          <w:ilvl w:val="0"/>
          <w:numId w:val="1013"/>
        </w:numPr>
      </w:pPr>
      <w:r>
        <w:t xml:space="preserve">Differentiators: country-aware operations, consolidated finance, curriculum flexibility</w:t>
      </w:r>
    </w:p>
    <w:p>
      <w:pPr>
        <w:pStyle w:val="Compact"/>
        <w:numPr>
          <w:ilvl w:val="0"/>
          <w:numId w:val="1013"/>
        </w:numPr>
      </w:pPr>
      <w:r>
        <w:t xml:space="preserve">Control posture: regional hosting, FX/tax handling, multilingual parent access</w:t>
      </w:r>
    </w:p>
    <w:bookmarkEnd w:id="54"/>
    <w:bookmarkStart w:id="55" w:name="X2c26555de0cadb46a42382c639bf45aed93eddc"/>
    <w:p>
      <w:pPr>
        <w:pStyle w:val="Heading3"/>
      </w:pPr>
      <w:r>
        <w:t xml:space="preserve">D. Continuing / Executive Education Provider</w:t>
      </w:r>
    </w:p>
    <w:p>
      <w:pPr>
        <w:pStyle w:val="Compact"/>
        <w:numPr>
          <w:ilvl w:val="0"/>
          <w:numId w:val="1014"/>
        </w:numPr>
      </w:pPr>
      <w:r>
        <w:t xml:space="preserve">Core modules: non-degree catalog, cohort operations, sponsor billing, credential issuance, enterprise reporting</w:t>
      </w:r>
    </w:p>
    <w:p>
      <w:pPr>
        <w:pStyle w:val="Compact"/>
        <w:numPr>
          <w:ilvl w:val="0"/>
          <w:numId w:val="1014"/>
        </w:numPr>
      </w:pPr>
      <w:r>
        <w:t xml:space="preserve">Differentiators: stackable credentialing, pathway conversion into degree or workforce models</w:t>
      </w:r>
    </w:p>
    <w:p>
      <w:pPr>
        <w:pStyle w:val="Compact"/>
        <w:numPr>
          <w:ilvl w:val="0"/>
          <w:numId w:val="1014"/>
        </w:numPr>
      </w:pPr>
      <w:r>
        <w:t xml:space="preserve">Control posture: contract and sponsor governance, revenue/margin analytics, shorter-cycle delivery controls</w:t>
      </w:r>
    </w:p>
    <w:bookmarkEnd w:id="55"/>
    <w:bookmarkEnd w:id="56"/>
    <w:bookmarkEnd w:id="57"/>
    <w:bookmarkStart w:id="60" w:name="user-personas-use-cases"/>
    <w:p>
      <w:pPr>
        <w:pStyle w:val="Heading1"/>
      </w:pPr>
      <w:r>
        <w:t xml:space="preserve">5. User Personas &amp; Use Cases</w:t>
      </w:r>
    </w:p>
    <w:bookmarkStart w:id="58" w:name="extended-user-personas"/>
    <w:p>
      <w:pPr>
        <w:pStyle w:val="Heading2"/>
      </w:pPr>
      <w:r>
        <w:t xml:space="preserve">5.1 Extended user personas</w:t>
      </w:r>
    </w:p>
    <w:p>
      <w:pPr>
        <w:pStyle w:val="Compact"/>
        <w:numPr>
          <w:ilvl w:val="0"/>
          <w:numId w:val="1015"/>
        </w:numPr>
      </w:pPr>
      <w:r>
        <w:rPr>
          <w:b/>
          <w:bCs/>
        </w:rPr>
        <w:t xml:space="preserve">Group CEO / Trustee (Multi-Campus Chain)</w:t>
      </w:r>
      <w:r>
        <w:t xml:space="preserve"> </w:t>
      </w:r>
      <w:r>
        <w:t xml:space="preserve">— wants real-time group KPI dashboard, cross-campus benchmarking, attendance, fee collection, staff vacancies, and crisis flags.</w:t>
      </w:r>
    </w:p>
    <w:p>
      <w:pPr>
        <w:pStyle w:val="Compact"/>
        <w:numPr>
          <w:ilvl w:val="0"/>
          <w:numId w:val="1015"/>
        </w:numPr>
      </w:pPr>
      <w:r>
        <w:rPr>
          <w:b/>
          <w:bCs/>
        </w:rPr>
        <w:t xml:space="preserve">University Registrar</w:t>
      </w:r>
      <w:r>
        <w:t xml:space="preserve"> </w:t>
      </w:r>
      <w:r>
        <w:t xml:space="preserve">— wants automated course registration, degree audit, examination timetable, transcript generation, and continuous accreditation readiness.</w:t>
      </w:r>
    </w:p>
    <w:p>
      <w:pPr>
        <w:pStyle w:val="Compact"/>
        <w:numPr>
          <w:ilvl w:val="0"/>
          <w:numId w:val="1015"/>
        </w:numPr>
      </w:pPr>
      <w:r>
        <w:rPr>
          <w:b/>
          <w:bCs/>
        </w:rPr>
        <w:t xml:space="preserve">Coaching Institute Director</w:t>
      </w:r>
      <w:r>
        <w:t xml:space="preserve"> </w:t>
      </w:r>
      <w:r>
        <w:t xml:space="preserve">— wants structured batch management, test intelligence, parent communication, and collections visibility.</w:t>
      </w:r>
    </w:p>
    <w:p>
      <w:pPr>
        <w:pStyle w:val="Compact"/>
        <w:numPr>
          <w:ilvl w:val="0"/>
          <w:numId w:val="1015"/>
        </w:numPr>
      </w:pPr>
      <w:r>
        <w:rPr>
          <w:b/>
          <w:bCs/>
        </w:rPr>
        <w:t xml:space="preserve">University Faculty / Professor</w:t>
      </w:r>
      <w:r>
        <w:t xml:space="preserve"> </w:t>
      </w:r>
      <w:r>
        <w:t xml:space="preserve">— wants grade submission, research tracking, workload visibility, advising, and ethics workflow support.</w:t>
      </w:r>
    </w:p>
    <w:p>
      <w:pPr>
        <w:pStyle w:val="Compact"/>
        <w:numPr>
          <w:ilvl w:val="0"/>
          <w:numId w:val="1015"/>
        </w:numPr>
      </w:pPr>
      <w:r>
        <w:rPr>
          <w:b/>
          <w:bCs/>
        </w:rPr>
        <w:t xml:space="preserve">College Student — UG</w:t>
      </w:r>
      <w:r>
        <w:t xml:space="preserve"> </w:t>
      </w:r>
      <w:r>
        <w:t xml:space="preserve">— wants course registration, elective suggestions, grade visibility, fee payment, library access, placement visibility, and advisor chatbot.</w:t>
      </w:r>
    </w:p>
    <w:p>
      <w:pPr>
        <w:pStyle w:val="Compact"/>
        <w:numPr>
          <w:ilvl w:val="0"/>
          <w:numId w:val="1015"/>
        </w:numPr>
      </w:pPr>
      <w:r>
        <w:rPr>
          <w:b/>
          <w:bCs/>
        </w:rPr>
        <w:t xml:space="preserve">International School Principal</w:t>
      </w:r>
      <w:r>
        <w:t xml:space="preserve"> </w:t>
      </w:r>
      <w:r>
        <w:t xml:space="preserve">— wants multi-currency fee collection, visa tracking, IB + A-Level + AP operations, and multilingual parent communication.</w:t>
      </w:r>
    </w:p>
    <w:p>
      <w:pPr>
        <w:pStyle w:val="Compact"/>
        <w:numPr>
          <w:ilvl w:val="0"/>
          <w:numId w:val="1015"/>
        </w:numPr>
      </w:pPr>
      <w:r>
        <w:rPr>
          <w:b/>
          <w:bCs/>
        </w:rPr>
        <w:t xml:space="preserve">Campus Principal (Chain School)</w:t>
      </w:r>
      <w:r>
        <w:t xml:space="preserve"> </w:t>
      </w:r>
      <w:r>
        <w:t xml:space="preserve">— wants autonomy within HQ guardrails, benchmark reports, and escalation to HQ.</w:t>
      </w:r>
    </w:p>
    <w:p>
      <w:pPr>
        <w:pStyle w:val="Compact"/>
        <w:numPr>
          <w:ilvl w:val="0"/>
          <w:numId w:val="1015"/>
        </w:numPr>
      </w:pPr>
      <w:r>
        <w:rPr>
          <w:b/>
          <w:bCs/>
        </w:rPr>
        <w:t xml:space="preserve">Head of Department (University)</w:t>
      </w:r>
      <w:r>
        <w:t xml:space="preserve"> </w:t>
      </w:r>
      <w:r>
        <w:t xml:space="preserve">— wants faculty workload allocation, course scheduling, department budget, research tracking, and accreditation evidence.</w:t>
      </w:r>
    </w:p>
    <w:p>
      <w:pPr>
        <w:pStyle w:val="Compact"/>
        <w:numPr>
          <w:ilvl w:val="0"/>
          <w:numId w:val="1015"/>
        </w:numPr>
      </w:pPr>
      <w:r>
        <w:rPr>
          <w:b/>
          <w:bCs/>
        </w:rPr>
        <w:t xml:space="preserve">Coaching Student’s Parent</w:t>
      </w:r>
      <w:r>
        <w:t xml:space="preserve"> </w:t>
      </w:r>
      <w:r>
        <w:t xml:space="preserve">— wants topic-wise performance, strengths/weaknesses, fee receipts, and structured progress communication.</w:t>
      </w:r>
    </w:p>
    <w:p>
      <w:pPr>
        <w:pStyle w:val="Compact"/>
        <w:numPr>
          <w:ilvl w:val="0"/>
          <w:numId w:val="1015"/>
        </w:numPr>
      </w:pPr>
      <w:r>
        <w:rPr>
          <w:b/>
          <w:bCs/>
        </w:rPr>
        <w:t xml:space="preserve">Retained V2 personas</w:t>
      </w:r>
      <w:r>
        <w:t xml:space="preserve"> </w:t>
      </w:r>
      <w:r>
        <w:t xml:space="preserve">— school principal, class teacher, SENCO, smartphone-less parent, refugee intake coordinator, crisis zone teacher, admissions officer, IT administrator, finance manager.</w:t>
      </w:r>
    </w:p>
    <w:bookmarkEnd w:id="58"/>
    <w:bookmarkStart w:id="59" w:name="representative-use-cases"/>
    <w:p>
      <w:pPr>
        <w:pStyle w:val="Heading2"/>
      </w:pPr>
      <w:r>
        <w:t xml:space="preserve">5.2 Representative use cases</w:t>
      </w:r>
    </w:p>
    <w:p>
      <w:pPr>
        <w:pStyle w:val="Compact"/>
        <w:numPr>
          <w:ilvl w:val="0"/>
          <w:numId w:val="1016"/>
        </w:numPr>
      </w:pPr>
      <w:r>
        <w:t xml:space="preserve">Group-wide policy and benchmark management</w:t>
      </w:r>
      <w:r>
        <w:br/>
      </w:r>
    </w:p>
    <w:p>
      <w:pPr>
        <w:pStyle w:val="Compact"/>
        <w:numPr>
          <w:ilvl w:val="0"/>
          <w:numId w:val="1016"/>
        </w:numPr>
      </w:pPr>
      <w:r>
        <w:t xml:space="preserve">AI-assisted university registration with transfer and prior-learning support</w:t>
      </w:r>
      <w:r>
        <w:br/>
      </w:r>
    </w:p>
    <w:p>
      <w:pPr>
        <w:pStyle w:val="Compact"/>
        <w:numPr>
          <w:ilvl w:val="0"/>
          <w:numId w:val="1016"/>
        </w:numPr>
      </w:pPr>
      <w:r>
        <w:t xml:space="preserve">Verified degree, badge, and employability bundle</w:t>
      </w:r>
      <w:r>
        <w:br/>
      </w:r>
    </w:p>
    <w:p>
      <w:pPr>
        <w:pStyle w:val="Compact"/>
        <w:numPr>
          <w:ilvl w:val="0"/>
          <w:numId w:val="1016"/>
        </w:numPr>
      </w:pPr>
      <w:r>
        <w:t xml:space="preserve">India higher-ed credit and award sync</w:t>
      </w:r>
      <w:r>
        <w:br/>
      </w:r>
    </w:p>
    <w:p>
      <w:pPr>
        <w:pStyle w:val="Compact"/>
        <w:numPr>
          <w:ilvl w:val="0"/>
          <w:numId w:val="1016"/>
        </w:numPr>
      </w:pPr>
      <w:r>
        <w:t xml:space="preserve">Student success coordinated care</w:t>
      </w:r>
      <w:r>
        <w:br/>
      </w:r>
    </w:p>
    <w:p>
      <w:pPr>
        <w:pStyle w:val="Compact"/>
        <w:numPr>
          <w:ilvl w:val="0"/>
          <w:numId w:val="1016"/>
        </w:numPr>
      </w:pPr>
      <w:r>
        <w:t xml:space="preserve">Executive education sponsor billing</w:t>
      </w:r>
      <w:r>
        <w:br/>
      </w:r>
    </w:p>
    <w:p>
      <w:pPr>
        <w:pStyle w:val="Compact"/>
        <w:numPr>
          <w:ilvl w:val="0"/>
          <w:numId w:val="1016"/>
        </w:numPr>
      </w:pPr>
      <w:r>
        <w:t xml:space="preserve">Group-level crisis response (multi-campus)</w:t>
      </w:r>
      <w:r>
        <w:br/>
      </w:r>
    </w:p>
    <w:p>
      <w:pPr>
        <w:pStyle w:val="Compact"/>
        <w:numPr>
          <w:ilvl w:val="0"/>
          <w:numId w:val="1016"/>
        </w:numPr>
      </w:pPr>
      <w:r>
        <w:t xml:space="preserve">AI-powered course registration (university)</w:t>
      </w:r>
      <w:r>
        <w:br/>
      </w:r>
    </w:p>
    <w:p>
      <w:pPr>
        <w:pStyle w:val="Compact"/>
        <w:numPr>
          <w:ilvl w:val="0"/>
          <w:numId w:val="1016"/>
        </w:numPr>
      </w:pPr>
      <w:r>
        <w:t xml:space="preserve">Coaching batch performance intelligence</w:t>
      </w:r>
      <w:r>
        <w:br/>
      </w:r>
    </w:p>
    <w:p>
      <w:pPr>
        <w:pStyle w:val="Compact"/>
        <w:numPr>
          <w:ilvl w:val="0"/>
          <w:numId w:val="1016"/>
        </w:numPr>
      </w:pPr>
      <w:r>
        <w:t xml:space="preserve">International school multi-currency fee consolidation</w:t>
      </w:r>
      <w:r>
        <w:br/>
      </w:r>
    </w:p>
    <w:p>
      <w:pPr>
        <w:pStyle w:val="Compact"/>
        <w:numPr>
          <w:ilvl w:val="0"/>
          <w:numId w:val="1016"/>
        </w:numPr>
      </w:pPr>
      <w:r>
        <w:t xml:space="preserve">Accreditation self-study report — AI drafted</w:t>
      </w:r>
      <w:r>
        <w:br/>
      </w:r>
    </w:p>
    <w:p>
      <w:pPr>
        <w:pStyle w:val="Compact"/>
        <w:numPr>
          <w:ilvl w:val="0"/>
          <w:numId w:val="1016"/>
        </w:numPr>
      </w:pPr>
      <w:r>
        <w:t xml:space="preserve">Longitudinal student identity — school to university</w:t>
      </w:r>
    </w:p>
    <w:bookmarkEnd w:id="59"/>
    <w:bookmarkEnd w:id="60"/>
    <w:bookmarkStart w:id="69" w:name="X50f2156aee0e39d8c6042c7bf98d7a8d1766573"/>
    <w:p>
      <w:pPr>
        <w:pStyle w:val="Heading1"/>
      </w:pPr>
      <w:r>
        <w:t xml:space="preserve">6. Product Scope Model &amp; Prioritization Framework</w:t>
      </w:r>
    </w:p>
    <w:bookmarkStart w:id="61" w:name="release-tiers"/>
    <w:p>
      <w:pPr>
        <w:pStyle w:val="Heading2"/>
      </w:pPr>
      <w:r>
        <w:t xml:space="preserve">6.1 Release tiers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Meaning</w:t>
            </w:r>
          </w:p>
        </w:tc>
        <w:tc>
          <w:tcPr/>
          <w:p>
            <w:pPr>
              <w:pStyle w:val="Compact"/>
              <w:jc w:val="left"/>
            </w:pPr>
            <w:r>
              <w:t xml:space="preserve">Decision Rule</w:t>
            </w:r>
          </w:p>
        </w:tc>
      </w:tr>
      <w:tr>
        <w:tc>
          <w:tcPr/>
          <w:p>
            <w:pPr>
              <w:pStyle w:val="Compact"/>
              <w:jc w:val="left"/>
            </w:pPr>
            <w:r>
              <w:t xml:space="preserve">Tier 1 — Foundation</w:t>
            </w:r>
          </w:p>
        </w:tc>
        <w:tc>
          <w:tcPr/>
          <w:p>
            <w:pPr>
              <w:pStyle w:val="Compact"/>
              <w:jc w:val="left"/>
            </w:pPr>
            <w:r>
              <w:t xml:space="preserve">must-have platform capabilities required for credibility across primary segments</w:t>
            </w:r>
          </w:p>
        </w:tc>
        <w:tc>
          <w:tcPr/>
          <w:p>
            <w:pPr>
              <w:pStyle w:val="Compact"/>
              <w:jc w:val="left"/>
            </w:pPr>
            <w:r>
              <w:t xml:space="preserve">needed for first-wave deployment success</w:t>
            </w:r>
          </w:p>
        </w:tc>
      </w:tr>
      <w:tr>
        <w:tc>
          <w:tcPr/>
          <w:p>
            <w:pPr>
              <w:pStyle w:val="Compact"/>
              <w:jc w:val="left"/>
            </w:pPr>
            <w:r>
              <w:t xml:space="preserve">Tier 2 — Differentiation</w:t>
            </w:r>
          </w:p>
        </w:tc>
        <w:tc>
          <w:tcPr/>
          <w:p>
            <w:pPr>
              <w:pStyle w:val="Compact"/>
              <w:jc w:val="left"/>
            </w:pPr>
            <w:r>
              <w:t xml:space="preserve">strong product advantages that materially improve win rate</w:t>
            </w:r>
          </w:p>
        </w:tc>
        <w:tc>
          <w:tcPr/>
          <w:p>
            <w:pPr>
              <w:pStyle w:val="Compact"/>
              <w:jc w:val="left"/>
            </w:pPr>
            <w:r>
              <w:t xml:space="preserve">drives competitive displacement and enterprise value</w:t>
            </w:r>
          </w:p>
        </w:tc>
      </w:tr>
      <w:tr>
        <w:tc>
          <w:tcPr/>
          <w:p>
            <w:pPr>
              <w:pStyle w:val="Compact"/>
              <w:jc w:val="left"/>
            </w:pPr>
            <w:r>
              <w:t xml:space="preserve">Tier 3 — Expansion</w:t>
            </w:r>
          </w:p>
        </w:tc>
        <w:tc>
          <w:tcPr/>
          <w:p>
            <w:pPr>
              <w:pStyle w:val="Compact"/>
              <w:jc w:val="left"/>
            </w:pPr>
            <w:r>
              <w:t xml:space="preserve">expands TAM or attach revenue after core adoption</w:t>
            </w:r>
          </w:p>
        </w:tc>
        <w:tc>
          <w:tcPr/>
          <w:p>
            <w:pPr>
              <w:pStyle w:val="Compact"/>
              <w:jc w:val="left"/>
            </w:pPr>
            <w:r>
              <w:t xml:space="preserve">packaged as add-on or wave-based capability</w:t>
            </w:r>
          </w:p>
        </w:tc>
      </w:tr>
      <w:tr>
        <w:tc>
          <w:tcPr/>
          <w:p>
            <w:pPr>
              <w:pStyle w:val="Compact"/>
              <w:jc w:val="left"/>
            </w:pPr>
            <w:r>
              <w:t xml:space="preserve">Tier 4 — Strategic Moat</w:t>
            </w:r>
          </w:p>
        </w:tc>
        <w:tc>
          <w:tcPr/>
          <w:p>
            <w:pPr>
              <w:pStyle w:val="Compact"/>
              <w:jc w:val="left"/>
            </w:pPr>
            <w:r>
              <w:t xml:space="preserve">long-term defensibility and data/network effects</w:t>
            </w:r>
          </w:p>
        </w:tc>
        <w:tc>
          <w:tcPr/>
          <w:p>
            <w:pPr>
              <w:pStyle w:val="Compact"/>
              <w:jc w:val="left"/>
            </w:pPr>
            <w:r>
              <w:t xml:space="preserve">launched only after governance and privacy conditions mature</w:t>
            </w:r>
          </w:p>
        </w:tc>
      </w:tr>
    </w:tbl>
    <w:bookmarkEnd w:id="61"/>
    <w:bookmarkStart w:id="62" w:name="scope-classification-matrix"/>
    <w:p>
      <w:pPr>
        <w:pStyle w:val="Heading2"/>
      </w:pPr>
      <w:r>
        <w:t xml:space="preserve">6.2 Scope classification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Domain</w:t>
            </w:r>
          </w:p>
        </w:tc>
        <w:tc>
          <w:tcPr/>
          <w:p>
            <w:pPr>
              <w:pStyle w:val="Compact"/>
              <w:jc w:val="left"/>
            </w:pPr>
            <w:r>
              <w:t xml:space="preserve">Release Tier</w:t>
            </w:r>
          </w:p>
        </w:tc>
        <w:tc>
          <w:tcPr/>
          <w:p>
            <w:pPr>
              <w:pStyle w:val="Compact"/>
              <w:jc w:val="left"/>
            </w:pPr>
            <w:r>
              <w:t xml:space="preserve">Priority</w:t>
            </w:r>
          </w:p>
        </w:tc>
        <w:tc>
          <w:tcPr/>
          <w:p>
            <w:pPr>
              <w:pStyle w:val="Compact"/>
              <w:jc w:val="left"/>
            </w:pPr>
            <w:r>
              <w:t xml:space="preserve">Commercial Status</w:t>
            </w:r>
          </w:p>
        </w:tc>
      </w:tr>
      <w:tr>
        <w:tc>
          <w:tcPr/>
          <w:p>
            <w:pPr>
              <w:pStyle w:val="Compact"/>
              <w:jc w:val="left"/>
            </w:pPr>
            <w:r>
              <w:t xml:space="preserve">Admissions, academics, finance, communications</w:t>
            </w:r>
          </w:p>
        </w:tc>
        <w:tc>
          <w:tcPr/>
          <w:p>
            <w:pPr>
              <w:pStyle w:val="Compact"/>
              <w:jc w:val="left"/>
            </w:pPr>
            <w:r>
              <w:t xml:space="preserve">Tier 1</w:t>
            </w:r>
          </w:p>
        </w:tc>
        <w:tc>
          <w:tcPr/>
          <w:p>
            <w:pPr>
              <w:pStyle w:val="Compact"/>
              <w:jc w:val="left"/>
            </w:pPr>
            <w:r>
              <w:t xml:space="preserve">P0</w:t>
            </w:r>
          </w:p>
        </w:tc>
        <w:tc>
          <w:tcPr/>
          <w:p>
            <w:pPr>
              <w:pStyle w:val="Compact"/>
              <w:jc w:val="left"/>
            </w:pPr>
            <w:r>
              <w:t xml:space="preserve">Core</w:t>
            </w:r>
          </w:p>
        </w:tc>
      </w:tr>
      <w:tr>
        <w:tc>
          <w:tcPr/>
          <w:p>
            <w:pPr>
              <w:pStyle w:val="Compact"/>
              <w:jc w:val="left"/>
            </w:pPr>
            <w:r>
              <w:t xml:space="preserve">Multi-campus governance</w:t>
            </w:r>
          </w:p>
        </w:tc>
        <w:tc>
          <w:tcPr/>
          <w:p>
            <w:pPr>
              <w:pStyle w:val="Compact"/>
              <w:jc w:val="left"/>
            </w:pPr>
            <w:r>
              <w:t xml:space="preserve">Tier 1</w:t>
            </w:r>
          </w:p>
        </w:tc>
        <w:tc>
          <w:tcPr/>
          <w:p>
            <w:pPr>
              <w:pStyle w:val="Compact"/>
              <w:jc w:val="left"/>
            </w:pPr>
            <w:r>
              <w:t xml:space="preserve">P0</w:t>
            </w:r>
          </w:p>
        </w:tc>
        <w:tc>
          <w:tcPr/>
          <w:p>
            <w:pPr>
              <w:pStyle w:val="Compact"/>
              <w:jc w:val="left"/>
            </w:pPr>
            <w:r>
              <w:t xml:space="preserve">Premium core for group buyers</w:t>
            </w:r>
          </w:p>
        </w:tc>
      </w:tr>
      <w:tr>
        <w:tc>
          <w:tcPr/>
          <w:p>
            <w:pPr>
              <w:pStyle w:val="Compact"/>
              <w:jc w:val="left"/>
            </w:pPr>
            <w:r>
              <w:t xml:space="preserve">Higher-ed registrar core</w:t>
            </w:r>
          </w:p>
        </w:tc>
        <w:tc>
          <w:tcPr/>
          <w:p>
            <w:pPr>
              <w:pStyle w:val="Compact"/>
              <w:jc w:val="left"/>
            </w:pPr>
            <w:r>
              <w:t xml:space="preserve">Tier 1</w:t>
            </w:r>
          </w:p>
        </w:tc>
        <w:tc>
          <w:tcPr/>
          <w:p>
            <w:pPr>
              <w:pStyle w:val="Compact"/>
              <w:jc w:val="left"/>
            </w:pPr>
            <w:r>
              <w:t xml:space="preserve">P0</w:t>
            </w:r>
          </w:p>
        </w:tc>
        <w:tc>
          <w:tcPr/>
          <w:p>
            <w:pPr>
              <w:pStyle w:val="Compact"/>
              <w:jc w:val="left"/>
            </w:pPr>
            <w:r>
              <w:t xml:space="preserve">Higher-ed package</w:t>
            </w:r>
          </w:p>
        </w:tc>
      </w:tr>
      <w:tr>
        <w:tc>
          <w:tcPr/>
          <w:p>
            <w:pPr>
              <w:pStyle w:val="Compact"/>
              <w:jc w:val="left"/>
            </w:pPr>
            <w:r>
              <w:t xml:space="preserve">Payment orchestration and reconciliation</w:t>
            </w:r>
          </w:p>
        </w:tc>
        <w:tc>
          <w:tcPr/>
          <w:p>
            <w:pPr>
              <w:pStyle w:val="Compact"/>
              <w:jc w:val="left"/>
            </w:pPr>
            <w:r>
              <w:t xml:space="preserve">Tier 1</w:t>
            </w:r>
          </w:p>
        </w:tc>
        <w:tc>
          <w:tcPr/>
          <w:p>
            <w:pPr>
              <w:pStyle w:val="Compact"/>
              <w:jc w:val="left"/>
            </w:pPr>
            <w:r>
              <w:t xml:space="preserve">P0</w:t>
            </w:r>
          </w:p>
        </w:tc>
        <w:tc>
          <w:tcPr/>
          <w:p>
            <w:pPr>
              <w:pStyle w:val="Compact"/>
              <w:jc w:val="left"/>
            </w:pPr>
            <w:r>
              <w:t xml:space="preserve">Premium core</w:t>
            </w:r>
          </w:p>
        </w:tc>
      </w:tr>
      <w:tr>
        <w:tc>
          <w:tcPr/>
          <w:p>
            <w:pPr>
              <w:pStyle w:val="Compact"/>
              <w:jc w:val="left"/>
            </w:pPr>
            <w:r>
              <w:t xml:space="preserve">Security, privacy, audit and trust evidence</w:t>
            </w:r>
          </w:p>
        </w:tc>
        <w:tc>
          <w:tcPr/>
          <w:p>
            <w:pPr>
              <w:pStyle w:val="Compact"/>
              <w:jc w:val="left"/>
            </w:pPr>
            <w:r>
              <w:t xml:space="preserve">Tier 1</w:t>
            </w:r>
          </w:p>
        </w:tc>
        <w:tc>
          <w:tcPr/>
          <w:p>
            <w:pPr>
              <w:pStyle w:val="Compact"/>
              <w:jc w:val="left"/>
            </w:pPr>
            <w:r>
              <w:t xml:space="preserve">P0</w:t>
            </w:r>
          </w:p>
        </w:tc>
        <w:tc>
          <w:tcPr/>
          <w:p>
            <w:pPr>
              <w:pStyle w:val="Compact"/>
              <w:jc w:val="left"/>
            </w:pPr>
            <w:r>
              <w:t xml:space="preserve">Core + trust artifacts</w:t>
            </w:r>
          </w:p>
        </w:tc>
      </w:tr>
      <w:tr>
        <w:tc>
          <w:tcPr/>
          <w:p>
            <w:pPr>
              <w:pStyle w:val="Compact"/>
              <w:jc w:val="left"/>
            </w:pPr>
            <w:r>
              <w:t xml:space="preserve">Standards and credential trust layer</w:t>
            </w:r>
          </w:p>
        </w:tc>
        <w:tc>
          <w:tcPr/>
          <w:p>
            <w:pPr>
              <w:pStyle w:val="Compact"/>
              <w:jc w:val="left"/>
            </w:pPr>
            <w:r>
              <w:t xml:space="preserve">Tier 2</w:t>
            </w:r>
          </w:p>
        </w:tc>
        <w:tc>
          <w:tcPr/>
          <w:p>
            <w:pPr>
              <w:pStyle w:val="Compact"/>
              <w:jc w:val="left"/>
            </w:pPr>
            <w:r>
              <w:t xml:space="preserve">P0</w:t>
            </w:r>
          </w:p>
        </w:tc>
        <w:tc>
          <w:tcPr/>
          <w:p>
            <w:pPr>
              <w:pStyle w:val="Compact"/>
              <w:jc w:val="left"/>
            </w:pPr>
            <w:r>
              <w:t xml:space="preserve">Higher-ed and trust package</w:t>
            </w:r>
          </w:p>
        </w:tc>
      </w:tr>
      <w:tr>
        <w:tc>
          <w:tcPr/>
          <w:p>
            <w:pPr>
              <w:pStyle w:val="Compact"/>
              <w:jc w:val="left"/>
            </w:pPr>
            <w:r>
              <w:t xml:space="preserve">Student success case management</w:t>
            </w:r>
          </w:p>
        </w:tc>
        <w:tc>
          <w:tcPr/>
          <w:p>
            <w:pPr>
              <w:pStyle w:val="Compact"/>
              <w:jc w:val="left"/>
            </w:pPr>
            <w:r>
              <w:t xml:space="preserve">Tier 2</w:t>
            </w:r>
          </w:p>
        </w:tc>
        <w:tc>
          <w:tcPr/>
          <w:p>
            <w:pPr>
              <w:pStyle w:val="Compact"/>
              <w:jc w:val="left"/>
            </w:pPr>
            <w:r>
              <w:t xml:space="preserve">P1</w:t>
            </w:r>
          </w:p>
        </w:tc>
        <w:tc>
          <w:tcPr/>
          <w:p>
            <w:pPr>
              <w:pStyle w:val="Compact"/>
              <w:jc w:val="left"/>
            </w:pPr>
            <w:r>
              <w:t xml:space="preserve">Higher-ed / premium</w:t>
            </w:r>
          </w:p>
        </w:tc>
      </w:tr>
      <w:tr>
        <w:tc>
          <w:tcPr/>
          <w:p>
            <w:pPr>
              <w:pStyle w:val="Compact"/>
              <w:jc w:val="left"/>
            </w:pPr>
            <w:r>
              <w:t xml:space="preserve">Accreditation and quality automation</w:t>
            </w:r>
          </w:p>
        </w:tc>
        <w:tc>
          <w:tcPr/>
          <w:p>
            <w:pPr>
              <w:pStyle w:val="Compact"/>
              <w:jc w:val="left"/>
            </w:pPr>
            <w:r>
              <w:t xml:space="preserve">Tier 2</w:t>
            </w:r>
          </w:p>
        </w:tc>
        <w:tc>
          <w:tcPr/>
          <w:p>
            <w:pPr>
              <w:pStyle w:val="Compact"/>
              <w:jc w:val="left"/>
            </w:pPr>
            <w:r>
              <w:t xml:space="preserve">P1</w:t>
            </w:r>
          </w:p>
        </w:tc>
        <w:tc>
          <w:tcPr/>
          <w:p>
            <w:pPr>
              <w:pStyle w:val="Compact"/>
              <w:jc w:val="left"/>
            </w:pPr>
            <w:r>
              <w:t xml:space="preserve">Higher-ed / premium</w:t>
            </w:r>
          </w:p>
        </w:tc>
      </w:tr>
      <w:tr>
        <w:tc>
          <w:tcPr/>
          <w:p>
            <w:pPr>
              <w:pStyle w:val="Compact"/>
              <w:jc w:val="left"/>
            </w:pPr>
            <w:r>
              <w:t xml:space="preserve">India public education rails</w:t>
            </w:r>
          </w:p>
        </w:tc>
        <w:tc>
          <w:tcPr/>
          <w:p>
            <w:pPr>
              <w:pStyle w:val="Compact"/>
              <w:jc w:val="left"/>
            </w:pPr>
            <w:r>
              <w:t xml:space="preserve">Tier 2</w:t>
            </w:r>
          </w:p>
        </w:tc>
        <w:tc>
          <w:tcPr/>
          <w:p>
            <w:pPr>
              <w:pStyle w:val="Compact"/>
              <w:jc w:val="left"/>
            </w:pPr>
            <w:r>
              <w:t xml:space="preserve">P1</w:t>
            </w:r>
          </w:p>
        </w:tc>
        <w:tc>
          <w:tcPr/>
          <w:p>
            <w:pPr>
              <w:pStyle w:val="Compact"/>
              <w:jc w:val="left"/>
            </w:pPr>
            <w:r>
              <w:t xml:space="preserve">India add-on</w:t>
            </w:r>
          </w:p>
        </w:tc>
      </w:tr>
      <w:tr>
        <w:tc>
          <w:tcPr/>
          <w:p>
            <w:pPr>
              <w:pStyle w:val="Compact"/>
              <w:jc w:val="left"/>
            </w:pPr>
            <w:r>
              <w:t xml:space="preserve">Continuing education commerce</w:t>
            </w:r>
          </w:p>
        </w:tc>
        <w:tc>
          <w:tcPr/>
          <w:p>
            <w:pPr>
              <w:pStyle w:val="Compact"/>
              <w:jc w:val="left"/>
            </w:pPr>
            <w:r>
              <w:t xml:space="preserve">Tier 3</w:t>
            </w:r>
          </w:p>
        </w:tc>
        <w:tc>
          <w:tcPr/>
          <w:p>
            <w:pPr>
              <w:pStyle w:val="Compact"/>
              <w:jc w:val="left"/>
            </w:pPr>
            <w:r>
              <w:t xml:space="preserve">P1</w:t>
            </w:r>
          </w:p>
        </w:tc>
        <w:tc>
          <w:tcPr/>
          <w:p>
            <w:pPr>
              <w:pStyle w:val="Compact"/>
              <w:jc w:val="left"/>
            </w:pPr>
            <w:r>
              <w:t xml:space="preserve">Continuing-ed package</w:t>
            </w:r>
          </w:p>
        </w:tc>
      </w:tr>
      <w:tr>
        <w:tc>
          <w:tcPr/>
          <w:p>
            <w:pPr>
              <w:pStyle w:val="Compact"/>
              <w:jc w:val="left"/>
            </w:pPr>
            <w:r>
              <w:t xml:space="preserve">Benchmarking network</w:t>
            </w:r>
          </w:p>
        </w:tc>
        <w:tc>
          <w:tcPr/>
          <w:p>
            <w:pPr>
              <w:pStyle w:val="Compact"/>
              <w:jc w:val="left"/>
            </w:pPr>
            <w:r>
              <w:t xml:space="preserve">Tier 4</w:t>
            </w:r>
          </w:p>
        </w:tc>
        <w:tc>
          <w:tcPr/>
          <w:p>
            <w:pPr>
              <w:pStyle w:val="Compact"/>
              <w:jc w:val="left"/>
            </w:pPr>
            <w:r>
              <w:t xml:space="preserve">P2</w:t>
            </w:r>
          </w:p>
        </w:tc>
        <w:tc>
          <w:tcPr/>
          <w:p>
            <w:pPr>
              <w:pStyle w:val="Compact"/>
              <w:jc w:val="left"/>
            </w:pPr>
            <w:r>
              <w:t xml:space="preserve">Network intelligence add-on</w:t>
            </w:r>
          </w:p>
        </w:tc>
      </w:tr>
      <w:tr>
        <w:tc>
          <w:tcPr/>
          <w:p>
            <w:pPr>
              <w:pStyle w:val="Compact"/>
              <w:jc w:val="left"/>
            </w:pPr>
            <w:r>
              <w:t xml:space="preserve">Advanced benchmark monetization</w:t>
            </w:r>
          </w:p>
        </w:tc>
        <w:tc>
          <w:tcPr/>
          <w:p>
            <w:pPr>
              <w:pStyle w:val="Compact"/>
              <w:jc w:val="left"/>
            </w:pPr>
            <w:r>
              <w:t xml:space="preserve">Tier 4</w:t>
            </w:r>
          </w:p>
        </w:tc>
        <w:tc>
          <w:tcPr/>
          <w:p>
            <w:pPr>
              <w:pStyle w:val="Compact"/>
              <w:jc w:val="left"/>
            </w:pPr>
            <w:r>
              <w:t xml:space="preserve">P3</w:t>
            </w:r>
          </w:p>
        </w:tc>
        <w:tc>
          <w:tcPr/>
          <w:p>
            <w:pPr>
              <w:pStyle w:val="Compact"/>
              <w:jc w:val="left"/>
            </w:pPr>
            <w:r>
              <w:t xml:space="preserve">Future premium analytics</w:t>
            </w:r>
          </w:p>
        </w:tc>
      </w:tr>
    </w:tbl>
    <w:bookmarkEnd w:id="62"/>
    <w:bookmarkStart w:id="63" w:name="prioritization-logic"/>
    <w:p>
      <w:pPr>
        <w:pStyle w:val="Heading2"/>
      </w:pPr>
      <w:r>
        <w:t xml:space="preserve">6.3 Prioritization logic</w:t>
      </w:r>
    </w:p>
    <w:p>
      <w:pPr>
        <w:pStyle w:val="FirstParagraph"/>
      </w:pPr>
      <w:r>
        <w:t xml:space="preserve">Features are prioritized by weighted score across:</w:t>
      </w:r>
      <w:r>
        <w:t xml:space="preserve"> </w:t>
      </w:r>
      <w:r>
        <w:t xml:space="preserve">- revenue impact,</w:t>
      </w:r>
      <w:r>
        <w:t xml:space="preserve"> </w:t>
      </w:r>
      <w:r>
        <w:t xml:space="preserve">- segment coverage,</w:t>
      </w:r>
      <w:r>
        <w:t xml:space="preserve"> </w:t>
      </w:r>
      <w:r>
        <w:t xml:space="preserve">- implementation feasibility,</w:t>
      </w:r>
      <w:r>
        <w:t xml:space="preserve"> </w:t>
      </w:r>
      <w:r>
        <w:t xml:space="preserve">- dependency burden,</w:t>
      </w:r>
      <w:r>
        <w:t xml:space="preserve"> </w:t>
      </w:r>
      <w:r>
        <w:t xml:space="preserve">- governance complexity,</w:t>
      </w:r>
      <w:r>
        <w:t xml:space="preserve"> </w:t>
      </w:r>
      <w:r>
        <w:t xml:space="preserve">- standards and trust importance,</w:t>
      </w:r>
      <w:r>
        <w:t xml:space="preserve"> </w:t>
      </w:r>
      <w:r>
        <w:t xml:space="preserve">- competitive urgency.</w:t>
      </w:r>
    </w:p>
    <w:bookmarkEnd w:id="63"/>
    <w:bookmarkStart w:id="64" w:name="explicit-owner-model"/>
    <w:p>
      <w:pPr>
        <w:pStyle w:val="Heading2"/>
      </w:pPr>
      <w:r>
        <w:t xml:space="preserve">6.4 Explicit owner model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Owner Plane</w:t>
            </w:r>
          </w:p>
        </w:tc>
        <w:tc>
          <w:tcPr/>
          <w:p>
            <w:pPr>
              <w:pStyle w:val="Compact"/>
              <w:jc w:val="left"/>
            </w:pPr>
            <w:r>
              <w:t xml:space="preserve">Responsibility</w:t>
            </w:r>
          </w:p>
        </w:tc>
      </w:tr>
      <w:tr>
        <w:tc>
          <w:tcPr/>
          <w:p>
            <w:pPr>
              <w:pStyle w:val="Compact"/>
              <w:jc w:val="left"/>
            </w:pPr>
            <w:r>
              <w:t xml:space="preserve">Product Manager</w:t>
            </w:r>
          </w:p>
        </w:tc>
        <w:tc>
          <w:tcPr/>
          <w:p>
            <w:pPr>
              <w:pStyle w:val="Compact"/>
              <w:jc w:val="left"/>
            </w:pPr>
            <w:r>
              <w:t xml:space="preserve">scope, priority, trade-offs, KPI ownership</w:t>
            </w:r>
          </w:p>
        </w:tc>
      </w:tr>
      <w:tr>
        <w:tc>
          <w:tcPr/>
          <w:p>
            <w:pPr>
              <w:pStyle w:val="Compact"/>
              <w:jc w:val="left"/>
            </w:pPr>
            <w:r>
              <w:t xml:space="preserve">Engineering Lead</w:t>
            </w:r>
          </w:p>
        </w:tc>
        <w:tc>
          <w:tcPr/>
          <w:p>
            <w:pPr>
              <w:pStyle w:val="Compact"/>
              <w:jc w:val="left"/>
            </w:pPr>
            <w:r>
              <w:t xml:space="preserve">technical design, delivery sequencing, dependency management</w:t>
            </w:r>
          </w:p>
        </w:tc>
      </w:tr>
      <w:tr>
        <w:tc>
          <w:tcPr/>
          <w:p>
            <w:pPr>
              <w:pStyle w:val="Compact"/>
              <w:jc w:val="left"/>
            </w:pPr>
            <w:r>
              <w:t xml:space="preserve">Design Lead</w:t>
            </w:r>
          </w:p>
        </w:tc>
        <w:tc>
          <w:tcPr/>
          <w:p>
            <w:pPr>
              <w:pStyle w:val="Compact"/>
              <w:jc w:val="left"/>
            </w:pPr>
            <w:r>
              <w:t xml:space="preserve">workflows, UX consistency, accessibility and usability readiness</w:t>
            </w:r>
          </w:p>
        </w:tc>
      </w:tr>
      <w:tr>
        <w:tc>
          <w:tcPr/>
          <w:p>
            <w:pPr>
              <w:pStyle w:val="Compact"/>
              <w:jc w:val="left"/>
            </w:pPr>
            <w:r>
              <w:t xml:space="preserve">Data / AI Lead</w:t>
            </w:r>
          </w:p>
        </w:tc>
        <w:tc>
          <w:tcPr/>
          <w:p>
            <w:pPr>
              <w:pStyle w:val="Compact"/>
              <w:jc w:val="left"/>
            </w:pPr>
            <w:r>
              <w:t xml:space="preserve">analytics model, data quality, AI evaluation, signal integrity</w:t>
            </w:r>
          </w:p>
        </w:tc>
      </w:tr>
      <w:tr>
        <w:tc>
          <w:tcPr/>
          <w:p>
            <w:pPr>
              <w:pStyle w:val="Compact"/>
              <w:jc w:val="left"/>
            </w:pPr>
            <w:r>
              <w:t xml:space="preserve">Security / Trust Lead</w:t>
            </w:r>
          </w:p>
        </w:tc>
        <w:tc>
          <w:tcPr/>
          <w:p>
            <w:pPr>
              <w:pStyle w:val="Compact"/>
              <w:jc w:val="left"/>
            </w:pPr>
            <w:r>
              <w:t xml:space="preserve">privacy, security, evidence pack, auditability, control posture</w:t>
            </w:r>
          </w:p>
        </w:tc>
      </w:tr>
      <w:tr>
        <w:tc>
          <w:tcPr/>
          <w:p>
            <w:pPr>
              <w:pStyle w:val="Compact"/>
              <w:jc w:val="left"/>
            </w:pPr>
            <w:r>
              <w:t xml:space="preserve">Implementation / Solutions Lead</w:t>
            </w:r>
          </w:p>
        </w:tc>
        <w:tc>
          <w:tcPr/>
          <w:p>
            <w:pPr>
              <w:pStyle w:val="Compact"/>
              <w:jc w:val="left"/>
            </w:pPr>
            <w:r>
              <w:t xml:space="preserve">migration, integration, cutover, customer rollout readiness</w:t>
            </w:r>
          </w:p>
        </w:tc>
      </w:tr>
      <w:tr>
        <w:tc>
          <w:tcPr/>
          <w:p>
            <w:pPr>
              <w:pStyle w:val="Compact"/>
              <w:jc w:val="left"/>
            </w:pPr>
            <w:r>
              <w:t xml:space="preserve">GTM / Commercial Lead</w:t>
            </w:r>
          </w:p>
        </w:tc>
        <w:tc>
          <w:tcPr/>
          <w:p>
            <w:pPr>
              <w:pStyle w:val="Compact"/>
              <w:jc w:val="left"/>
            </w:pPr>
            <w:r>
              <w:t xml:space="preserve">packaging, pricing assumptions, enablement, attach strategy</w:t>
            </w:r>
          </w:p>
        </w:tc>
      </w:tr>
    </w:tbl>
    <w:bookmarkEnd w:id="64"/>
    <w:bookmarkStart w:id="65" w:name="traceability-matrix"/>
    <w:p>
      <w:pPr>
        <w:pStyle w:val="Heading2"/>
      </w:pPr>
      <w:r>
        <w:t xml:space="preserve">6.5 Traceability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Problem</w:t>
            </w:r>
          </w:p>
        </w:tc>
        <w:tc>
          <w:tcPr/>
          <w:p>
            <w:pPr>
              <w:pStyle w:val="Compact"/>
              <w:jc w:val="left"/>
            </w:pPr>
            <w:r>
              <w:t xml:space="preserve">Primary Persona</w:t>
            </w:r>
          </w:p>
        </w:tc>
        <w:tc>
          <w:tcPr/>
          <w:p>
            <w:pPr>
              <w:pStyle w:val="Compact"/>
              <w:jc w:val="left"/>
            </w:pPr>
            <w:r>
              <w:t xml:space="preserve">Module(s)</w:t>
            </w:r>
          </w:p>
        </w:tc>
        <w:tc>
          <w:tcPr/>
          <w:p>
            <w:pPr>
              <w:pStyle w:val="Compact"/>
              <w:jc w:val="left"/>
            </w:pPr>
            <w:r>
              <w:t xml:space="preserve">KPI</w:t>
            </w:r>
          </w:p>
        </w:tc>
        <w:tc>
          <w:tcPr/>
          <w:p>
            <w:pPr>
              <w:pStyle w:val="Compact"/>
              <w:jc w:val="left"/>
            </w:pPr>
            <w:r>
              <w:t xml:space="preserve">Release Tier</w:t>
            </w:r>
          </w:p>
        </w:tc>
        <w:tc>
          <w:tcPr/>
          <w:p>
            <w:pPr>
              <w:pStyle w:val="Compact"/>
              <w:jc w:val="left"/>
            </w:pPr>
            <w:r>
              <w:t xml:space="preserve">Key Dependency</w:t>
            </w:r>
          </w:p>
        </w:tc>
        <w:tc>
          <w:tcPr/>
          <w:p>
            <w:pPr>
              <w:pStyle w:val="Compact"/>
              <w:jc w:val="left"/>
            </w:pPr>
            <w:r>
              <w:t xml:space="preserve">Commercial Package</w:t>
            </w:r>
          </w:p>
        </w:tc>
      </w:tr>
      <w:tr>
        <w:tc>
          <w:tcPr/>
          <w:p>
            <w:pPr>
              <w:pStyle w:val="Compact"/>
              <w:jc w:val="left"/>
            </w:pPr>
            <w:r>
              <w:t xml:space="preserve">Weak HQ visibility</w:t>
            </w:r>
          </w:p>
        </w:tc>
        <w:tc>
          <w:tcPr/>
          <w:p>
            <w:pPr>
              <w:pStyle w:val="Compact"/>
              <w:jc w:val="left"/>
            </w:pPr>
            <w:r>
              <w:t xml:space="preserve">Group CEO / Trustee</w:t>
            </w:r>
          </w:p>
        </w:tc>
        <w:tc>
          <w:tcPr/>
          <w:p>
            <w:pPr>
              <w:pStyle w:val="Compact"/>
              <w:jc w:val="left"/>
            </w:pPr>
            <w:r>
              <w:t xml:space="preserve">22, 13, 46</w:t>
            </w:r>
          </w:p>
        </w:tc>
        <w:tc>
          <w:tcPr/>
          <w:p>
            <w:pPr>
              <w:pStyle w:val="Compact"/>
              <w:jc w:val="left"/>
            </w:pPr>
            <w:r>
              <w:t xml:space="preserve">dashboard latency, decision cycle time</w:t>
            </w:r>
          </w:p>
        </w:tc>
        <w:tc>
          <w:tcPr/>
          <w:p>
            <w:pPr>
              <w:pStyle w:val="Compact"/>
              <w:jc w:val="left"/>
            </w:pPr>
            <w:r>
              <w:t xml:space="preserve">Tier 1 / Tier 4</w:t>
            </w:r>
          </w:p>
        </w:tc>
        <w:tc>
          <w:tcPr/>
          <w:p>
            <w:pPr>
              <w:pStyle w:val="Compact"/>
              <w:jc w:val="left"/>
            </w:pPr>
            <w:r>
              <w:t xml:space="preserve">normalized KPI model</w:t>
            </w:r>
          </w:p>
        </w:tc>
        <w:tc>
          <w:tcPr/>
          <w:p>
            <w:pPr>
              <w:pStyle w:val="Compact"/>
              <w:jc w:val="left"/>
            </w:pPr>
            <w:r>
              <w:t xml:space="preserve">Multi-Campus Governance</w:t>
            </w:r>
          </w:p>
        </w:tc>
      </w:tr>
      <w:tr>
        <w:tc>
          <w:tcPr/>
          <w:p>
            <w:pPr>
              <w:pStyle w:val="Compact"/>
              <w:jc w:val="left"/>
            </w:pPr>
            <w:r>
              <w:t xml:space="preserve">Manual transcript and transfer workflows</w:t>
            </w:r>
          </w:p>
        </w:tc>
        <w:tc>
          <w:tcPr/>
          <w:p>
            <w:pPr>
              <w:pStyle w:val="Compact"/>
              <w:jc w:val="left"/>
            </w:pPr>
            <w:r>
              <w:t xml:space="preserve">Registrar</w:t>
            </w:r>
          </w:p>
        </w:tc>
        <w:tc>
          <w:tcPr/>
          <w:p>
            <w:pPr>
              <w:pStyle w:val="Compact"/>
              <w:jc w:val="left"/>
            </w:pPr>
            <w:r>
              <w:t xml:space="preserve">23, 41, 42</w:t>
            </w:r>
          </w:p>
        </w:tc>
        <w:tc>
          <w:tcPr/>
          <w:p>
            <w:pPr>
              <w:pStyle w:val="Compact"/>
              <w:jc w:val="left"/>
            </w:pPr>
            <w:r>
              <w:t xml:space="preserve">transcript TAT, transfer decision cycle time</w:t>
            </w:r>
          </w:p>
        </w:tc>
        <w:tc>
          <w:tcPr/>
          <w:p>
            <w:pPr>
              <w:pStyle w:val="Compact"/>
              <w:jc w:val="left"/>
            </w:pPr>
            <w:r>
              <w:t xml:space="preserve">Tier 1 / Tier 2</w:t>
            </w:r>
          </w:p>
        </w:tc>
        <w:tc>
          <w:tcPr/>
          <w:p>
            <w:pPr>
              <w:pStyle w:val="Compact"/>
              <w:jc w:val="left"/>
            </w:pPr>
            <w:r>
              <w:t xml:space="preserve">learner graph, consent, audit log</w:t>
            </w:r>
          </w:p>
        </w:tc>
        <w:tc>
          <w:tcPr/>
          <w:p>
            <w:pPr>
              <w:pStyle w:val="Compact"/>
              <w:jc w:val="left"/>
            </w:pPr>
            <w:r>
              <w:t xml:space="preserve">Higher-Ed Trust &amp; Outcomes</w:t>
            </w:r>
          </w:p>
        </w:tc>
      </w:tr>
      <w:tr>
        <w:tc>
          <w:tcPr/>
          <w:p>
            <w:pPr>
              <w:pStyle w:val="Compact"/>
              <w:jc w:val="left"/>
            </w:pPr>
            <w:r>
              <w:t xml:space="preserve">Informal coaching operations</w:t>
            </w:r>
          </w:p>
        </w:tc>
        <w:tc>
          <w:tcPr/>
          <w:p>
            <w:pPr>
              <w:pStyle w:val="Compact"/>
              <w:jc w:val="left"/>
            </w:pPr>
            <w:r>
              <w:t xml:space="preserve">Coaching Director, Parent</w:t>
            </w:r>
          </w:p>
        </w:tc>
        <w:tc>
          <w:tcPr/>
          <w:p>
            <w:pPr>
              <w:pStyle w:val="Compact"/>
              <w:jc w:val="left"/>
            </w:pPr>
            <w:r>
              <w:t xml:space="preserve">24, 32, 38</w:t>
            </w:r>
          </w:p>
        </w:tc>
        <w:tc>
          <w:tcPr/>
          <w:p>
            <w:pPr>
              <w:pStyle w:val="Compact"/>
              <w:jc w:val="left"/>
            </w:pPr>
            <w:r>
              <w:t xml:space="preserve">test turnaround, fee efficiency, parent report SLA</w:t>
            </w:r>
          </w:p>
        </w:tc>
        <w:tc>
          <w:tcPr/>
          <w:p>
            <w:pPr>
              <w:pStyle w:val="Compact"/>
              <w:jc w:val="left"/>
            </w:pPr>
            <w:r>
              <w:t xml:space="preserve">Tier 1</w:t>
            </w:r>
          </w:p>
        </w:tc>
        <w:tc>
          <w:tcPr/>
          <w:p>
            <w:pPr>
              <w:pStyle w:val="Compact"/>
              <w:jc w:val="left"/>
            </w:pPr>
            <w:r>
              <w:t xml:space="preserve">batch and payment engines</w:t>
            </w:r>
          </w:p>
        </w:tc>
        <w:tc>
          <w:tcPr/>
          <w:p>
            <w:pPr>
              <w:pStyle w:val="Compact"/>
              <w:jc w:val="left"/>
            </w:pPr>
            <w:r>
              <w:t xml:space="preserve">Coaching Core</w:t>
            </w:r>
          </w:p>
        </w:tc>
      </w:tr>
      <w:tr>
        <w:tc>
          <w:tcPr/>
          <w:p>
            <w:pPr>
              <w:pStyle w:val="Compact"/>
              <w:jc w:val="left"/>
            </w:pPr>
            <w:r>
              <w:t xml:space="preserve">Fragmented international operations</w:t>
            </w:r>
          </w:p>
        </w:tc>
        <w:tc>
          <w:tcPr/>
          <w:p>
            <w:pPr>
              <w:pStyle w:val="Compact"/>
              <w:jc w:val="left"/>
            </w:pPr>
            <w:r>
              <w:t xml:space="preserve">International Principal</w:t>
            </w:r>
          </w:p>
        </w:tc>
        <w:tc>
          <w:tcPr/>
          <w:p>
            <w:pPr>
              <w:pStyle w:val="Compact"/>
              <w:jc w:val="left"/>
            </w:pPr>
            <w:r>
              <w:t xml:space="preserve">25, 38</w:t>
            </w:r>
          </w:p>
        </w:tc>
        <w:tc>
          <w:tcPr/>
          <w:p>
            <w:pPr>
              <w:pStyle w:val="Compact"/>
              <w:jc w:val="left"/>
            </w:pPr>
            <w:r>
              <w:t xml:space="preserve">FX close time, reporting time</w:t>
            </w:r>
          </w:p>
        </w:tc>
        <w:tc>
          <w:tcPr/>
          <w:p>
            <w:pPr>
              <w:pStyle w:val="Compact"/>
              <w:jc w:val="left"/>
            </w:pPr>
            <w:r>
              <w:t xml:space="preserve">Tier 1 / Tier 2</w:t>
            </w:r>
          </w:p>
        </w:tc>
        <w:tc>
          <w:tcPr/>
          <w:p>
            <w:pPr>
              <w:pStyle w:val="Compact"/>
              <w:jc w:val="left"/>
            </w:pPr>
            <w:r>
              <w:t xml:space="preserve">payment orchestration, residency controls</w:t>
            </w:r>
          </w:p>
        </w:tc>
        <w:tc>
          <w:tcPr/>
          <w:p>
            <w:pPr>
              <w:pStyle w:val="Compact"/>
              <w:jc w:val="left"/>
            </w:pPr>
            <w:r>
              <w:t xml:space="preserve">International Pack</w:t>
            </w:r>
          </w:p>
        </w:tc>
      </w:tr>
      <w:tr>
        <w:tc>
          <w:tcPr/>
          <w:p>
            <w:pPr>
              <w:pStyle w:val="Compact"/>
              <w:jc w:val="left"/>
            </w:pPr>
            <w:r>
              <w:t xml:space="preserve">Weak employability visibility</w:t>
            </w:r>
          </w:p>
        </w:tc>
        <w:tc>
          <w:tcPr/>
          <w:p>
            <w:pPr>
              <w:pStyle w:val="Compact"/>
              <w:jc w:val="left"/>
            </w:pPr>
            <w:r>
              <w:t xml:space="preserve">Student, Placement Lead</w:t>
            </w:r>
          </w:p>
        </w:tc>
        <w:tc>
          <w:tcPr/>
          <w:p>
            <w:pPr>
              <w:pStyle w:val="Compact"/>
              <w:jc w:val="left"/>
            </w:pPr>
            <w:r>
              <w:t xml:space="preserve">28, 37, 41</w:t>
            </w:r>
          </w:p>
        </w:tc>
        <w:tc>
          <w:tcPr/>
          <w:p>
            <w:pPr>
              <w:pStyle w:val="Compact"/>
              <w:jc w:val="left"/>
            </w:pPr>
            <w:r>
              <w:t xml:space="preserve">placement rate, verification success</w:t>
            </w:r>
          </w:p>
        </w:tc>
        <w:tc>
          <w:tcPr/>
          <w:p>
            <w:pPr>
              <w:pStyle w:val="Compact"/>
              <w:jc w:val="left"/>
            </w:pPr>
            <w:r>
              <w:t xml:space="preserve">Tier 2</w:t>
            </w:r>
          </w:p>
        </w:tc>
        <w:tc>
          <w:tcPr/>
          <w:p>
            <w:pPr>
              <w:pStyle w:val="Compact"/>
              <w:jc w:val="left"/>
            </w:pPr>
            <w:r>
              <w:t xml:space="preserve">competency graph, credential trust</w:t>
            </w:r>
          </w:p>
        </w:tc>
        <w:tc>
          <w:tcPr/>
          <w:p>
            <w:pPr>
              <w:pStyle w:val="Compact"/>
              <w:jc w:val="left"/>
            </w:pPr>
            <w:r>
              <w:t xml:space="preserve">Trust / Outcomes Pack</w:t>
            </w:r>
          </w:p>
        </w:tc>
      </w:tr>
      <w:tr>
        <w:tc>
          <w:tcPr/>
          <w:p>
            <w:pPr>
              <w:pStyle w:val="Compact"/>
              <w:jc w:val="left"/>
            </w:pPr>
            <w:r>
              <w:t xml:space="preserve">Slow procurement review</w:t>
            </w:r>
          </w:p>
        </w:tc>
        <w:tc>
          <w:tcPr/>
          <w:p>
            <w:pPr>
              <w:pStyle w:val="Compact"/>
              <w:jc w:val="left"/>
            </w:pPr>
            <w:r>
              <w:t xml:space="preserve">CIO / Risk Reviewer</w:t>
            </w:r>
          </w:p>
        </w:tc>
        <w:tc>
          <w:tcPr/>
          <w:p>
            <w:pPr>
              <w:pStyle w:val="Compact"/>
              <w:jc w:val="left"/>
            </w:pPr>
            <w:r>
              <w:t xml:space="preserve">43, 9, 10</w:t>
            </w:r>
          </w:p>
        </w:tc>
        <w:tc>
          <w:tcPr/>
          <w:p>
            <w:pPr>
              <w:pStyle w:val="Compact"/>
              <w:jc w:val="left"/>
            </w:pPr>
            <w:r>
              <w:t xml:space="preserve">procurement review cycle time</w:t>
            </w:r>
          </w:p>
        </w:tc>
        <w:tc>
          <w:tcPr/>
          <w:p>
            <w:pPr>
              <w:pStyle w:val="Compact"/>
              <w:jc w:val="left"/>
            </w:pPr>
            <w:r>
              <w:t xml:space="preserve">Tier 1</w:t>
            </w:r>
          </w:p>
        </w:tc>
        <w:tc>
          <w:tcPr/>
          <w:p>
            <w:pPr>
              <w:pStyle w:val="Compact"/>
              <w:jc w:val="left"/>
            </w:pPr>
            <w:r>
              <w:t xml:space="preserve">evidence room, shared responsibility matrix</w:t>
            </w:r>
          </w:p>
        </w:tc>
        <w:tc>
          <w:tcPr/>
          <w:p>
            <w:pPr>
              <w:pStyle w:val="Compact"/>
              <w:jc w:val="left"/>
            </w:pPr>
            <w:r>
              <w:t xml:space="preserve">Trust &amp; Procurement Pack</w:t>
            </w:r>
          </w:p>
        </w:tc>
      </w:tr>
      <w:tr>
        <w:tc>
          <w:tcPr/>
          <w:p>
            <w:pPr>
              <w:pStyle w:val="Compact"/>
              <w:jc w:val="left"/>
            </w:pPr>
            <w:r>
              <w:t xml:space="preserve">Poor intervention coordination</w:t>
            </w:r>
          </w:p>
        </w:tc>
        <w:tc>
          <w:tcPr/>
          <w:p>
            <w:pPr>
              <w:pStyle w:val="Compact"/>
              <w:jc w:val="left"/>
            </w:pPr>
            <w:r>
              <w:t xml:space="preserve">Counselor / Advisor</w:t>
            </w:r>
          </w:p>
        </w:tc>
        <w:tc>
          <w:tcPr/>
          <w:p>
            <w:pPr>
              <w:pStyle w:val="Compact"/>
              <w:jc w:val="left"/>
            </w:pPr>
            <w:r>
              <w:t xml:space="preserve">44, RiskAgent, AdvisorAgent</w:t>
            </w:r>
          </w:p>
        </w:tc>
        <w:tc>
          <w:tcPr/>
          <w:p>
            <w:pPr>
              <w:pStyle w:val="Compact"/>
              <w:jc w:val="left"/>
            </w:pPr>
            <w:r>
              <w:t xml:space="preserve">time-to-first-intervention, closure rate</w:t>
            </w:r>
          </w:p>
        </w:tc>
        <w:tc>
          <w:tcPr/>
          <w:p>
            <w:pPr>
              <w:pStyle w:val="Compact"/>
              <w:jc w:val="left"/>
            </w:pPr>
            <w:r>
              <w:t xml:space="preserve">Tier 2</w:t>
            </w:r>
          </w:p>
        </w:tc>
        <w:tc>
          <w:tcPr/>
          <w:p>
            <w:pPr>
              <w:pStyle w:val="Compact"/>
              <w:jc w:val="left"/>
            </w:pPr>
            <w:r>
              <w:t xml:space="preserve">signal ingestion, case object, routing</w:t>
            </w:r>
          </w:p>
        </w:tc>
        <w:tc>
          <w:tcPr/>
          <w:p>
            <w:pPr>
              <w:pStyle w:val="Compact"/>
              <w:jc w:val="left"/>
            </w:pPr>
            <w:r>
              <w:t xml:space="preserve">Student Success Add-on</w:t>
            </w:r>
          </w:p>
        </w:tc>
      </w:tr>
      <w:tr>
        <w:tc>
          <w:tcPr/>
          <w:p>
            <w:pPr>
              <w:pStyle w:val="Compact"/>
              <w:jc w:val="left"/>
            </w:pPr>
            <w:r>
              <w:t xml:space="preserve">Non-degree revenue fragmentation</w:t>
            </w:r>
          </w:p>
        </w:tc>
        <w:tc>
          <w:tcPr/>
          <w:p>
            <w:pPr>
              <w:pStyle w:val="Compact"/>
              <w:jc w:val="left"/>
            </w:pPr>
            <w:r>
              <w:t xml:space="preserve">Continuing Ed Director</w:t>
            </w:r>
          </w:p>
        </w:tc>
        <w:tc>
          <w:tcPr/>
          <w:p>
            <w:pPr>
              <w:pStyle w:val="Compact"/>
              <w:jc w:val="left"/>
            </w:pPr>
            <w:r>
              <w:t xml:space="preserve">45, 38</w:t>
            </w:r>
          </w:p>
        </w:tc>
        <w:tc>
          <w:tcPr/>
          <w:p>
            <w:pPr>
              <w:pStyle w:val="Compact"/>
              <w:jc w:val="left"/>
            </w:pPr>
            <w:r>
              <w:t xml:space="preserve">renewal rate, margin, sponsor billing accuracy</w:t>
            </w:r>
          </w:p>
        </w:tc>
        <w:tc>
          <w:tcPr/>
          <w:p>
            <w:pPr>
              <w:pStyle w:val="Compact"/>
              <w:jc w:val="left"/>
            </w:pPr>
            <w:r>
              <w:t xml:space="preserve">Tier 3</w:t>
            </w:r>
          </w:p>
        </w:tc>
        <w:tc>
          <w:tcPr/>
          <w:p>
            <w:pPr>
              <w:pStyle w:val="Compact"/>
              <w:jc w:val="left"/>
            </w:pPr>
            <w:r>
              <w:t xml:space="preserve">commerce engine, finance integration</w:t>
            </w:r>
          </w:p>
        </w:tc>
        <w:tc>
          <w:tcPr/>
          <w:p>
            <w:pPr>
              <w:pStyle w:val="Compact"/>
              <w:jc w:val="left"/>
            </w:pPr>
            <w:r>
              <w:t xml:space="preserve">Continuing Education Pack</w:t>
            </w:r>
          </w:p>
        </w:tc>
      </w:tr>
    </w:tbl>
    <w:bookmarkEnd w:id="65"/>
    <w:bookmarkStart w:id="68" w:name="decision-log-and-open-questions"/>
    <w:p>
      <w:pPr>
        <w:pStyle w:val="Heading2"/>
      </w:pPr>
      <w:r>
        <w:t xml:space="preserve">6.6 Decision log and open questions</w:t>
      </w:r>
    </w:p>
    <w:bookmarkStart w:id="66" w:name="decisions-already-made"/>
    <w:p>
      <w:pPr>
        <w:pStyle w:val="Heading3"/>
      </w:pPr>
      <w:r>
        <w:t xml:space="preserve">Decisions already made</w:t>
      </w:r>
    </w:p>
    <w:p>
      <w:pPr>
        <w:pStyle w:val="Compact"/>
        <w:numPr>
          <w:ilvl w:val="0"/>
          <w:numId w:val="1017"/>
        </w:numPr>
      </w:pPr>
      <w:r>
        <w:t xml:space="preserve">ScholarMind remains a universal platform, not separate product families by segment.</w:t>
      </w:r>
    </w:p>
    <w:p>
      <w:pPr>
        <w:pStyle w:val="Compact"/>
        <w:numPr>
          <w:ilvl w:val="0"/>
          <w:numId w:val="1017"/>
        </w:numPr>
      </w:pPr>
      <w:r>
        <w:t xml:space="preserve">High-risk AI actions require human approval and auditability by default.</w:t>
      </w:r>
    </w:p>
    <w:p>
      <w:pPr>
        <w:pStyle w:val="Compact"/>
        <w:numPr>
          <w:ilvl w:val="0"/>
          <w:numId w:val="1017"/>
        </w:numPr>
      </w:pPr>
      <w:r>
        <w:t xml:space="preserve">Migration/coexistence is productized, not an implementation afterthought.</w:t>
      </w:r>
    </w:p>
    <w:p>
      <w:pPr>
        <w:pStyle w:val="Compact"/>
        <w:numPr>
          <w:ilvl w:val="0"/>
          <w:numId w:val="1017"/>
        </w:numPr>
      </w:pPr>
      <w:r>
        <w:t xml:space="preserve">Credential trust and procurement trust are strategic differentiators.</w:t>
      </w:r>
    </w:p>
    <w:p>
      <w:pPr>
        <w:pStyle w:val="Compact"/>
        <w:numPr>
          <w:ilvl w:val="0"/>
          <w:numId w:val="1017"/>
        </w:numPr>
      </w:pPr>
      <w:r>
        <w:t xml:space="preserve">Benchmarking is strategically valuable but deferred until privacy-safe participation controls are mature.</w:t>
      </w:r>
    </w:p>
    <w:bookmarkEnd w:id="66"/>
    <w:bookmarkStart w:id="67" w:name="open-questions"/>
    <w:p>
      <w:pPr>
        <w:pStyle w:val="Heading3"/>
      </w:pPr>
      <w:r>
        <w:t xml:space="preserve">Open questions</w:t>
      </w:r>
    </w:p>
    <w:p>
      <w:pPr>
        <w:pStyle w:val="Compact"/>
        <w:numPr>
          <w:ilvl w:val="0"/>
          <w:numId w:val="1018"/>
        </w:numPr>
      </w:pPr>
      <w:r>
        <w:t xml:space="preserve">Which segments get Open Badges / CLR issuance at GA vs beta?</w:t>
      </w:r>
    </w:p>
    <w:p>
      <w:pPr>
        <w:pStyle w:val="Compact"/>
        <w:numPr>
          <w:ilvl w:val="0"/>
          <w:numId w:val="1018"/>
        </w:numPr>
      </w:pPr>
      <w:r>
        <w:t xml:space="preserve">Which deployment tiers include advanced AI automation by default?</w:t>
      </w:r>
    </w:p>
    <w:p>
      <w:pPr>
        <w:pStyle w:val="Compact"/>
        <w:numPr>
          <w:ilvl w:val="0"/>
          <w:numId w:val="1018"/>
        </w:numPr>
      </w:pPr>
      <w:r>
        <w:t xml:space="preserve">Should benchmarking be opt-in only or package-gated?</w:t>
      </w:r>
    </w:p>
    <w:p>
      <w:pPr>
        <w:pStyle w:val="Compact"/>
        <w:numPr>
          <w:ilvl w:val="0"/>
          <w:numId w:val="1018"/>
        </w:numPr>
      </w:pPr>
      <w:r>
        <w:t xml:space="preserve">What minimum data-quality score is required before transcript/credential backfill?</w:t>
      </w:r>
    </w:p>
    <w:p>
      <w:pPr>
        <w:pStyle w:val="Compact"/>
        <w:numPr>
          <w:ilvl w:val="0"/>
          <w:numId w:val="1018"/>
        </w:numPr>
      </w:pPr>
      <w:r>
        <w:t xml:space="preserve">Which India-rail workflows are contractual commitments vs roadmap-aligned options?</w:t>
      </w:r>
    </w:p>
    <w:bookmarkEnd w:id="67"/>
    <w:bookmarkEnd w:id="68"/>
    <w:bookmarkEnd w:id="69"/>
    <w:bookmarkStart w:id="104" w:name="X17218431109a9059e40635ec5918c6aa1a006d8"/>
    <w:p>
      <w:pPr>
        <w:pStyle w:val="Heading1"/>
      </w:pPr>
      <w:r>
        <w:t xml:space="preserve">7. Functional Requirements — Comprehensive Module Suite</w:t>
      </w:r>
    </w:p>
    <w:bookmarkStart w:id="70" w:name="foundational-core-modules-121"/>
    <w:p>
      <w:pPr>
        <w:pStyle w:val="Heading2"/>
      </w:pPr>
      <w:r>
        <w:t xml:space="preserve">7.1 Foundational core modules (1–21)</w:t>
      </w:r>
    </w:p>
    <w:p>
      <w:pPr>
        <w:pStyle w:val="FirstParagraph"/>
      </w:pPr>
      <w:r>
        <w:t xml:space="preserve">Admissions &amp; Enrollment; Learner Profile &amp; Identity; Attendance &amp; Participation; Academics &amp; Curriculum; Timetabling &amp; Scheduling; Communications &amp; Notifications; Finance &amp; Billing; HR &amp; Workforce; Examinations &amp; Assessment; Library &amp; Learning Resources; Student Health &amp; Wellbeing; Transport &amp; Facilities; Analytics &amp; Reporting; Parent / Guardian Portal; Faculty Portal; Alumni Management; Global Equity / Low-Connectivity Access; Crisis Education &amp; Emergency Response; SEND / Disability Support; Community / Sustainability; AI Ethics &amp; Human Oversight Foundations.</w:t>
      </w:r>
    </w:p>
    <w:bookmarkEnd w:id="70"/>
    <w:bookmarkStart w:id="75" w:name="X1c84f31a2fa8e774bc14a54656bc5ad17a2e7f9"/>
    <w:p>
      <w:pPr>
        <w:pStyle w:val="Heading2"/>
      </w:pPr>
      <w:r>
        <w:t xml:space="preserve">7.2 Foundational enhancements retained from v3.7</w:t>
      </w:r>
    </w:p>
    <w:bookmarkStart w:id="71" w:name="module-1-admissions-enhancements"/>
    <w:p>
      <w:pPr>
        <w:pStyle w:val="Heading3"/>
      </w:pPr>
      <w:r>
        <w:t xml:space="preserve">Module 1 — Admissions enhancements</w:t>
      </w:r>
    </w:p>
    <w:p>
      <w:pPr>
        <w:pStyle w:val="Compact"/>
        <w:numPr>
          <w:ilvl w:val="0"/>
          <w:numId w:val="1019"/>
        </w:numPr>
      </w:pPr>
      <w:r>
        <w:t xml:space="preserve">university admissions with entrance exam score integration,</w:t>
      </w:r>
    </w:p>
    <w:p>
      <w:pPr>
        <w:pStyle w:val="Compact"/>
        <w:numPr>
          <w:ilvl w:val="0"/>
          <w:numId w:val="1019"/>
        </w:numPr>
      </w:pPr>
      <w:r>
        <w:t xml:space="preserve">coaching batch enrollment with diagnostic-based recommendation,</w:t>
      </w:r>
    </w:p>
    <w:p>
      <w:pPr>
        <w:pStyle w:val="Compact"/>
        <w:numPr>
          <w:ilvl w:val="0"/>
          <w:numId w:val="1019"/>
        </w:numPr>
      </w:pPr>
      <w:r>
        <w:t xml:space="preserve">international admissions with visa and guardian flows,</w:t>
      </w:r>
    </w:p>
    <w:p>
      <w:pPr>
        <w:pStyle w:val="Compact"/>
        <w:numPr>
          <w:ilvl w:val="0"/>
          <w:numId w:val="1019"/>
        </w:numPr>
      </w:pPr>
      <w:r>
        <w:t xml:space="preserve">centralized admissions funnel with campus allocation logic.</w:t>
      </w:r>
    </w:p>
    <w:bookmarkEnd w:id="71"/>
    <w:bookmarkStart w:id="72" w:name="module-4-academics-enhancements"/>
    <w:p>
      <w:pPr>
        <w:pStyle w:val="Heading3"/>
      </w:pPr>
      <w:r>
        <w:t xml:space="preserve">Module 4 — Academics enhancements</w:t>
      </w:r>
    </w:p>
    <w:p>
      <w:pPr>
        <w:pStyle w:val="Compact"/>
        <w:numPr>
          <w:ilvl w:val="0"/>
          <w:numId w:val="1020"/>
        </w:numPr>
      </w:pPr>
      <w:r>
        <w:t xml:space="preserve">CBCS and credit-based curriculum management,</w:t>
      </w:r>
    </w:p>
    <w:p>
      <w:pPr>
        <w:pStyle w:val="Compact"/>
        <w:numPr>
          <w:ilvl w:val="0"/>
          <w:numId w:val="1020"/>
        </w:numPr>
      </w:pPr>
      <w:r>
        <w:t xml:space="preserve">course catalog and prerequisite management,</w:t>
      </w:r>
    </w:p>
    <w:p>
      <w:pPr>
        <w:pStyle w:val="Compact"/>
        <w:numPr>
          <w:ilvl w:val="0"/>
          <w:numId w:val="1020"/>
        </w:numPr>
      </w:pPr>
      <w:r>
        <w:t xml:space="preserve">GPA/CGPA calculation,</w:t>
      </w:r>
    </w:p>
    <w:p>
      <w:pPr>
        <w:pStyle w:val="Compact"/>
        <w:numPr>
          <w:ilvl w:val="0"/>
          <w:numId w:val="1020"/>
        </w:numPr>
      </w:pPr>
      <w:r>
        <w:t xml:space="preserve">coaching syllabus engine by exam type.</w:t>
      </w:r>
    </w:p>
    <w:bookmarkEnd w:id="72"/>
    <w:bookmarkStart w:id="73" w:name="module-7-finance-enhancements"/>
    <w:p>
      <w:pPr>
        <w:pStyle w:val="Heading3"/>
      </w:pPr>
      <w:r>
        <w:t xml:space="preserve">Module 7 — Finance enhancements</w:t>
      </w:r>
    </w:p>
    <w:p>
      <w:pPr>
        <w:pStyle w:val="Compact"/>
        <w:numPr>
          <w:ilvl w:val="0"/>
          <w:numId w:val="1021"/>
        </w:numPr>
      </w:pPr>
      <w:r>
        <w:t xml:space="preserve">group financial consolidation,</w:t>
      </w:r>
    </w:p>
    <w:p>
      <w:pPr>
        <w:pStyle w:val="Compact"/>
        <w:numPr>
          <w:ilvl w:val="0"/>
          <w:numId w:val="1021"/>
        </w:numPr>
      </w:pPr>
      <w:r>
        <w:t xml:space="preserve">multi-currency management,</w:t>
      </w:r>
    </w:p>
    <w:p>
      <w:pPr>
        <w:pStyle w:val="Compact"/>
        <w:numPr>
          <w:ilvl w:val="0"/>
          <w:numId w:val="1021"/>
        </w:numPr>
      </w:pPr>
      <w:r>
        <w:t xml:space="preserve">university fee and grant flows,</w:t>
      </w:r>
    </w:p>
    <w:p>
      <w:pPr>
        <w:pStyle w:val="Compact"/>
        <w:numPr>
          <w:ilvl w:val="0"/>
          <w:numId w:val="1021"/>
        </w:numPr>
      </w:pPr>
      <w:r>
        <w:t xml:space="preserve">coaching-specific fee models and refunds.</w:t>
      </w:r>
    </w:p>
    <w:bookmarkEnd w:id="73"/>
    <w:bookmarkStart w:id="74" w:name="module-8-hr-enhancements"/>
    <w:p>
      <w:pPr>
        <w:pStyle w:val="Heading3"/>
      </w:pPr>
      <w:r>
        <w:t xml:space="preserve">Module 8 — HR enhancements</w:t>
      </w:r>
    </w:p>
    <w:p>
      <w:pPr>
        <w:pStyle w:val="Compact"/>
        <w:numPr>
          <w:ilvl w:val="0"/>
          <w:numId w:val="1022"/>
        </w:numPr>
      </w:pPr>
      <w:r>
        <w:t xml:space="preserve">faculty workload management,</w:t>
      </w:r>
    </w:p>
    <w:p>
      <w:pPr>
        <w:pStyle w:val="Compact"/>
        <w:numPr>
          <w:ilvl w:val="0"/>
          <w:numId w:val="1022"/>
        </w:numPr>
      </w:pPr>
      <w:r>
        <w:t xml:space="preserve">multi-campus HR consolidation,</w:t>
      </w:r>
    </w:p>
    <w:p>
      <w:pPr>
        <w:pStyle w:val="Compact"/>
        <w:numPr>
          <w:ilvl w:val="0"/>
          <w:numId w:val="1022"/>
        </w:numPr>
      </w:pPr>
      <w:r>
        <w:t xml:space="preserve">visiting/adjunct faculty flows,</w:t>
      </w:r>
    </w:p>
    <w:p>
      <w:pPr>
        <w:pStyle w:val="Compact"/>
        <w:numPr>
          <w:ilvl w:val="0"/>
          <w:numId w:val="1022"/>
        </w:numPr>
      </w:pPr>
      <w:r>
        <w:t xml:space="preserve">research leave and sabbatical support.</w:t>
      </w:r>
    </w:p>
    <w:bookmarkEnd w:id="74"/>
    <w:bookmarkEnd w:id="75"/>
    <w:bookmarkStart w:id="101" w:name="advanced-modules-2246"/>
    <w:p>
      <w:pPr>
        <w:pStyle w:val="Heading2"/>
      </w:pPr>
      <w:r>
        <w:t xml:space="preserve">7.3 Advanced modules (22–46)</w:t>
      </w:r>
    </w:p>
    <w:bookmarkStart w:id="76" w:name="Xd43ed1384ecd3c7f190dc612f7d1c13d71fd70b"/>
    <w:p>
      <w:pPr>
        <w:pStyle w:val="Heading3"/>
      </w:pPr>
      <w:r>
        <w:t xml:space="preserve">Module 22: Multi-Campus Governance &amp; Group Command Center</w:t>
      </w:r>
    </w:p>
    <w:p>
      <w:pPr>
        <w:pStyle w:val="FirstParagraph"/>
      </w:pPr>
      <w:r>
        <w:t xml:space="preserve">Real-time group KPI dashboard; campus benchmarking; HQ policy engine; cross-campus calendar management; group compliance dashboard; resource rebalancing; shared teacher pools; anonymized comparison; group procurement and insurance tracking.</w:t>
      </w:r>
    </w:p>
    <w:bookmarkEnd w:id="76"/>
    <w:bookmarkStart w:id="77" w:name="module-23-higher-education-core"/>
    <w:p>
      <w:pPr>
        <w:pStyle w:val="Heading3"/>
      </w:pPr>
      <w:r>
        <w:t xml:space="preserve">Module 23: Higher Education Core</w:t>
      </w:r>
    </w:p>
    <w:p>
      <w:pPr>
        <w:pStyle w:val="FirstParagraph"/>
      </w:pPr>
      <w:r>
        <w:t xml:space="preserve">Programme and course catalog; curriculum revision workflows; online registration; academic holds; transfer evaluation; degree audit; faculty portal; examination lifecycle; hostel, clubs, and discipline management.</w:t>
      </w:r>
    </w:p>
    <w:bookmarkEnd w:id="77"/>
    <w:bookmarkStart w:id="78" w:name="module-24-coaching-operations-engine"/>
    <w:p>
      <w:pPr>
        <w:pStyle w:val="Heading3"/>
      </w:pPr>
      <w:r>
        <w:t xml:space="preserve">Module 24: Coaching Operations Engine</w:t>
      </w:r>
    </w:p>
    <w:p>
      <w:pPr>
        <w:pStyle w:val="FirstParagraph"/>
      </w:pPr>
      <w:r>
        <w:t xml:space="preserve">Batch architecture; batch creation wizard; dynamic recomposition; multi-center management; test lifecycle; AI-assisted paper generation; analytics; rank prediction; doubt resolution; material engagement and revision plans.</w:t>
      </w:r>
    </w:p>
    <w:bookmarkEnd w:id="78"/>
    <w:bookmarkStart w:id="79" w:name="module-25-international-operations"/>
    <w:p>
      <w:pPr>
        <w:pStyle w:val="Heading3"/>
      </w:pPr>
      <w:r>
        <w:t xml:space="preserve">Module 25: International Operations</w:t>
      </w:r>
    </w:p>
    <w:p>
      <w:pPr>
        <w:pStyle w:val="FirstParagraph"/>
      </w:pPr>
      <w:r>
        <w:t xml:space="preserve">Live FX and invoicing; FX gain/loss tracking; tax handling; visa tracking; attendance-linked visa alerts; multi-curriculum support; multilingual parent communication; nationality and embassy workflows.</w:t>
      </w:r>
    </w:p>
    <w:bookmarkEnd w:id="79"/>
    <w:bookmarkStart w:id="80" w:name="module-26-research-innovation-management"/>
    <w:p>
      <w:pPr>
        <w:pStyle w:val="Heading3"/>
      </w:pPr>
      <w:r>
        <w:t xml:space="preserve">Module 26: Research &amp; Innovation Management</w:t>
      </w:r>
    </w:p>
    <w:p>
      <w:pPr>
        <w:pStyle w:val="FirstParagraph"/>
      </w:pPr>
      <w:r>
        <w:t xml:space="preserve">Grant repository; grant drafting support; budget utilization; publication repository and metrics; patent management; ethics workflow; data management plans; MoU and PhD progress tracking.</w:t>
      </w:r>
    </w:p>
    <w:bookmarkEnd w:id="80"/>
    <w:bookmarkStart w:id="81" w:name="X145968ec96f483c1d3a71c0dbf1d2f2b1c8307d"/>
    <w:p>
      <w:pPr>
        <w:pStyle w:val="Heading3"/>
      </w:pPr>
      <w:r>
        <w:t xml:space="preserve">Module 27: Accreditation &amp; Quality Management</w:t>
      </w:r>
    </w:p>
    <w:p>
      <w:pPr>
        <w:pStyle w:val="FirstParagraph"/>
      </w:pPr>
      <w:r>
        <w:t xml:space="preserve">Multi-accreditation support; criterion-to-evidence mapping; readiness scoring; evidence engine; SSR template management; collaborative drafting; submission pack assembly; IQAC / AQAR / internal audit support.</w:t>
      </w:r>
    </w:p>
    <w:bookmarkEnd w:id="81"/>
    <w:bookmarkStart w:id="82" w:name="module-28-placement-career-services"/>
    <w:p>
      <w:pPr>
        <w:pStyle w:val="Heading3"/>
      </w:pPr>
      <w:r>
        <w:t xml:space="preserve">Module 28: Placement &amp; Career Services</w:t>
      </w:r>
    </w:p>
    <w:p>
      <w:pPr>
        <w:pStyle w:val="FirstParagraph"/>
      </w:pPr>
      <w:r>
        <w:t xml:space="preserve">Employer CRM; internship and job posting; candidate matching; placement-season scheduling; offer tracking; placement analytics; salary trend reporting; alumni career tracking.</w:t>
      </w:r>
    </w:p>
    <w:bookmarkEnd w:id="82"/>
    <w:bookmarkStart w:id="83" w:name="X40190fe01d13467b92541e160ffadb755c9f3c1"/>
    <w:p>
      <w:pPr>
        <w:pStyle w:val="Heading3"/>
      </w:pPr>
      <w:r>
        <w:t xml:space="preserve">Module 29: Student Financial Aid &amp; Scholarship Management</w:t>
      </w:r>
    </w:p>
    <w:p>
      <w:pPr>
        <w:pStyle w:val="FirstParagraph"/>
      </w:pPr>
      <w:r>
        <w:t xml:space="preserve">Aid application portal; package calculation; government scholarship integration; compliance monitoring; loan coordination; aid renewal automation.</w:t>
      </w:r>
    </w:p>
    <w:bookmarkEnd w:id="83"/>
    <w:bookmarkStart w:id="84" w:name="module-30-digital-learning-integration"/>
    <w:p>
      <w:pPr>
        <w:pStyle w:val="Heading3"/>
      </w:pPr>
      <w:r>
        <w:t xml:space="preserve">Module 30: Digital Learning Integration</w:t>
      </w:r>
    </w:p>
    <w:p>
      <w:pPr>
        <w:pStyle w:val="FirstParagraph"/>
      </w:pPr>
      <w:r>
        <w:t xml:space="preserve">LMS integration; digital content library; video lecture analytics; live-class management; xAPI/learning event analytics; AI tutoring integration; offline sync.</w:t>
      </w:r>
    </w:p>
    <w:bookmarkEnd w:id="84"/>
    <w:bookmarkStart w:id="85" w:name="X4b4be0fe620cb50b44c373dd9a17e0d689508da"/>
    <w:p>
      <w:pPr>
        <w:pStyle w:val="Heading3"/>
      </w:pPr>
      <w:r>
        <w:t xml:space="preserve">Module 31: Enterprise Configuration &amp; White-Labelling</w:t>
      </w:r>
    </w:p>
    <w:p>
      <w:pPr>
        <w:pStyle w:val="FirstParagraph"/>
      </w:pPr>
      <w:r>
        <w:t xml:space="preserve">Branding; module relabeling; feature toggles; workflow customization; report builder; API-first extensibility; data portability controls.</w:t>
      </w:r>
    </w:p>
    <w:bookmarkEnd w:id="85"/>
    <w:bookmarkStart w:id="86" w:name="Xeda44f4ccb442472fb2494bc651da7785e8ba1c"/>
    <w:p>
      <w:pPr>
        <w:pStyle w:val="Heading3"/>
      </w:pPr>
      <w:r>
        <w:t xml:space="preserve">Module 32: Revenue Cycle &amp; Collections Intelligence</w:t>
      </w:r>
    </w:p>
    <w:p>
      <w:pPr>
        <w:pStyle w:val="FirstParagraph"/>
      </w:pPr>
      <w:r>
        <w:t xml:space="preserve">Omnichannel collections; dynamic payment plans; aging and promise-to-pay; DSO dashboards; delinquency journey automation; risk scoring.</w:t>
      </w:r>
    </w:p>
    <w:bookmarkEnd w:id="86"/>
    <w:bookmarkStart w:id="87" w:name="X188fcd3322fde26ab0ebcebbe81963d9a1bb22a"/>
    <w:p>
      <w:pPr>
        <w:pStyle w:val="Heading3"/>
      </w:pPr>
      <w:r>
        <w:t xml:space="preserve">Module 33: Workforce, Timetabling &amp; Capacity Planning</w:t>
      </w:r>
    </w:p>
    <w:p>
      <w:pPr>
        <w:pStyle w:val="FirstParagraph"/>
      </w:pPr>
      <w:r>
        <w:t xml:space="preserve">Workload planning; staffing norms; room/lab/hostel/bus capacity analytics; scenario planning; continuity alerts.</w:t>
      </w:r>
    </w:p>
    <w:bookmarkEnd w:id="87"/>
    <w:bookmarkStart w:id="88" w:name="module-34-alumni-advancement-endowment"/>
    <w:p>
      <w:pPr>
        <w:pStyle w:val="Heading3"/>
      </w:pPr>
      <w:r>
        <w:t xml:space="preserve">Module 34: Alumni, Advancement &amp; Endowment</w:t>
      </w:r>
    </w:p>
    <w:p>
      <w:pPr>
        <w:pStyle w:val="FirstParagraph"/>
      </w:pPr>
      <w:r>
        <w:t xml:space="preserve">Persistent student-to-alumni relationship graph; alumni engagement; donor and campaign management; endowment visibility.</w:t>
      </w:r>
    </w:p>
    <w:bookmarkEnd w:id="88"/>
    <w:bookmarkStart w:id="89" w:name="X6cfcb89405f8658e00339900a0bf1960e229561"/>
    <w:p>
      <w:pPr>
        <w:pStyle w:val="Heading3"/>
      </w:pPr>
      <w:r>
        <w:t xml:space="preserve">Module 35: Government Reporting &amp; Statutory Submissions</w:t>
      </w:r>
    </w:p>
    <w:p>
      <w:pPr>
        <w:pStyle w:val="FirstParagraph"/>
      </w:pPr>
      <w:r>
        <w:t xml:space="preserve">Filing packs; source-to-report traceability; public funding monitoring; audit and inspection pack generation.</w:t>
      </w:r>
    </w:p>
    <w:bookmarkEnd w:id="89"/>
    <w:bookmarkStart w:id="90" w:name="Xaebc90199753d09c9ff2d9b304d1d081c419e47"/>
    <w:p>
      <w:pPr>
        <w:pStyle w:val="Heading3"/>
      </w:pPr>
      <w:r>
        <w:t xml:space="preserve">Module 36: Marketplace, Ecosystem &amp; Partner Services</w:t>
      </w:r>
    </w:p>
    <w:p>
      <w:pPr>
        <w:pStyle w:val="FirstParagraph"/>
      </w:pPr>
      <w:r>
        <w:t xml:space="preserve">Configurable partner marketplace; vendor onboarding; partner SLA and satisfaction scorecards; franchise governance; revenue-share logic.</w:t>
      </w:r>
    </w:p>
    <w:bookmarkEnd w:id="90"/>
    <w:bookmarkStart w:id="91" w:name="X78e007e4aff75b35ed7661882e798ce659bb712"/>
    <w:p>
      <w:pPr>
        <w:pStyle w:val="Heading3"/>
      </w:pPr>
      <w:r>
        <w:t xml:space="preserve">Module 37: Comprehensive Learner Record, Skills Wallet &amp; Employability Network</w:t>
      </w:r>
    </w:p>
    <w:p>
      <w:pPr>
        <w:pStyle w:val="FirstParagraph"/>
      </w:pPr>
      <w:r>
        <w:t xml:space="preserve">Lifelong learner profile; competency/evidence mapping; portable evidence packs; employer-facing verified talent pools; credential wallet.</w:t>
      </w:r>
    </w:p>
    <w:bookmarkEnd w:id="91"/>
    <w:bookmarkStart w:id="92" w:name="X7ce8746cfc0e9f1ed9f69eddd10c65043eb02c0"/>
    <w:p>
      <w:pPr>
        <w:pStyle w:val="Heading3"/>
      </w:pPr>
      <w:r>
        <w:t xml:space="preserve">Module 38: Payment Orchestration, Treasury &amp; Reconciliation</w:t>
      </w:r>
    </w:p>
    <w:p>
      <w:pPr>
        <w:pStyle w:val="FirstParagraph"/>
      </w:pPr>
      <w:r>
        <w:t xml:space="preserve">Omnichannel collections; split tender; gateway routing; retries, reversals, disputes, refunds, chargebacks; auto-reconciliation; treasury dashboards.</w:t>
      </w:r>
    </w:p>
    <w:bookmarkEnd w:id="92"/>
    <w:bookmarkStart w:id="93" w:name="X51fc75db9c229ac35c17d868f0cd3439ecddfac"/>
    <w:p>
      <w:pPr>
        <w:pStyle w:val="Heading3"/>
      </w:pPr>
      <w:r>
        <w:t xml:space="preserve">Module 39: K-12 Safeguarding, School Safety &amp; Threat Response</w:t>
      </w:r>
    </w:p>
    <w:p>
      <w:pPr>
        <w:pStyle w:val="FirstParagraph"/>
      </w:pPr>
      <w:r>
        <w:t xml:space="preserve">Concern intake; severity scoring; safeguarding timeline; anonymous threat intake; family communication; break-glass access.</w:t>
      </w:r>
    </w:p>
    <w:bookmarkEnd w:id="93"/>
    <w:bookmarkStart w:id="94" w:name="X56ad5c246aac52c2a2c5f232cd6e89595d13dbb"/>
    <w:p>
      <w:pPr>
        <w:pStyle w:val="Heading3"/>
      </w:pPr>
      <w:r>
        <w:t xml:space="preserve">Module 40: Professional Licensure, State Authorization &amp; Regulated Programmes</w:t>
      </w:r>
    </w:p>
    <w:p>
      <w:pPr>
        <w:pStyle w:val="FirstParagraph"/>
      </w:pPr>
      <w:r>
        <w:t xml:space="preserve">Jurisdiction mapping; delivery-permission logic; clinical/practicum compliance; renewals and exception logging.</w:t>
      </w:r>
    </w:p>
    <w:bookmarkEnd w:id="94"/>
    <w:bookmarkStart w:id="95" w:name="X168a988944a05df0af234a42c2f27744b6bdae5"/>
    <w:p>
      <w:pPr>
        <w:pStyle w:val="Heading3"/>
      </w:pPr>
      <w:r>
        <w:t xml:space="preserve">Module 41: Standards, Certification &amp; Credential Trust Layer</w:t>
      </w:r>
    </w:p>
    <w:p>
      <w:pPr>
        <w:pStyle w:val="FirstParagraph"/>
      </w:pPr>
      <w:r>
        <w:t xml:space="preserve">Credential issuance; registrar controls for correction/revocation/reissue; verification endpoints; learner-controlled sharing; multi-issuer bundle assembly; evidence-linked credential objects; trust policy engine.</w:t>
      </w:r>
    </w:p>
    <w:bookmarkEnd w:id="95"/>
    <w:bookmarkStart w:id="96" w:name="module-42-india-public-education-rails"/>
    <w:p>
      <w:pPr>
        <w:pStyle w:val="Heading3"/>
      </w:pPr>
      <w:r>
        <w:t xml:space="preserve">Module 42: India Public Education Rails</w:t>
      </w:r>
    </w:p>
    <w:p>
      <w:pPr>
        <w:pStyle w:val="FirstParagraph"/>
      </w:pPr>
      <w:r>
        <w:t xml:space="preserve">Identity storage/validation; mapping and consent checks; credit push/pull/reconciliation; award publishing and status tracking; retry queues; learner visibility; mismatch dashboards.</w:t>
      </w:r>
    </w:p>
    <w:bookmarkEnd w:id="96"/>
    <w:bookmarkStart w:id="97" w:name="X33be6d9af0fd548603a24a8a889e42148050bdd"/>
    <w:p>
      <w:pPr>
        <w:pStyle w:val="Heading3"/>
      </w:pPr>
      <w:r>
        <w:t xml:space="preserve">Module 43: Trust, Procurement &amp; Evidence Pack</w:t>
      </w:r>
    </w:p>
    <w:p>
      <w:pPr>
        <w:pStyle w:val="FirstParagraph"/>
      </w:pPr>
      <w:r>
        <w:t xml:space="preserve">Trust-center portal; artifact versioning; shared responsibility views; subprocessor disclosure; customer-specific evidence rooms; procurement questionnaire workspace; redaction and review controls.</w:t>
      </w:r>
    </w:p>
    <w:bookmarkEnd w:id="97"/>
    <w:bookmarkStart w:id="98" w:name="Xe8bc62803edb0f773c61cfdf7ed4113b982cc7a"/>
    <w:p>
      <w:pPr>
        <w:pStyle w:val="Heading3"/>
      </w:pPr>
      <w:r>
        <w:t xml:space="preserve">Module 44: Student Success Case Management &amp; Coordinated Care</w:t>
      </w:r>
    </w:p>
    <w:p>
      <w:pPr>
        <w:pStyle w:val="FirstParagraph"/>
      </w:pPr>
      <w:r>
        <w:t xml:space="preserve">Unified case object; care plans and referrals; assignment and SLA rules; consent handling; closure evidence; escalation; intervention analytics.</w:t>
      </w:r>
    </w:p>
    <w:bookmarkEnd w:id="98"/>
    <w:bookmarkStart w:id="99" w:name="Xcc742ede39208808d49283089605310cd3afdb1"/>
    <w:p>
      <w:pPr>
        <w:pStyle w:val="Heading3"/>
      </w:pPr>
      <w:r>
        <w:t xml:space="preserve">Module 45: Continuing Education, Executive Education &amp; Non-Degree Commerce</w:t>
      </w:r>
    </w:p>
    <w:p>
      <w:pPr>
        <w:pStyle w:val="FirstParagraph"/>
      </w:pPr>
      <w:r>
        <w:t xml:space="preserve">Non-degree catalog; cohort setup; sponsor contracts and invoices; instructor payouts; stackable credential logic; revenue and margin analytics; corporate reporting.</w:t>
      </w:r>
    </w:p>
    <w:bookmarkEnd w:id="99"/>
    <w:bookmarkStart w:id="100" w:name="Xe21126315d3fb81078b048808aa8a345029f870"/>
    <w:p>
      <w:pPr>
        <w:pStyle w:val="Heading3"/>
      </w:pPr>
      <w:r>
        <w:t xml:space="preserve">Module 46: Benchmarking Network &amp; Privacy-Safe Sector Intelligence</w:t>
      </w:r>
    </w:p>
    <w:p>
      <w:pPr>
        <w:pStyle w:val="FirstParagraph"/>
      </w:pPr>
      <w:r>
        <w:t xml:space="preserve">Opt-in governance; KPI normalization; anonymization controls; peer cohort configuration; executive dashboards; insight packs; participation analytics.</w:t>
      </w:r>
    </w:p>
    <w:bookmarkEnd w:id="100"/>
    <w:bookmarkEnd w:id="101"/>
    <w:bookmarkStart w:id="102" w:name="module-execution-framework"/>
    <w:p>
      <w:pPr>
        <w:pStyle w:val="Heading2"/>
      </w:pPr>
      <w:r>
        <w:t xml:space="preserve">7.4 Module execution framework</w:t>
      </w:r>
    </w:p>
    <w:p>
      <w:pPr>
        <w:pStyle w:val="FirstParagraph"/>
      </w:pPr>
      <w:r>
        <w:t xml:space="preserve">Every Tier 1 and Tier 2 module must include:</w:t>
      </w:r>
      <w:r>
        <w:t xml:space="preserve"> </w:t>
      </w:r>
      <w:r>
        <w:t xml:space="preserve">- user stories,</w:t>
      </w:r>
      <w:r>
        <w:t xml:space="preserve"> </w:t>
      </w:r>
      <w:r>
        <w:t xml:space="preserve">- acceptance criteria,</w:t>
      </w:r>
      <w:r>
        <w:t xml:space="preserve"> </w:t>
      </w:r>
      <w:r>
        <w:t xml:space="preserve">- dependencies,</w:t>
      </w:r>
      <w:r>
        <w:t xml:space="preserve"> </w:t>
      </w:r>
      <w:r>
        <w:t xml:space="preserve">- out-of-scope boundaries,</w:t>
      </w:r>
      <w:r>
        <w:t xml:space="preserve"> </w:t>
      </w:r>
      <w:r>
        <w:t xml:space="preserve">- owner model,</w:t>
      </w:r>
      <w:r>
        <w:t xml:space="preserve"> </w:t>
      </w:r>
      <w:r>
        <w:t xml:space="preserve">- release phase,</w:t>
      </w:r>
      <w:r>
        <w:t xml:space="preserve"> </w:t>
      </w:r>
      <w:r>
        <w:t xml:space="preserve">- implementation prerequisites,</w:t>
      </w:r>
      <w:r>
        <w:t xml:space="preserve"> </w:t>
      </w:r>
      <w:r>
        <w:t xml:space="preserve">- reporting and KPI linkage.</w:t>
      </w:r>
    </w:p>
    <w:bookmarkEnd w:id="102"/>
    <w:bookmarkStart w:id="103" w:name="strategic-module-execution-matrix"/>
    <w:p>
      <w:pPr>
        <w:pStyle w:val="Heading2"/>
      </w:pPr>
      <w:r>
        <w:t xml:space="preserve">7.5 Strategic module execution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Module</w:t>
            </w:r>
          </w:p>
        </w:tc>
        <w:tc>
          <w:tcPr/>
          <w:p>
            <w:pPr>
              <w:pStyle w:val="Compact"/>
              <w:jc w:val="left"/>
            </w:pPr>
            <w:r>
              <w:t xml:space="preserve">Core User Story</w:t>
            </w:r>
          </w:p>
        </w:tc>
        <w:tc>
          <w:tcPr/>
          <w:p>
            <w:pPr>
              <w:pStyle w:val="Compact"/>
              <w:jc w:val="left"/>
            </w:pPr>
            <w:r>
              <w:t xml:space="preserve">Acceptance Gate</w:t>
            </w:r>
          </w:p>
        </w:tc>
        <w:tc>
          <w:tcPr/>
          <w:p>
            <w:pPr>
              <w:pStyle w:val="Compact"/>
              <w:jc w:val="left"/>
            </w:pPr>
            <w:r>
              <w:t xml:space="preserve">Dependencies</w:t>
            </w:r>
          </w:p>
        </w:tc>
        <w:tc>
          <w:tcPr/>
          <w:p>
            <w:pPr>
              <w:pStyle w:val="Compact"/>
              <w:jc w:val="left"/>
            </w:pPr>
            <w:r>
              <w:t xml:space="preserve">Out of Scope</w:t>
            </w:r>
          </w:p>
        </w:tc>
        <w:tc>
          <w:tcPr/>
          <w:p>
            <w:pPr>
              <w:pStyle w:val="Compact"/>
              <w:jc w:val="left"/>
            </w:pPr>
            <w:r>
              <w:t xml:space="preserve">Phase</w:t>
            </w:r>
          </w:p>
        </w:tc>
        <w:tc>
          <w:tcPr/>
          <w:p>
            <w:pPr>
              <w:pStyle w:val="Compact"/>
              <w:jc w:val="left"/>
            </w:pPr>
            <w:r>
              <w:t xml:space="preserve">KPI Linkage</w:t>
            </w:r>
          </w:p>
        </w:tc>
      </w:tr>
      <w:tr>
        <w:tc>
          <w:tcPr/>
          <w:p>
            <w:pPr>
              <w:pStyle w:val="Compact"/>
              <w:jc w:val="left"/>
            </w:pPr>
            <w:r>
              <w:t xml:space="preserve">22 Multi-Campus Governance</w:t>
            </w:r>
          </w:p>
        </w:tc>
        <w:tc>
          <w:tcPr/>
          <w:p>
            <w:pPr>
              <w:pStyle w:val="Compact"/>
              <w:jc w:val="left"/>
            </w:pPr>
            <w:r>
              <w:t xml:space="preserve">policy and KPI visibility across campuses</w:t>
            </w:r>
          </w:p>
        </w:tc>
        <w:tc>
          <w:tcPr/>
          <w:p>
            <w:pPr>
              <w:pStyle w:val="Compact"/>
              <w:jc w:val="left"/>
            </w:pPr>
            <w:r>
              <w:t xml:space="preserve">policy push audited; dashboard within SLA; override restrictions enforced</w:t>
            </w:r>
          </w:p>
        </w:tc>
        <w:tc>
          <w:tcPr/>
          <w:p>
            <w:pPr>
              <w:pStyle w:val="Compact"/>
              <w:jc w:val="left"/>
            </w:pPr>
            <w:r>
              <w:t xml:space="preserve">hierarchy, roles, KPI normalization, audit log</w:t>
            </w:r>
          </w:p>
        </w:tc>
        <w:tc>
          <w:tcPr/>
          <w:p>
            <w:pPr>
              <w:pStyle w:val="Compact"/>
              <w:jc w:val="left"/>
            </w:pPr>
            <w:r>
              <w:t xml:space="preserve">bespoke campus-only engines</w:t>
            </w:r>
          </w:p>
        </w:tc>
        <w:tc>
          <w:tcPr/>
          <w:p>
            <w:pPr>
              <w:pStyle w:val="Compact"/>
              <w:jc w:val="left"/>
            </w:pPr>
            <w:r>
              <w:t xml:space="preserve">Phase 1–2</w:t>
            </w:r>
          </w:p>
        </w:tc>
        <w:tc>
          <w:tcPr/>
          <w:p>
            <w:pPr>
              <w:pStyle w:val="Compact"/>
              <w:jc w:val="left"/>
            </w:pPr>
            <w:r>
              <w:t xml:space="preserve">dashboard latency, policy compliance</w:t>
            </w:r>
          </w:p>
        </w:tc>
      </w:tr>
      <w:tr>
        <w:tc>
          <w:tcPr/>
          <w:p>
            <w:pPr>
              <w:pStyle w:val="Compact"/>
              <w:jc w:val="left"/>
            </w:pPr>
            <w:r>
              <w:t xml:space="preserve">23 Higher Education Core</w:t>
            </w:r>
          </w:p>
        </w:tc>
        <w:tc>
          <w:tcPr/>
          <w:p>
            <w:pPr>
              <w:pStyle w:val="Compact"/>
              <w:jc w:val="left"/>
            </w:pPr>
            <w:r>
              <w:t xml:space="preserve">transfer, registration, degree audit, exams in one system</w:t>
            </w:r>
          </w:p>
        </w:tc>
        <w:tc>
          <w:tcPr/>
          <w:p>
            <w:pPr>
              <w:pStyle w:val="Compact"/>
              <w:jc w:val="left"/>
            </w:pPr>
            <w:r>
              <w:t xml:space="preserve">role-based approvals working for core registrar flows</w:t>
            </w:r>
          </w:p>
        </w:tc>
        <w:tc>
          <w:tcPr/>
          <w:p>
            <w:pPr>
              <w:pStyle w:val="Compact"/>
              <w:jc w:val="left"/>
            </w:pPr>
            <w:r>
              <w:t xml:space="preserve">learner graph, course model, roles, audit</w:t>
            </w:r>
          </w:p>
        </w:tc>
        <w:tc>
          <w:tcPr/>
          <w:p>
            <w:pPr>
              <w:pStyle w:val="Compact"/>
              <w:jc w:val="left"/>
            </w:pPr>
            <w:r>
              <w:t xml:space="preserve">bespoke registrar logic outside product model</w:t>
            </w:r>
          </w:p>
        </w:tc>
        <w:tc>
          <w:tcPr/>
          <w:p>
            <w:pPr>
              <w:pStyle w:val="Compact"/>
              <w:jc w:val="left"/>
            </w:pPr>
            <w:r>
              <w:t xml:space="preserve">Phase 1–3</w:t>
            </w:r>
          </w:p>
        </w:tc>
        <w:tc>
          <w:tcPr/>
          <w:p>
            <w:pPr>
              <w:pStyle w:val="Compact"/>
              <w:jc w:val="left"/>
            </w:pPr>
            <w:r>
              <w:t xml:space="preserve">transcript TAT, transfer cycle time</w:t>
            </w:r>
          </w:p>
        </w:tc>
      </w:tr>
      <w:tr>
        <w:tc>
          <w:tcPr/>
          <w:p>
            <w:pPr>
              <w:pStyle w:val="Compact"/>
              <w:jc w:val="left"/>
            </w:pPr>
            <w:r>
              <w:t xml:space="preserve">38 Payment Orchestration</w:t>
            </w:r>
          </w:p>
        </w:tc>
        <w:tc>
          <w:tcPr/>
          <w:p>
            <w:pPr>
              <w:pStyle w:val="Compact"/>
              <w:jc w:val="left"/>
            </w:pPr>
            <w:r>
              <w:t xml:space="preserve">unified collections and reconciliation visibility</w:t>
            </w:r>
          </w:p>
        </w:tc>
        <w:tc>
          <w:tcPr/>
          <w:p>
            <w:pPr>
              <w:pStyle w:val="Compact"/>
              <w:jc w:val="left"/>
            </w:pPr>
            <w:r>
              <w:t xml:space="preserve">split-tender, retry, refund, exception queues operating daily</w:t>
            </w:r>
          </w:p>
        </w:tc>
        <w:tc>
          <w:tcPr/>
          <w:p>
            <w:pPr>
              <w:pStyle w:val="Compact"/>
              <w:jc w:val="left"/>
            </w:pPr>
            <w:r>
              <w:t xml:space="preserve">ledger, gateway integrations, treasury model, security</w:t>
            </w:r>
          </w:p>
        </w:tc>
        <w:tc>
          <w:tcPr/>
          <w:p>
            <w:pPr>
              <w:pStyle w:val="Compact"/>
              <w:jc w:val="left"/>
            </w:pPr>
            <w:r>
              <w:t xml:space="preserve">custom bank settlement models without connector support</w:t>
            </w:r>
          </w:p>
        </w:tc>
        <w:tc>
          <w:tcPr/>
          <w:p>
            <w:pPr>
              <w:pStyle w:val="Compact"/>
              <w:jc w:val="left"/>
            </w:pPr>
            <w:r>
              <w:t xml:space="preserve">Phase 1–2</w:t>
            </w:r>
          </w:p>
        </w:tc>
        <w:tc>
          <w:tcPr/>
          <w:p>
            <w:pPr>
              <w:pStyle w:val="Compact"/>
              <w:jc w:val="left"/>
            </w:pPr>
            <w:r>
              <w:t xml:space="preserve">DSO, exception aging</w:t>
            </w:r>
          </w:p>
        </w:tc>
      </w:tr>
      <w:tr>
        <w:tc>
          <w:tcPr/>
          <w:p>
            <w:pPr>
              <w:pStyle w:val="Compact"/>
              <w:jc w:val="left"/>
            </w:pPr>
            <w:r>
              <w:t xml:space="preserve">41 Credential Trust</w:t>
            </w:r>
          </w:p>
        </w:tc>
        <w:tc>
          <w:tcPr/>
          <w:p>
            <w:pPr>
              <w:pStyle w:val="Compact"/>
              <w:jc w:val="left"/>
            </w:pPr>
            <w:r>
              <w:t xml:space="preserve">issue and revoke trusted digital records</w:t>
            </w:r>
          </w:p>
        </w:tc>
        <w:tc>
          <w:tcPr/>
          <w:p>
            <w:pPr>
              <w:pStyle w:val="Compact"/>
              <w:jc w:val="left"/>
            </w:pPr>
            <w:r>
              <w:t xml:space="preserve">audited issue/revoke/supersede events; verifier and sharing flows live</w:t>
            </w:r>
          </w:p>
        </w:tc>
        <w:tc>
          <w:tcPr/>
          <w:p>
            <w:pPr>
              <w:pStyle w:val="Compact"/>
              <w:jc w:val="left"/>
            </w:pPr>
            <w:r>
              <w:t xml:space="preserve">learner graph, consent, issuer policy, audit log</w:t>
            </w:r>
          </w:p>
        </w:tc>
        <w:tc>
          <w:tcPr/>
          <w:p>
            <w:pPr>
              <w:pStyle w:val="Compact"/>
              <w:jc w:val="left"/>
            </w:pPr>
            <w:r>
              <w:t xml:space="preserve">unsupported credential formats outside policy</w:t>
            </w:r>
          </w:p>
        </w:tc>
        <w:tc>
          <w:tcPr/>
          <w:p>
            <w:pPr>
              <w:pStyle w:val="Compact"/>
              <w:jc w:val="left"/>
            </w:pPr>
            <w:r>
              <w:t xml:space="preserve">Phase 2–3</w:t>
            </w:r>
          </w:p>
        </w:tc>
        <w:tc>
          <w:tcPr/>
          <w:p>
            <w:pPr>
              <w:pStyle w:val="Compact"/>
              <w:jc w:val="left"/>
            </w:pPr>
            <w:r>
              <w:t xml:space="preserve">verification success, correction rate</w:t>
            </w:r>
          </w:p>
        </w:tc>
      </w:tr>
      <w:tr>
        <w:tc>
          <w:tcPr/>
          <w:p>
            <w:pPr>
              <w:pStyle w:val="Compact"/>
              <w:jc w:val="left"/>
            </w:pPr>
            <w:r>
              <w:t xml:space="preserve">42 India Rails</w:t>
            </w:r>
          </w:p>
        </w:tc>
        <w:tc>
          <w:tcPr/>
          <w:p>
            <w:pPr>
              <w:pStyle w:val="Compact"/>
              <w:jc w:val="left"/>
            </w:pPr>
            <w:r>
              <w:t xml:space="preserve">institution-controlled sync and reconciliation</w:t>
            </w:r>
          </w:p>
        </w:tc>
        <w:tc>
          <w:tcPr/>
          <w:p>
            <w:pPr>
              <w:pStyle w:val="Compact"/>
              <w:jc w:val="left"/>
            </w:pPr>
            <w:r>
              <w:t xml:space="preserve">mapping, queue, retry, status dashboard, mismatch workflow live</w:t>
            </w:r>
          </w:p>
        </w:tc>
        <w:tc>
          <w:tcPr/>
          <w:p>
            <w:pPr>
              <w:pStyle w:val="Compact"/>
              <w:jc w:val="left"/>
            </w:pPr>
            <w:r>
              <w:t xml:space="preserve">identity mapping, registrar controls, integration engine</w:t>
            </w:r>
          </w:p>
        </w:tc>
        <w:tc>
          <w:tcPr/>
          <w:p>
            <w:pPr>
              <w:pStyle w:val="Compact"/>
              <w:jc w:val="left"/>
            </w:pPr>
            <w:r>
              <w:t xml:space="preserve">unsupported government-specific behaviors</w:t>
            </w:r>
          </w:p>
        </w:tc>
        <w:tc>
          <w:tcPr/>
          <w:p>
            <w:pPr>
              <w:pStyle w:val="Compact"/>
              <w:jc w:val="left"/>
            </w:pPr>
            <w:r>
              <w:t xml:space="preserve">Phase 2–3</w:t>
            </w:r>
          </w:p>
        </w:tc>
        <w:tc>
          <w:tcPr/>
          <w:p>
            <w:pPr>
              <w:pStyle w:val="Compact"/>
              <w:jc w:val="left"/>
            </w:pPr>
            <w:r>
              <w:t xml:space="preserve">sync success, mismatch aging</w:t>
            </w:r>
          </w:p>
        </w:tc>
      </w:tr>
      <w:tr>
        <w:tc>
          <w:tcPr/>
          <w:p>
            <w:pPr>
              <w:pStyle w:val="Compact"/>
              <w:jc w:val="left"/>
            </w:pPr>
            <w:r>
              <w:t xml:space="preserve">43 Trust &amp; Procurement</w:t>
            </w:r>
          </w:p>
        </w:tc>
        <w:tc>
          <w:tcPr/>
          <w:p>
            <w:pPr>
              <w:pStyle w:val="Compact"/>
              <w:jc w:val="left"/>
            </w:pPr>
            <w:r>
              <w:t xml:space="preserve">reusable evidence packs and controlled access</w:t>
            </w:r>
          </w:p>
        </w:tc>
        <w:tc>
          <w:tcPr/>
          <w:p>
            <w:pPr>
              <w:pStyle w:val="Compact"/>
              <w:jc w:val="left"/>
            </w:pPr>
            <w:r>
              <w:t xml:space="preserve">versioned evidence room and responsibility matrices</w:t>
            </w:r>
          </w:p>
        </w:tc>
        <w:tc>
          <w:tcPr/>
          <w:p>
            <w:pPr>
              <w:pStyle w:val="Compact"/>
              <w:jc w:val="left"/>
            </w:pPr>
            <w:r>
              <w:t xml:space="preserve">audit evidence, policy library, trust ownership</w:t>
            </w:r>
          </w:p>
        </w:tc>
        <w:tc>
          <w:tcPr/>
          <w:p>
            <w:pPr>
              <w:pStyle w:val="Compact"/>
              <w:jc w:val="left"/>
            </w:pPr>
            <w:r>
              <w:t xml:space="preserve">bespoke questionnaires outside reuse model</w:t>
            </w:r>
          </w:p>
        </w:tc>
        <w:tc>
          <w:tcPr/>
          <w:p>
            <w:pPr>
              <w:pStyle w:val="Compact"/>
              <w:jc w:val="left"/>
            </w:pPr>
            <w:r>
              <w:t xml:space="preserve">Phase 1</w:t>
            </w:r>
          </w:p>
        </w:tc>
        <w:tc>
          <w:tcPr/>
          <w:p>
            <w:pPr>
              <w:pStyle w:val="Compact"/>
              <w:jc w:val="left"/>
            </w:pPr>
            <w:r>
              <w:t xml:space="preserve">procurement cycle time</w:t>
            </w:r>
          </w:p>
        </w:tc>
      </w:tr>
      <w:tr>
        <w:tc>
          <w:tcPr/>
          <w:p>
            <w:pPr>
              <w:pStyle w:val="Compact"/>
              <w:jc w:val="left"/>
            </w:pPr>
            <w:r>
              <w:t xml:space="preserve">44 Student Success</w:t>
            </w:r>
          </w:p>
        </w:tc>
        <w:tc>
          <w:tcPr/>
          <w:p>
            <w:pPr>
              <w:pStyle w:val="Compact"/>
              <w:jc w:val="left"/>
            </w:pPr>
            <w:r>
              <w:t xml:space="preserve">coordinated intervention workflows</w:t>
            </w:r>
          </w:p>
        </w:tc>
        <w:tc>
          <w:tcPr/>
          <w:p>
            <w:pPr>
              <w:pStyle w:val="Compact"/>
              <w:jc w:val="left"/>
            </w:pPr>
            <w:r>
              <w:t xml:space="preserve">case object, SLA routing, recurrence triggers live</w:t>
            </w:r>
          </w:p>
        </w:tc>
        <w:tc>
          <w:tcPr/>
          <w:p>
            <w:pPr>
              <w:pStyle w:val="Compact"/>
              <w:jc w:val="left"/>
            </w:pPr>
            <w:r>
              <w:t xml:space="preserve">signal ingestion, case model, permissions, notifications</w:t>
            </w:r>
          </w:p>
        </w:tc>
        <w:tc>
          <w:tcPr/>
          <w:p>
            <w:pPr>
              <w:pStyle w:val="Compact"/>
              <w:jc w:val="left"/>
            </w:pPr>
            <w:r>
              <w:t xml:space="preserve">free-form counseling outside governed case model</w:t>
            </w:r>
          </w:p>
        </w:tc>
        <w:tc>
          <w:tcPr/>
          <w:p>
            <w:pPr>
              <w:pStyle w:val="Compact"/>
              <w:jc w:val="left"/>
            </w:pPr>
            <w:r>
              <w:t xml:space="preserve">Phase 2</w:t>
            </w:r>
          </w:p>
        </w:tc>
        <w:tc>
          <w:tcPr/>
          <w:p>
            <w:pPr>
              <w:pStyle w:val="Compact"/>
              <w:jc w:val="left"/>
            </w:pPr>
            <w:r>
              <w:t xml:space="preserve">time-to-first-intervention, closure rate</w:t>
            </w:r>
          </w:p>
        </w:tc>
      </w:tr>
      <w:tr>
        <w:tc>
          <w:tcPr/>
          <w:p>
            <w:pPr>
              <w:pStyle w:val="Compact"/>
              <w:jc w:val="left"/>
            </w:pPr>
            <w:r>
              <w:t xml:space="preserve">45 Continuing Education</w:t>
            </w:r>
          </w:p>
        </w:tc>
        <w:tc>
          <w:tcPr/>
          <w:p>
            <w:pPr>
              <w:pStyle w:val="Compact"/>
              <w:jc w:val="left"/>
            </w:pPr>
            <w:r>
              <w:t xml:space="preserve">cohort commerce and sponsor billing</w:t>
            </w:r>
          </w:p>
        </w:tc>
        <w:tc>
          <w:tcPr/>
          <w:p>
            <w:pPr>
              <w:pStyle w:val="Compact"/>
              <w:jc w:val="left"/>
            </w:pPr>
            <w:r>
              <w:t xml:space="preserve">catalog, cohort, invoicing, credential issue, revenue dashboard operating</w:t>
            </w:r>
          </w:p>
        </w:tc>
        <w:tc>
          <w:tcPr/>
          <w:p>
            <w:pPr>
              <w:pStyle w:val="Compact"/>
              <w:jc w:val="left"/>
            </w:pPr>
            <w:r>
              <w:t xml:space="preserve">commerce engine, contract model, finance integration, credential engine</w:t>
            </w:r>
          </w:p>
        </w:tc>
        <w:tc>
          <w:tcPr/>
          <w:p>
            <w:pPr>
              <w:pStyle w:val="Compact"/>
              <w:jc w:val="left"/>
            </w:pPr>
            <w:r>
              <w:t xml:space="preserve">bespoke CLM outside CE scope</w:t>
            </w:r>
          </w:p>
        </w:tc>
        <w:tc>
          <w:tcPr/>
          <w:p>
            <w:pPr>
              <w:pStyle w:val="Compact"/>
              <w:jc w:val="left"/>
            </w:pPr>
            <w:r>
              <w:t xml:space="preserve">Phase 3</w:t>
            </w:r>
          </w:p>
        </w:tc>
        <w:tc>
          <w:tcPr/>
          <w:p>
            <w:pPr>
              <w:pStyle w:val="Compact"/>
              <w:jc w:val="left"/>
            </w:pPr>
            <w:r>
              <w:t xml:space="preserve">renewal rate, sponsor billing accuracy</w:t>
            </w:r>
          </w:p>
        </w:tc>
      </w:tr>
      <w:tr>
        <w:tc>
          <w:tcPr/>
          <w:p>
            <w:pPr>
              <w:pStyle w:val="Compact"/>
              <w:jc w:val="left"/>
            </w:pPr>
            <w:r>
              <w:t xml:space="preserve">46 Benchmarking</w:t>
            </w:r>
          </w:p>
        </w:tc>
        <w:tc>
          <w:tcPr/>
          <w:p>
            <w:pPr>
              <w:pStyle w:val="Compact"/>
              <w:jc w:val="left"/>
            </w:pPr>
            <w:r>
              <w:t xml:space="preserve">privacy-safe peer comparison</w:t>
            </w:r>
          </w:p>
        </w:tc>
        <w:tc>
          <w:tcPr/>
          <w:p>
            <w:pPr>
              <w:pStyle w:val="Compact"/>
              <w:jc w:val="left"/>
            </w:pPr>
            <w:r>
              <w:t xml:space="preserve">opt-in governance, normalization, anonymization, peer dashboard</w:t>
            </w:r>
          </w:p>
        </w:tc>
        <w:tc>
          <w:tcPr/>
          <w:p>
            <w:pPr>
              <w:pStyle w:val="Compact"/>
              <w:jc w:val="left"/>
            </w:pPr>
            <w:r>
              <w:t xml:space="preserve">KPI dictionary, normalization, privacy, participation model</w:t>
            </w:r>
          </w:p>
        </w:tc>
        <w:tc>
          <w:tcPr/>
          <w:p>
            <w:pPr>
              <w:pStyle w:val="Compact"/>
              <w:jc w:val="left"/>
            </w:pPr>
            <w:r>
              <w:t xml:space="preserve">mandatory data sharing without explicit participation rules</w:t>
            </w:r>
          </w:p>
        </w:tc>
        <w:tc>
          <w:tcPr/>
          <w:p>
            <w:pPr>
              <w:pStyle w:val="Compact"/>
              <w:jc w:val="left"/>
            </w:pPr>
            <w:r>
              <w:t xml:space="preserve">Phase 4</w:t>
            </w:r>
          </w:p>
        </w:tc>
        <w:tc>
          <w:tcPr/>
          <w:p>
            <w:pPr>
              <w:pStyle w:val="Compact"/>
              <w:jc w:val="left"/>
            </w:pPr>
            <w:r>
              <w:t xml:space="preserve">participation rate, insight usage</w:t>
            </w:r>
          </w:p>
        </w:tc>
      </w:tr>
    </w:tbl>
    <w:bookmarkEnd w:id="103"/>
    <w:bookmarkEnd w:id="104"/>
    <w:bookmarkStart w:id="109" w:name="governance-roles-decision-controls"/>
    <w:p>
      <w:pPr>
        <w:pStyle w:val="Heading1"/>
      </w:pPr>
      <w:r>
        <w:t xml:space="preserve">8. Governance, Roles &amp; Decision Controls</w:t>
      </w:r>
    </w:p>
    <w:bookmarkStart w:id="105" w:name="governance-model"/>
    <w:p>
      <w:pPr>
        <w:pStyle w:val="Heading2"/>
      </w:pPr>
      <w:r>
        <w:t xml:space="preserve">8.1 Governance model</w:t>
      </w:r>
    </w:p>
    <w:p>
      <w:pPr>
        <w:pStyle w:val="FirstParagraph"/>
      </w:pPr>
      <w:r>
        <w:t xml:space="preserve">ScholarMind v6 introduces an explicit control structure for operational, academic, financial, safety, and AI-enabled actions.</w:t>
      </w:r>
    </w:p>
    <w:bookmarkEnd w:id="105"/>
    <w:bookmarkStart w:id="106" w:name="core-role-matrix"/>
    <w:p>
      <w:pPr>
        <w:pStyle w:val="Heading2"/>
      </w:pPr>
      <w:r>
        <w:t xml:space="preserve">8.2 Core role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Role</w:t>
            </w:r>
          </w:p>
        </w:tc>
        <w:tc>
          <w:tcPr/>
          <w:p>
            <w:pPr>
              <w:pStyle w:val="Compact"/>
              <w:jc w:val="left"/>
            </w:pPr>
            <w:r>
              <w:t xml:space="preserve">Can View</w:t>
            </w:r>
          </w:p>
        </w:tc>
        <w:tc>
          <w:tcPr/>
          <w:p>
            <w:pPr>
              <w:pStyle w:val="Compact"/>
              <w:jc w:val="left"/>
            </w:pPr>
            <w:r>
              <w:t xml:space="preserve">Can Edit</w:t>
            </w:r>
          </w:p>
        </w:tc>
        <w:tc>
          <w:tcPr/>
          <w:p>
            <w:pPr>
              <w:pStyle w:val="Compact"/>
              <w:jc w:val="left"/>
            </w:pPr>
            <w:r>
              <w:t xml:space="preserve">Can Approve</w:t>
            </w:r>
          </w:p>
        </w:tc>
        <w:tc>
          <w:tcPr/>
          <w:p>
            <w:pPr>
              <w:pStyle w:val="Compact"/>
              <w:jc w:val="left"/>
            </w:pPr>
            <w:r>
              <w:t xml:space="preserve">Can Publish / Revoke</w:t>
            </w:r>
          </w:p>
        </w:tc>
        <w:tc>
          <w:tcPr/>
          <w:p>
            <w:pPr>
              <w:pStyle w:val="Compact"/>
              <w:jc w:val="left"/>
            </w:pPr>
            <w:r>
              <w:t xml:space="preserve">Special Constraints</w:t>
            </w:r>
          </w:p>
        </w:tc>
      </w:tr>
      <w:tr>
        <w:tc>
          <w:tcPr/>
          <w:p>
            <w:pPr>
              <w:pStyle w:val="Compact"/>
              <w:jc w:val="left"/>
            </w:pPr>
            <w:r>
              <w:t xml:space="preserve">Group Executive</w:t>
            </w:r>
          </w:p>
        </w:tc>
        <w:tc>
          <w:tcPr/>
          <w:p>
            <w:pPr>
              <w:pStyle w:val="Compact"/>
              <w:jc w:val="left"/>
            </w:pPr>
            <w:r>
              <w:t xml:space="preserve">aggregate dashboards, benchmark packs, financial summaries</w:t>
            </w:r>
          </w:p>
        </w:tc>
        <w:tc>
          <w:tcPr/>
          <w:p>
            <w:pPr>
              <w:pStyle w:val="Compact"/>
              <w:jc w:val="left"/>
            </w:pPr>
            <w:r>
              <w:t xml:space="preserve">policy bounds only</w:t>
            </w:r>
          </w:p>
        </w:tc>
        <w:tc>
          <w:tcPr/>
          <w:p>
            <w:pPr>
              <w:pStyle w:val="Compact"/>
              <w:jc w:val="left"/>
            </w:pPr>
            <w:r>
              <w:t xml:space="preserve">group policy changes</w:t>
            </w:r>
          </w:p>
        </w:tc>
        <w:tc>
          <w:tcPr/>
          <w:p>
            <w:pPr>
              <w:pStyle w:val="Compact"/>
              <w:jc w:val="left"/>
            </w:pPr>
            <w:r>
              <w:t xml:space="preserve">no raw learner record revocation</w:t>
            </w:r>
          </w:p>
        </w:tc>
        <w:tc>
          <w:tcPr/>
          <w:p>
            <w:pPr>
              <w:pStyle w:val="Compact"/>
              <w:jc w:val="left"/>
            </w:pPr>
            <w:r>
              <w:t xml:space="preserve">no detailed safeguarding data unless separately authorized</w:t>
            </w:r>
          </w:p>
        </w:tc>
      </w:tr>
      <w:tr>
        <w:tc>
          <w:tcPr/>
          <w:p>
            <w:pPr>
              <w:pStyle w:val="Compact"/>
              <w:jc w:val="left"/>
            </w:pPr>
            <w:r>
              <w:t xml:space="preserve">Institution Super Admin</w:t>
            </w:r>
          </w:p>
        </w:tc>
        <w:tc>
          <w:tcPr/>
          <w:p>
            <w:pPr>
              <w:pStyle w:val="Compact"/>
              <w:jc w:val="left"/>
            </w:pPr>
            <w:r>
              <w:t xml:space="preserve">institution-wide operational data</w:t>
            </w:r>
          </w:p>
        </w:tc>
        <w:tc>
          <w:tcPr/>
          <w:p>
            <w:pPr>
              <w:pStyle w:val="Compact"/>
              <w:jc w:val="left"/>
            </w:pPr>
            <w:r>
              <w:t xml:space="preserve">institution configuration</w:t>
            </w:r>
          </w:p>
        </w:tc>
        <w:tc>
          <w:tcPr/>
          <w:p>
            <w:pPr>
              <w:pStyle w:val="Compact"/>
              <w:jc w:val="left"/>
            </w:pPr>
            <w:r>
              <w:t xml:space="preserve">institution high-risk actions</w:t>
            </w:r>
          </w:p>
        </w:tc>
        <w:tc>
          <w:tcPr/>
          <w:p>
            <w:pPr>
              <w:pStyle w:val="Compact"/>
              <w:jc w:val="left"/>
            </w:pPr>
            <w:r>
              <w:t xml:space="preserve">publish approved records where role allows</w:t>
            </w:r>
          </w:p>
        </w:tc>
        <w:tc>
          <w:tcPr/>
          <w:p>
            <w:pPr>
              <w:pStyle w:val="Compact"/>
              <w:jc w:val="left"/>
            </w:pPr>
            <w:r>
              <w:t xml:space="preserve">cannot override group non-negotiables</w:t>
            </w:r>
          </w:p>
        </w:tc>
      </w:tr>
      <w:tr>
        <w:tc>
          <w:tcPr/>
          <w:p>
            <w:pPr>
              <w:pStyle w:val="Compact"/>
              <w:jc w:val="left"/>
            </w:pPr>
            <w:r>
              <w:t xml:space="preserve">Registrar / Exam Controller</w:t>
            </w:r>
          </w:p>
        </w:tc>
        <w:tc>
          <w:tcPr/>
          <w:p>
            <w:pPr>
              <w:pStyle w:val="Compact"/>
              <w:jc w:val="left"/>
            </w:pPr>
            <w:r>
              <w:t xml:space="preserve">learner records, audit, awards</w:t>
            </w:r>
          </w:p>
        </w:tc>
        <w:tc>
          <w:tcPr/>
          <w:p>
            <w:pPr>
              <w:pStyle w:val="Compact"/>
              <w:jc w:val="left"/>
            </w:pPr>
            <w:r>
              <w:t xml:space="preserve">transcript, award, status workflows</w:t>
            </w:r>
          </w:p>
        </w:tc>
        <w:tc>
          <w:tcPr/>
          <w:p>
            <w:pPr>
              <w:pStyle w:val="Compact"/>
              <w:jc w:val="left"/>
            </w:pPr>
            <w:r>
              <w:t xml:space="preserve">transfer, graduation, corrections</w:t>
            </w:r>
          </w:p>
        </w:tc>
        <w:tc>
          <w:tcPr/>
          <w:p>
            <w:pPr>
              <w:pStyle w:val="Compact"/>
              <w:jc w:val="left"/>
            </w:pPr>
            <w:r>
              <w:t xml:space="preserve">publish/revoke awards and transcript bundles</w:t>
            </w:r>
          </w:p>
        </w:tc>
        <w:tc>
          <w:tcPr/>
          <w:p>
            <w:pPr>
              <w:pStyle w:val="Compact"/>
              <w:jc w:val="left"/>
            </w:pPr>
            <w:r>
              <w:t xml:space="preserve">dual control for high-value corrections</w:t>
            </w:r>
          </w:p>
        </w:tc>
      </w:tr>
      <w:tr>
        <w:tc>
          <w:tcPr/>
          <w:p>
            <w:pPr>
              <w:pStyle w:val="Compact"/>
              <w:jc w:val="left"/>
            </w:pPr>
            <w:r>
              <w:t xml:space="preserve">Faculty / Instructor</w:t>
            </w:r>
          </w:p>
        </w:tc>
        <w:tc>
          <w:tcPr/>
          <w:p>
            <w:pPr>
              <w:pStyle w:val="Compact"/>
              <w:jc w:val="left"/>
            </w:pPr>
            <w:r>
              <w:t xml:space="preserve">assigned class/course/cohort data</w:t>
            </w:r>
          </w:p>
        </w:tc>
        <w:tc>
          <w:tcPr/>
          <w:p>
            <w:pPr>
              <w:pStyle w:val="Compact"/>
              <w:jc w:val="left"/>
            </w:pPr>
            <w:r>
              <w:t xml:space="preserve">marks, attendance, course artifacts</w:t>
            </w:r>
          </w:p>
        </w:tc>
        <w:tc>
          <w:tcPr/>
          <w:p>
            <w:pPr>
              <w:pStyle w:val="Compact"/>
              <w:jc w:val="left"/>
            </w:pPr>
            <w:r>
              <w:t xml:space="preserve">limited academic approvals</w:t>
            </w:r>
          </w:p>
        </w:tc>
        <w:tc>
          <w:tcPr/>
          <w:p>
            <w:pPr>
              <w:pStyle w:val="Compact"/>
              <w:jc w:val="left"/>
            </w:pPr>
            <w:r>
              <w:t xml:space="preserve">no institutional credential publication</w:t>
            </w:r>
          </w:p>
        </w:tc>
        <w:tc>
          <w:tcPr/>
          <w:p>
            <w:pPr>
              <w:pStyle w:val="Compact"/>
              <w:jc w:val="left"/>
            </w:pPr>
            <w:r>
              <w:t xml:space="preserve">scope limited to assigned entities</w:t>
            </w:r>
          </w:p>
        </w:tc>
      </w:tr>
      <w:tr>
        <w:tc>
          <w:tcPr/>
          <w:p>
            <w:pPr>
              <w:pStyle w:val="Compact"/>
              <w:jc w:val="left"/>
            </w:pPr>
            <w:r>
              <w:t xml:space="preserve">Student Success / Counselor</w:t>
            </w:r>
          </w:p>
        </w:tc>
        <w:tc>
          <w:tcPr/>
          <w:p>
            <w:pPr>
              <w:pStyle w:val="Compact"/>
              <w:jc w:val="left"/>
            </w:pPr>
            <w:r>
              <w:t xml:space="preserve">assigned cases and support signals</w:t>
            </w:r>
          </w:p>
        </w:tc>
        <w:tc>
          <w:tcPr/>
          <w:p>
            <w:pPr>
              <w:pStyle w:val="Compact"/>
              <w:jc w:val="left"/>
            </w:pPr>
            <w:r>
              <w:t xml:space="preserve">case notes, care plans, referrals</w:t>
            </w:r>
          </w:p>
        </w:tc>
        <w:tc>
          <w:tcPr/>
          <w:p>
            <w:pPr>
              <w:pStyle w:val="Compact"/>
              <w:jc w:val="left"/>
            </w:pPr>
            <w:r>
              <w:t xml:space="preserve">intervention closures</w:t>
            </w:r>
          </w:p>
        </w:tc>
        <w:tc>
          <w:tcPr/>
          <w:p>
            <w:pPr>
              <w:pStyle w:val="Compact"/>
              <w:jc w:val="left"/>
            </w:pPr>
            <w:r>
              <w:t xml:space="preserve">no transcript/finance publishing</w:t>
            </w:r>
          </w:p>
        </w:tc>
        <w:tc>
          <w:tcPr/>
          <w:p>
            <w:pPr>
              <w:pStyle w:val="Compact"/>
              <w:jc w:val="left"/>
            </w:pPr>
            <w:r>
              <w:t xml:space="preserve">sensitive notes constrained by role</w:t>
            </w:r>
          </w:p>
        </w:tc>
      </w:tr>
      <w:tr>
        <w:tc>
          <w:tcPr/>
          <w:p>
            <w:pPr>
              <w:pStyle w:val="Compact"/>
              <w:jc w:val="left"/>
            </w:pPr>
            <w:r>
              <w:t xml:space="preserve">Finance Lead</w:t>
            </w:r>
          </w:p>
        </w:tc>
        <w:tc>
          <w:tcPr/>
          <w:p>
            <w:pPr>
              <w:pStyle w:val="Compact"/>
              <w:jc w:val="left"/>
            </w:pPr>
            <w:r>
              <w:t xml:space="preserve">billing, aid, collections, treasury exceptions</w:t>
            </w:r>
          </w:p>
        </w:tc>
        <w:tc>
          <w:tcPr/>
          <w:p>
            <w:pPr>
              <w:pStyle w:val="Compact"/>
              <w:jc w:val="left"/>
            </w:pPr>
            <w:r>
              <w:t xml:space="preserve">financial workflows</w:t>
            </w:r>
          </w:p>
        </w:tc>
        <w:tc>
          <w:tcPr/>
          <w:p>
            <w:pPr>
              <w:pStyle w:val="Compact"/>
              <w:jc w:val="left"/>
            </w:pPr>
            <w:r>
              <w:t xml:space="preserve">waivers, escalations, sponsor actions</w:t>
            </w:r>
          </w:p>
        </w:tc>
        <w:tc>
          <w:tcPr/>
          <w:p>
            <w:pPr>
              <w:pStyle w:val="Compact"/>
              <w:jc w:val="left"/>
            </w:pPr>
            <w:r>
              <w:t xml:space="preserve">no academic record publication</w:t>
            </w:r>
          </w:p>
        </w:tc>
        <w:tc>
          <w:tcPr/>
          <w:p>
            <w:pPr>
              <w:pStyle w:val="Compact"/>
              <w:jc w:val="left"/>
            </w:pPr>
            <w:r>
              <w:t xml:space="preserve">segregation from payment-card scope</w:t>
            </w:r>
          </w:p>
        </w:tc>
      </w:tr>
      <w:tr>
        <w:tc>
          <w:tcPr/>
          <w:p>
            <w:pPr>
              <w:pStyle w:val="Compact"/>
              <w:jc w:val="left"/>
            </w:pPr>
            <w:r>
              <w:t xml:space="preserve">Trust / Risk / DPO</w:t>
            </w:r>
          </w:p>
        </w:tc>
        <w:tc>
          <w:tcPr/>
          <w:p>
            <w:pPr>
              <w:pStyle w:val="Compact"/>
              <w:jc w:val="left"/>
            </w:pPr>
            <w:r>
              <w:t xml:space="preserve">evidence packs, audit logs, privacy states</w:t>
            </w:r>
          </w:p>
        </w:tc>
        <w:tc>
          <w:tcPr/>
          <w:p>
            <w:pPr>
              <w:pStyle w:val="Compact"/>
              <w:jc w:val="left"/>
            </w:pPr>
            <w:r>
              <w:t xml:space="preserve">policy artifacts</w:t>
            </w:r>
          </w:p>
        </w:tc>
        <w:tc>
          <w:tcPr/>
          <w:p>
            <w:pPr>
              <w:pStyle w:val="Compact"/>
              <w:jc w:val="left"/>
            </w:pPr>
            <w:r>
              <w:t xml:space="preserve">trust disclosures and legal packs</w:t>
            </w:r>
          </w:p>
        </w:tc>
        <w:tc>
          <w:tcPr/>
          <w:p>
            <w:pPr>
              <w:pStyle w:val="Compact"/>
              <w:jc w:val="left"/>
            </w:pPr>
            <w:r>
              <w:t xml:space="preserve">no learner-grade editing</w:t>
            </w:r>
          </w:p>
        </w:tc>
        <w:tc>
          <w:tcPr/>
          <w:p>
            <w:pPr>
              <w:pStyle w:val="Compact"/>
              <w:jc w:val="left"/>
            </w:pPr>
            <w:r>
              <w:t xml:space="preserve">read-heavy role with controlled writes</w:t>
            </w:r>
          </w:p>
        </w:tc>
      </w:tr>
      <w:tr>
        <w:tc>
          <w:tcPr/>
          <w:p>
            <w:pPr>
              <w:pStyle w:val="Compact"/>
              <w:jc w:val="left"/>
            </w:pPr>
            <w:r>
              <w:t xml:space="preserve">Credential Officer</w:t>
            </w:r>
          </w:p>
        </w:tc>
        <w:tc>
          <w:tcPr/>
          <w:p>
            <w:pPr>
              <w:pStyle w:val="Compact"/>
              <w:jc w:val="left"/>
            </w:pPr>
            <w:r>
              <w:t xml:space="preserve">achievement state, issuer rules, bundle status</w:t>
            </w:r>
          </w:p>
        </w:tc>
        <w:tc>
          <w:tcPr/>
          <w:p>
            <w:pPr>
              <w:pStyle w:val="Compact"/>
              <w:jc w:val="left"/>
            </w:pPr>
            <w:r>
              <w:t xml:space="preserve">issuance settings and corrections</w:t>
            </w:r>
          </w:p>
        </w:tc>
        <w:tc>
          <w:tcPr/>
          <w:p>
            <w:pPr>
              <w:pStyle w:val="Compact"/>
              <w:jc w:val="left"/>
            </w:pPr>
            <w:r>
              <w:t xml:space="preserve">credential publication</w:t>
            </w:r>
          </w:p>
        </w:tc>
        <w:tc>
          <w:tcPr/>
          <w:p>
            <w:pPr>
              <w:pStyle w:val="Compact"/>
              <w:jc w:val="left"/>
            </w:pPr>
            <w:r>
              <w:t xml:space="preserve">publish, revoke, supersede credential records</w:t>
            </w:r>
          </w:p>
        </w:tc>
        <w:tc>
          <w:tcPr/>
          <w:p>
            <w:pPr>
              <w:pStyle w:val="Compact"/>
              <w:jc w:val="left"/>
            </w:pPr>
            <w:r>
              <w:t xml:space="preserve">dual-approval for mass revocation</w:t>
            </w:r>
          </w:p>
        </w:tc>
      </w:tr>
      <w:tr>
        <w:tc>
          <w:tcPr/>
          <w:p>
            <w:pPr>
              <w:pStyle w:val="Compact"/>
              <w:jc w:val="left"/>
            </w:pPr>
            <w:r>
              <w:t xml:space="preserve">Parent / Guardian</w:t>
            </w:r>
          </w:p>
        </w:tc>
        <w:tc>
          <w:tcPr/>
          <w:p>
            <w:pPr>
              <w:pStyle w:val="Compact"/>
              <w:jc w:val="left"/>
            </w:pPr>
            <w:r>
              <w:t xml:space="preserve">own-child scope</w:t>
            </w:r>
          </w:p>
        </w:tc>
        <w:tc>
          <w:tcPr/>
          <w:p>
            <w:pPr>
              <w:pStyle w:val="Compact"/>
              <w:jc w:val="left"/>
            </w:pPr>
            <w:r>
              <w:t xml:space="preserve">limited preference changes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child-linked only</w:t>
            </w:r>
          </w:p>
        </w:tc>
      </w:tr>
      <w:tr>
        <w:tc>
          <w:tcPr/>
          <w:p>
            <w:pPr>
              <w:pStyle w:val="Compact"/>
              <w:jc w:val="left"/>
            </w:pPr>
            <w:r>
              <w:t xml:space="preserve">Learner</w:t>
            </w:r>
          </w:p>
        </w:tc>
        <w:tc>
          <w:tcPr/>
          <w:p>
            <w:pPr>
              <w:pStyle w:val="Compact"/>
              <w:jc w:val="left"/>
            </w:pPr>
            <w:r>
              <w:t xml:space="preserve">own data, own credentials, own status</w:t>
            </w:r>
          </w:p>
        </w:tc>
        <w:tc>
          <w:tcPr/>
          <w:p>
            <w:pPr>
              <w:pStyle w:val="Compact"/>
              <w:jc w:val="left"/>
            </w:pPr>
            <w:r>
              <w:t xml:space="preserve">profile and sharing settings</w:t>
            </w:r>
          </w:p>
        </w:tc>
        <w:tc>
          <w:tcPr/>
          <w:p>
            <w:pPr>
              <w:pStyle w:val="Compact"/>
              <w:jc w:val="left"/>
            </w:pPr>
            <w:r>
              <w:t xml:space="preserve">consent actions</w:t>
            </w:r>
          </w:p>
        </w:tc>
        <w:tc>
          <w:tcPr/>
          <w:p>
            <w:pPr>
              <w:pStyle w:val="Compact"/>
              <w:jc w:val="left"/>
            </w:pPr>
            <w:r>
              <w:t xml:space="preserve">may share own credentials where allowed</w:t>
            </w:r>
          </w:p>
        </w:tc>
        <w:tc>
          <w:tcPr/>
          <w:p>
            <w:pPr>
              <w:pStyle w:val="Compact"/>
              <w:jc w:val="left"/>
            </w:pPr>
            <w:r>
              <w:t xml:space="preserve">cannot modify institutional assertions</w:t>
            </w:r>
          </w:p>
        </w:tc>
      </w:tr>
    </w:tbl>
    <w:bookmarkEnd w:id="106"/>
    <w:bookmarkStart w:id="107" w:name="ai-decision-control-categories"/>
    <w:p>
      <w:pPr>
        <w:pStyle w:val="Heading2"/>
      </w:pPr>
      <w:r>
        <w:t xml:space="preserve">8.3 AI decision control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AI Action Class</w:t>
            </w:r>
          </w:p>
        </w:tc>
        <w:tc>
          <w:tcPr/>
          <w:p>
            <w:pPr>
              <w:pStyle w:val="Compact"/>
              <w:jc w:val="left"/>
            </w:pPr>
            <w:r>
              <w:t xml:space="preserve">Example</w:t>
            </w:r>
          </w:p>
        </w:tc>
        <w:tc>
          <w:tcPr/>
          <w:p>
            <w:pPr>
              <w:pStyle w:val="Compact"/>
              <w:jc w:val="left"/>
            </w:pPr>
            <w:r>
              <w:t xml:space="preserve">Human Approval Required?</w:t>
            </w:r>
          </w:p>
        </w:tc>
      </w:tr>
      <w:tr>
        <w:tc>
          <w:tcPr/>
          <w:p>
            <w:pPr>
              <w:pStyle w:val="Compact"/>
              <w:jc w:val="left"/>
            </w:pPr>
            <w:r>
              <w:t xml:space="preserve">Informative</w:t>
            </w:r>
          </w:p>
        </w:tc>
        <w:tc>
          <w:tcPr/>
          <w:p>
            <w:pPr>
              <w:pStyle w:val="Compact"/>
              <w:jc w:val="left"/>
            </w:pPr>
            <w:r>
              <w:t xml:space="preserve">timetable suggestion, content explanation, reminder</w:t>
            </w:r>
          </w:p>
        </w:tc>
        <w:tc>
          <w:tcPr/>
          <w:p>
            <w:pPr>
              <w:pStyle w:val="Compact"/>
              <w:jc w:val="left"/>
            </w:pPr>
            <w:r>
              <w:t xml:space="preserve">No</w:t>
            </w:r>
          </w:p>
        </w:tc>
      </w:tr>
      <w:tr>
        <w:tc>
          <w:tcPr/>
          <w:p>
            <w:pPr>
              <w:pStyle w:val="Compact"/>
              <w:jc w:val="left"/>
            </w:pPr>
            <w:r>
              <w:t xml:space="preserve">Assistive</w:t>
            </w:r>
          </w:p>
        </w:tc>
        <w:tc>
          <w:tcPr/>
          <w:p>
            <w:pPr>
              <w:pStyle w:val="Compact"/>
              <w:jc w:val="left"/>
            </w:pPr>
            <w:r>
              <w:t xml:space="preserve">elective recommendation, payment plan suggestion, risk signal surfacing</w:t>
            </w:r>
          </w:p>
        </w:tc>
        <w:tc>
          <w:tcPr/>
          <w:p>
            <w:pPr>
              <w:pStyle w:val="Compact"/>
              <w:jc w:val="left"/>
            </w:pPr>
            <w:r>
              <w:t xml:space="preserve">Usually no, but logged</w:t>
            </w:r>
          </w:p>
        </w:tc>
      </w:tr>
      <w:tr>
        <w:tc>
          <w:tcPr/>
          <w:p>
            <w:pPr>
              <w:pStyle w:val="Compact"/>
              <w:jc w:val="left"/>
            </w:pPr>
            <w:r>
              <w:t xml:space="preserve">Decision-support</w:t>
            </w:r>
          </w:p>
        </w:tc>
        <w:tc>
          <w:tcPr/>
          <w:p>
            <w:pPr>
              <w:pStyle w:val="Compact"/>
              <w:jc w:val="left"/>
            </w:pPr>
            <w:r>
              <w:t xml:space="preserve">prior-learning recommendation, intervention priority, batch movement suggestion</w:t>
            </w:r>
          </w:p>
        </w:tc>
        <w:tc>
          <w:tcPr/>
          <w:p>
            <w:pPr>
              <w:pStyle w:val="Compact"/>
              <w:jc w:val="left"/>
            </w:pPr>
            <w:r>
              <w:t xml:space="preserve">Yes when action affects learner status</w:t>
            </w:r>
          </w:p>
        </w:tc>
      </w:tr>
      <w:tr>
        <w:tc>
          <w:tcPr/>
          <w:p>
            <w:pPr>
              <w:pStyle w:val="Compact"/>
              <w:jc w:val="left"/>
            </w:pPr>
            <w:r>
              <w:t xml:space="preserve">High-impact / publishable</w:t>
            </w:r>
          </w:p>
        </w:tc>
        <w:tc>
          <w:tcPr/>
          <w:p>
            <w:pPr>
              <w:pStyle w:val="Compact"/>
              <w:jc w:val="left"/>
            </w:pPr>
            <w:r>
              <w:t xml:space="preserve">transcript correction, award publication, safeguarding closure, regulated disclosure</w:t>
            </w:r>
          </w:p>
        </w:tc>
        <w:tc>
          <w:tcPr/>
          <w:p>
            <w:pPr>
              <w:pStyle w:val="Compact"/>
              <w:jc w:val="left"/>
            </w:pPr>
            <w:r>
              <w:t xml:space="preserve">Always yes</w:t>
            </w:r>
          </w:p>
        </w:tc>
      </w:tr>
    </w:tbl>
    <w:bookmarkEnd w:id="107"/>
    <w:bookmarkStart w:id="108" w:name="X9fed5f10f03c1623d318ac6953137c46d7f485f"/>
    <w:p>
      <w:pPr>
        <w:pStyle w:val="Heading2"/>
      </w:pPr>
      <w:r>
        <w:t xml:space="preserve">8.4 What ScholarMind will not automate without human ownership</w:t>
      </w:r>
    </w:p>
    <w:p>
      <w:pPr>
        <w:pStyle w:val="FirstParagraph"/>
      </w:pPr>
      <w:r>
        <w:t xml:space="preserve">The platform must not automate the following end-to-end without accountable human sign-off:</w:t>
      </w:r>
      <w:r>
        <w:t xml:space="preserve"> </w:t>
      </w:r>
      <w:r>
        <w:t xml:space="preserve">- final grades, thesis outcomes, or accreditation attestations,</w:t>
      </w:r>
      <w:r>
        <w:t xml:space="preserve"> </w:t>
      </w:r>
      <w:r>
        <w:t xml:space="preserve">- high-impact waivers, scholarship awards, or collections actions without approvals,</w:t>
      </w:r>
      <w:r>
        <w:t xml:space="preserve"> </w:t>
      </w:r>
      <w:r>
        <w:t xml:space="preserve">- sensitive communications involving grief, abuse, or medical crisis,</w:t>
      </w:r>
      <w:r>
        <w:t xml:space="preserve"> </w:t>
      </w:r>
      <w:r>
        <w:t xml:space="preserve">- safeguarding case closure without authorized review,</w:t>
      </w:r>
      <w:r>
        <w:t xml:space="preserve"> </w:t>
      </w:r>
      <w:r>
        <w:t xml:space="preserve">- credential revocation or supersession at scale without dual approval,</w:t>
      </w:r>
      <w:r>
        <w:t xml:space="preserve"> </w:t>
      </w:r>
      <w:r>
        <w:t xml:space="preserve">- regulated disclosures where named accountability is mandatory.</w:t>
      </w:r>
    </w:p>
    <w:bookmarkEnd w:id="108"/>
    <w:bookmarkEnd w:id="109"/>
    <w:bookmarkStart w:id="119" w:name="X0ea1eafdc60bf38c628444c67cc12df38f2e286"/>
    <w:p>
      <w:pPr>
        <w:pStyle w:val="Heading1"/>
      </w:pPr>
      <w:r>
        <w:t xml:space="preserve">9. Security, Privacy, Trust, Payment Scope &amp; AI Governance</w:t>
      </w:r>
    </w:p>
    <w:bookmarkStart w:id="110" w:name="security-model"/>
    <w:p>
      <w:pPr>
        <w:pStyle w:val="Heading2"/>
      </w:pPr>
      <w:r>
        <w:t xml:space="preserve">9.1 Security model</w:t>
      </w:r>
    </w:p>
    <w:p>
      <w:pPr>
        <w:pStyle w:val="FirstParagraph"/>
      </w:pPr>
      <w:r>
        <w:t xml:space="preserve">ScholarMind v6 uses zero-trust principles across identity, service communication, data access, and administrative action. No user, device, institution, or network location is trusted by default.</w:t>
      </w:r>
    </w:p>
    <w:bookmarkEnd w:id="110"/>
    <w:bookmarkStart w:id="111" w:name="identity-tenancy-privacy-and-trust"/>
    <w:p>
      <w:pPr>
        <w:pStyle w:val="Heading2"/>
      </w:pPr>
      <w:r>
        <w:t xml:space="preserve">9.2 Identity, tenancy, privacy and trust</w:t>
      </w:r>
    </w:p>
    <w:p>
      <w:pPr>
        <w:pStyle w:val="Compact"/>
        <w:numPr>
          <w:ilvl w:val="0"/>
          <w:numId w:val="1023"/>
        </w:numPr>
      </w:pPr>
      <w:r>
        <w:t xml:space="preserve">MFA, SSO, SCIM, device-aware access, just-in-time privilege and break-glass flows</w:t>
      </w:r>
      <w:r>
        <w:br/>
      </w:r>
    </w:p>
    <w:p>
      <w:pPr>
        <w:pStyle w:val="Compact"/>
        <w:numPr>
          <w:ilvl w:val="0"/>
          <w:numId w:val="1023"/>
        </w:numPr>
      </w:pPr>
      <w:r>
        <w:t xml:space="preserve">group / institution / department tenancy with privacy-controlled aggregate analytics</w:t>
      </w:r>
      <w:r>
        <w:br/>
      </w:r>
    </w:p>
    <w:p>
      <w:pPr>
        <w:pStyle w:val="Compact"/>
        <w:numPr>
          <w:ilvl w:val="0"/>
          <w:numId w:val="1023"/>
        </w:numPr>
      </w:pPr>
      <w:r>
        <w:t xml:space="preserve">purpose limitation, consent controls, retention schedule engine, deletion and revocation workflows</w:t>
      </w:r>
      <w:r>
        <w:br/>
      </w:r>
    </w:p>
    <w:p>
      <w:pPr>
        <w:pStyle w:val="Compact"/>
        <w:numPr>
          <w:ilvl w:val="0"/>
          <w:numId w:val="1023"/>
        </w:numPr>
      </w:pPr>
      <w:r>
        <w:t xml:space="preserve">model-training exclusion controls with stricter defaults for minors and safeguarding data</w:t>
      </w:r>
      <w:r>
        <w:br/>
      </w:r>
    </w:p>
    <w:p>
      <w:pPr>
        <w:pStyle w:val="Compact"/>
        <w:numPr>
          <w:ilvl w:val="0"/>
          <w:numId w:val="1023"/>
        </w:numPr>
      </w:pPr>
      <w:r>
        <w:t xml:space="preserve">immutable audit logs, policy-linked evidence graph, deployment-specific control matrices, versioned trust artifacts</w:t>
      </w:r>
    </w:p>
    <w:bookmarkEnd w:id="111"/>
    <w:bookmarkStart w:id="112" w:name="payment-security-scope-model"/>
    <w:p>
      <w:pPr>
        <w:pStyle w:val="Heading2"/>
      </w:pPr>
      <w:r>
        <w:t xml:space="preserve">9.3 Payment security scope model</w:t>
      </w:r>
    </w:p>
    <w:p>
      <w:pPr>
        <w:pStyle w:val="Compact"/>
        <w:numPr>
          <w:ilvl w:val="0"/>
          <w:numId w:val="1024"/>
        </w:numPr>
      </w:pPr>
      <w:r>
        <w:t xml:space="preserve">tokenized payment pattern where feasible,</w:t>
      </w:r>
    </w:p>
    <w:p>
      <w:pPr>
        <w:pStyle w:val="Compact"/>
        <w:numPr>
          <w:ilvl w:val="0"/>
          <w:numId w:val="1024"/>
        </w:numPr>
      </w:pPr>
      <w:r>
        <w:t xml:space="preserve">platform and card-data environment boundary separation,</w:t>
      </w:r>
    </w:p>
    <w:p>
      <w:pPr>
        <w:pStyle w:val="Compact"/>
        <w:numPr>
          <w:ilvl w:val="0"/>
          <w:numId w:val="1024"/>
        </w:numPr>
      </w:pPr>
      <w:r>
        <w:t xml:space="preserve">hosted payment controls,</w:t>
      </w:r>
    </w:p>
    <w:p>
      <w:pPr>
        <w:pStyle w:val="Compact"/>
        <w:numPr>
          <w:ilvl w:val="0"/>
          <w:numId w:val="1024"/>
        </w:numPr>
      </w:pPr>
      <w:r>
        <w:t xml:space="preserve">fraud and abuse signals,</w:t>
      </w:r>
    </w:p>
    <w:p>
      <w:pPr>
        <w:pStyle w:val="Compact"/>
        <w:numPr>
          <w:ilvl w:val="0"/>
          <w:numId w:val="1024"/>
        </w:numPr>
      </w:pPr>
      <w:r>
        <w:t xml:space="preserve">chargeback evidence assembly,</w:t>
      </w:r>
    </w:p>
    <w:p>
      <w:pPr>
        <w:pStyle w:val="Compact"/>
        <w:numPr>
          <w:ilvl w:val="0"/>
          <w:numId w:val="1024"/>
        </w:numPr>
      </w:pPr>
      <w:r>
        <w:t xml:space="preserve">treasury exception ownership,</w:t>
      </w:r>
    </w:p>
    <w:p>
      <w:pPr>
        <w:pStyle w:val="Compact"/>
        <w:numPr>
          <w:ilvl w:val="0"/>
          <w:numId w:val="1024"/>
        </w:numPr>
      </w:pPr>
      <w:r>
        <w:t xml:space="preserve">country-aware settlement and refund rules,</w:t>
      </w:r>
    </w:p>
    <w:p>
      <w:pPr>
        <w:pStyle w:val="Compact"/>
        <w:numPr>
          <w:ilvl w:val="0"/>
          <w:numId w:val="1024"/>
        </w:numPr>
      </w:pPr>
      <w:r>
        <w:t xml:space="preserve">scope documentation by deployment model.</w:t>
      </w:r>
    </w:p>
    <w:bookmarkEnd w:id="112"/>
    <w:bookmarkStart w:id="113" w:name="ai-adoption-operating-model"/>
    <w:p>
      <w:pPr>
        <w:pStyle w:val="Heading2"/>
      </w:pPr>
      <w:r>
        <w:t xml:space="preserve">9.4 AI adoption operating model</w:t>
      </w:r>
    </w:p>
    <w:p>
      <w:pPr>
        <w:pStyle w:val="Compact"/>
        <w:numPr>
          <w:ilvl w:val="0"/>
          <w:numId w:val="1025"/>
        </w:numPr>
      </w:pPr>
      <w:r>
        <w:t xml:space="preserve">Role-based rollout lanes</w:t>
      </w:r>
      <w:r>
        <w:br/>
      </w:r>
    </w:p>
    <w:p>
      <w:pPr>
        <w:pStyle w:val="Compact"/>
        <w:numPr>
          <w:ilvl w:val="0"/>
          <w:numId w:val="1025"/>
        </w:numPr>
      </w:pPr>
      <w:r>
        <w:t xml:space="preserve">Sandbox-first enablement</w:t>
      </w:r>
      <w:r>
        <w:br/>
      </w:r>
    </w:p>
    <w:p>
      <w:pPr>
        <w:pStyle w:val="Compact"/>
        <w:numPr>
          <w:ilvl w:val="0"/>
          <w:numId w:val="1025"/>
        </w:numPr>
      </w:pPr>
      <w:r>
        <w:t xml:space="preserve">Prompt/data boundary policies</w:t>
      </w:r>
      <w:r>
        <w:br/>
      </w:r>
    </w:p>
    <w:p>
      <w:pPr>
        <w:pStyle w:val="Compact"/>
        <w:numPr>
          <w:ilvl w:val="0"/>
          <w:numId w:val="1025"/>
        </w:numPr>
      </w:pPr>
      <w:r>
        <w:t xml:space="preserve">Change enablement pack</w:t>
      </w:r>
      <w:r>
        <w:br/>
      </w:r>
    </w:p>
    <w:p>
      <w:pPr>
        <w:pStyle w:val="Compact"/>
        <w:numPr>
          <w:ilvl w:val="0"/>
          <w:numId w:val="1025"/>
        </w:numPr>
      </w:pPr>
      <w:r>
        <w:t xml:space="preserve">Adoption metrics</w:t>
      </w:r>
      <w:r>
        <w:br/>
      </w:r>
    </w:p>
    <w:p>
      <w:pPr>
        <w:pStyle w:val="Compact"/>
        <w:numPr>
          <w:ilvl w:val="0"/>
          <w:numId w:val="1025"/>
        </w:numPr>
      </w:pPr>
      <w:r>
        <w:t xml:space="preserve">AI registry</w:t>
      </w:r>
      <w:r>
        <w:br/>
      </w:r>
    </w:p>
    <w:p>
      <w:pPr>
        <w:pStyle w:val="Compact"/>
        <w:numPr>
          <w:ilvl w:val="0"/>
          <w:numId w:val="1025"/>
        </w:numPr>
      </w:pPr>
      <w:r>
        <w:t xml:space="preserve">Disclosure policy</w:t>
      </w:r>
      <w:r>
        <w:br/>
      </w:r>
    </w:p>
    <w:p>
      <w:pPr>
        <w:pStyle w:val="Compact"/>
        <w:numPr>
          <w:ilvl w:val="0"/>
          <w:numId w:val="1025"/>
        </w:numPr>
      </w:pPr>
      <w:r>
        <w:t xml:space="preserve">Documentation with version history</w:t>
      </w:r>
    </w:p>
    <w:bookmarkEnd w:id="113"/>
    <w:bookmarkStart w:id="118" w:name="security-and-trust-operating-controls"/>
    <w:p>
      <w:pPr>
        <w:pStyle w:val="Heading2"/>
      </w:pPr>
      <w:r>
        <w:t xml:space="preserve">9.5 Security and trust operating controls</w:t>
      </w:r>
    </w:p>
    <w:bookmarkStart w:id="114" w:name="logging-and-evidence-retention"/>
    <w:p>
      <w:pPr>
        <w:pStyle w:val="Heading3"/>
      </w:pPr>
      <w:r>
        <w:t xml:space="preserve">Logging and evidence retention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Artifact</w:t>
            </w:r>
          </w:p>
        </w:tc>
        <w:tc>
          <w:tcPr/>
          <w:p>
            <w:pPr>
              <w:pStyle w:val="Compact"/>
              <w:jc w:val="left"/>
            </w:pPr>
            <w:r>
              <w:t xml:space="preserve">Minimum Default Retention</w:t>
            </w:r>
          </w:p>
        </w:tc>
        <w:tc>
          <w:tcPr/>
          <w:p>
            <w:pPr>
              <w:pStyle w:val="Compact"/>
              <w:jc w:val="left"/>
            </w:pPr>
            <w:r>
              <w:t xml:space="preserve">Notes</w:t>
            </w:r>
          </w:p>
        </w:tc>
      </w:tr>
      <w:tr>
        <w:tc>
          <w:tcPr/>
          <w:p>
            <w:pPr>
              <w:pStyle w:val="Compact"/>
              <w:jc w:val="left"/>
            </w:pPr>
            <w:r>
              <w:t xml:space="preserve">Auth and admin audit logs</w:t>
            </w:r>
          </w:p>
        </w:tc>
        <w:tc>
          <w:tcPr/>
          <w:p>
            <w:pPr>
              <w:pStyle w:val="Compact"/>
              <w:jc w:val="left"/>
            </w:pPr>
            <w:r>
              <w:t xml:space="preserve">1 year online, 3 years archive</w:t>
            </w:r>
          </w:p>
        </w:tc>
        <w:tc>
          <w:tcPr/>
          <w:p>
            <w:pPr>
              <w:pStyle w:val="Compact"/>
              <w:jc w:val="left"/>
            </w:pPr>
            <w:r>
              <w:t xml:space="preserve">tenant-specific extension supported</w:t>
            </w:r>
          </w:p>
        </w:tc>
      </w:tr>
      <w:tr>
        <w:tc>
          <w:tcPr/>
          <w:p>
            <w:pPr>
              <w:pStyle w:val="Compact"/>
              <w:jc w:val="left"/>
            </w:pPr>
            <w:r>
              <w:t xml:space="preserve">Financial approval and reconciliation logs</w:t>
            </w:r>
          </w:p>
        </w:tc>
        <w:tc>
          <w:tcPr/>
          <w:p>
            <w:pPr>
              <w:pStyle w:val="Compact"/>
              <w:jc w:val="left"/>
            </w:pPr>
            <w:r>
              <w:t xml:space="preserve">7 years</w:t>
            </w:r>
          </w:p>
        </w:tc>
        <w:tc>
          <w:tcPr/>
          <w:p>
            <w:pPr>
              <w:pStyle w:val="Compact"/>
              <w:jc w:val="left"/>
            </w:pPr>
            <w:r>
              <w:t xml:space="preserve">aligned to finance/audit expectations</w:t>
            </w:r>
          </w:p>
        </w:tc>
      </w:tr>
      <w:tr>
        <w:tc>
          <w:tcPr/>
          <w:p>
            <w:pPr>
              <w:pStyle w:val="Compact"/>
              <w:jc w:val="left"/>
            </w:pPr>
            <w:r>
              <w:t xml:space="preserve">Safeguarding access logs</w:t>
            </w:r>
          </w:p>
        </w:tc>
        <w:tc>
          <w:tcPr/>
          <w:p>
            <w:pPr>
              <w:pStyle w:val="Compact"/>
              <w:jc w:val="left"/>
            </w:pPr>
            <w:r>
              <w:t xml:space="preserve">7 years minimum</w:t>
            </w:r>
          </w:p>
        </w:tc>
        <w:tc>
          <w:tcPr/>
          <w:p>
            <w:pPr>
              <w:pStyle w:val="Compact"/>
              <w:jc w:val="left"/>
            </w:pPr>
            <w:r>
              <w:t xml:space="preserve">stricter local override allowed</w:t>
            </w:r>
          </w:p>
        </w:tc>
      </w:tr>
      <w:tr>
        <w:tc>
          <w:tcPr/>
          <w:p>
            <w:pPr>
              <w:pStyle w:val="Compact"/>
              <w:jc w:val="left"/>
            </w:pPr>
            <w:r>
              <w:t xml:space="preserve">AI recommendation and override logs</w:t>
            </w:r>
          </w:p>
        </w:tc>
        <w:tc>
          <w:tcPr/>
          <w:p>
            <w:pPr>
              <w:pStyle w:val="Compact"/>
              <w:jc w:val="left"/>
            </w:pPr>
            <w:r>
              <w:t xml:space="preserve">2 years online, 5 years archive</w:t>
            </w:r>
          </w:p>
        </w:tc>
        <w:tc>
          <w:tcPr/>
          <w:p>
            <w:pPr>
              <w:pStyle w:val="Compact"/>
              <w:jc w:val="left"/>
            </w:pPr>
            <w:r>
              <w:t xml:space="preserve">regulated workflows may require longer</w:t>
            </w:r>
          </w:p>
        </w:tc>
      </w:tr>
      <w:tr>
        <w:tc>
          <w:tcPr/>
          <w:p>
            <w:pPr>
              <w:pStyle w:val="Compact"/>
              <w:jc w:val="left"/>
            </w:pPr>
            <w:r>
              <w:t xml:space="preserve">Security incident evidence</w:t>
            </w:r>
          </w:p>
        </w:tc>
        <w:tc>
          <w:tcPr/>
          <w:p>
            <w:pPr>
              <w:pStyle w:val="Compact"/>
              <w:jc w:val="left"/>
            </w:pPr>
            <w:r>
              <w:t xml:space="preserve">7 years</w:t>
            </w:r>
          </w:p>
        </w:tc>
        <w:tc>
          <w:tcPr/>
          <w:p>
            <w:pPr>
              <w:pStyle w:val="Compact"/>
              <w:jc w:val="left"/>
            </w:pPr>
            <w:r>
              <w:t xml:space="preserve">legal-hold override supported</w:t>
            </w:r>
          </w:p>
        </w:tc>
      </w:tr>
    </w:tbl>
    <w:bookmarkEnd w:id="114"/>
    <w:bookmarkStart w:id="115" w:name="recovery-targets-by-deployment-tier"/>
    <w:p>
      <w:pPr>
        <w:pStyle w:val="Heading3"/>
      </w:pPr>
      <w:r>
        <w:t xml:space="preserve">Recovery targets by deployment tier</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RTO</w:t>
            </w:r>
          </w:p>
        </w:tc>
        <w:tc>
          <w:tcPr/>
          <w:p>
            <w:pPr>
              <w:pStyle w:val="Compact"/>
              <w:jc w:val="left"/>
            </w:pPr>
            <w:r>
              <w:t xml:space="preserve">RPO</w:t>
            </w:r>
          </w:p>
        </w:tc>
      </w:tr>
      <w:tr>
        <w:tc>
          <w:tcPr/>
          <w:p>
            <w:pPr>
              <w:pStyle w:val="Compact"/>
              <w:jc w:val="left"/>
            </w:pPr>
            <w:r>
              <w:t xml:space="preserve">Standard</w:t>
            </w:r>
          </w:p>
        </w:tc>
        <w:tc>
          <w:tcPr/>
          <w:p>
            <w:pPr>
              <w:pStyle w:val="Compact"/>
              <w:jc w:val="left"/>
            </w:pPr>
            <w:r>
              <w:t xml:space="preserve">8 hours</w:t>
            </w:r>
          </w:p>
        </w:tc>
        <w:tc>
          <w:tcPr/>
          <w:p>
            <w:pPr>
              <w:pStyle w:val="Compact"/>
              <w:jc w:val="left"/>
            </w:pPr>
            <w:r>
              <w:t xml:space="preserve">4 hours</w:t>
            </w:r>
          </w:p>
        </w:tc>
      </w:tr>
      <w:tr>
        <w:tc>
          <w:tcPr/>
          <w:p>
            <w:pPr>
              <w:pStyle w:val="Compact"/>
              <w:jc w:val="left"/>
            </w:pPr>
            <w:r>
              <w:t xml:space="preserve">Professional</w:t>
            </w:r>
          </w:p>
        </w:tc>
        <w:tc>
          <w:tcPr/>
          <w:p>
            <w:pPr>
              <w:pStyle w:val="Compact"/>
              <w:jc w:val="left"/>
            </w:pPr>
            <w:r>
              <w:t xml:space="preserve">4 hours</w:t>
            </w:r>
          </w:p>
        </w:tc>
        <w:tc>
          <w:tcPr/>
          <w:p>
            <w:pPr>
              <w:pStyle w:val="Compact"/>
              <w:jc w:val="left"/>
            </w:pPr>
            <w:r>
              <w:t xml:space="preserve">1 hour</w:t>
            </w:r>
          </w:p>
        </w:tc>
      </w:tr>
      <w:tr>
        <w:tc>
          <w:tcPr/>
          <w:p>
            <w:pPr>
              <w:pStyle w:val="Compact"/>
              <w:jc w:val="left"/>
            </w:pPr>
            <w:r>
              <w:t xml:space="preserve">Enterprise / Regulated</w:t>
            </w:r>
          </w:p>
        </w:tc>
        <w:tc>
          <w:tcPr/>
          <w:p>
            <w:pPr>
              <w:pStyle w:val="Compact"/>
              <w:jc w:val="left"/>
            </w:pPr>
            <w:r>
              <w:t xml:space="preserve">1 hour</w:t>
            </w:r>
          </w:p>
        </w:tc>
        <w:tc>
          <w:tcPr/>
          <w:p>
            <w:pPr>
              <w:pStyle w:val="Compact"/>
              <w:jc w:val="left"/>
            </w:pPr>
            <w:r>
              <w:t xml:space="preserve">15 minutes</w:t>
            </w:r>
          </w:p>
        </w:tc>
      </w:tr>
    </w:tbl>
    <w:bookmarkEnd w:id="115"/>
    <w:bookmarkStart w:id="116" w:name="incident-severity-and-notification-model"/>
    <w:p>
      <w:pPr>
        <w:pStyle w:val="Heading3"/>
      </w:pPr>
      <w:r>
        <w:t xml:space="preserve">Incident severity and notification model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Example</w:t>
            </w:r>
          </w:p>
        </w:tc>
        <w:tc>
          <w:tcPr/>
          <w:p>
            <w:pPr>
              <w:pStyle w:val="Compact"/>
              <w:jc w:val="left"/>
            </w:pPr>
            <w:r>
              <w:t xml:space="preserve">Customer Notification Target</w:t>
            </w:r>
          </w:p>
        </w:tc>
      </w:tr>
      <w:tr>
        <w:tc>
          <w:tcPr/>
          <w:p>
            <w:pPr>
              <w:pStyle w:val="Compact"/>
              <w:jc w:val="left"/>
            </w:pPr>
            <w:r>
              <w:t xml:space="preserve">Sev 1</w:t>
            </w:r>
          </w:p>
        </w:tc>
        <w:tc>
          <w:tcPr/>
          <w:p>
            <w:pPr>
              <w:pStyle w:val="Compact"/>
              <w:jc w:val="left"/>
            </w:pPr>
            <w:r>
              <w:t xml:space="preserve">outage, confirmed data exposure, payment integrity incident</w:t>
            </w:r>
          </w:p>
        </w:tc>
        <w:tc>
          <w:tcPr/>
          <w:p>
            <w:pPr>
              <w:pStyle w:val="Compact"/>
              <w:jc w:val="left"/>
            </w:pPr>
            <w:r>
              <w:t xml:space="preserve">within 4 hours of confirmed classification</w:t>
            </w:r>
          </w:p>
        </w:tc>
      </w:tr>
      <w:tr>
        <w:tc>
          <w:tcPr/>
          <w:p>
            <w:pPr>
              <w:pStyle w:val="Compact"/>
              <w:jc w:val="left"/>
            </w:pPr>
            <w:r>
              <w:t xml:space="preserve">Sev 2</w:t>
            </w:r>
          </w:p>
        </w:tc>
        <w:tc>
          <w:tcPr/>
          <w:p>
            <w:pPr>
              <w:pStyle w:val="Compact"/>
              <w:jc w:val="left"/>
            </w:pPr>
            <w:r>
              <w:t xml:space="preserve">major impairment, suspected exposure, widespread sync failure</w:t>
            </w:r>
          </w:p>
        </w:tc>
        <w:tc>
          <w:tcPr/>
          <w:p>
            <w:pPr>
              <w:pStyle w:val="Compact"/>
              <w:jc w:val="left"/>
            </w:pPr>
            <w:r>
              <w:t xml:space="preserve">within 12 hours</w:t>
            </w:r>
          </w:p>
        </w:tc>
      </w:tr>
      <w:tr>
        <w:tc>
          <w:tcPr/>
          <w:p>
            <w:pPr>
              <w:pStyle w:val="Compact"/>
              <w:jc w:val="left"/>
            </w:pPr>
            <w:r>
              <w:t xml:space="preserve">Sev 3</w:t>
            </w:r>
          </w:p>
        </w:tc>
        <w:tc>
          <w:tcPr/>
          <w:p>
            <w:pPr>
              <w:pStyle w:val="Compact"/>
              <w:jc w:val="left"/>
            </w:pPr>
            <w:r>
              <w:t xml:space="preserve">contained degradation or localized integration issue</w:t>
            </w:r>
          </w:p>
        </w:tc>
        <w:tc>
          <w:tcPr/>
          <w:p>
            <w:pPr>
              <w:pStyle w:val="Compact"/>
              <w:jc w:val="left"/>
            </w:pPr>
            <w:r>
              <w:t xml:space="preserve">next business update cycle</w:t>
            </w:r>
          </w:p>
        </w:tc>
      </w:tr>
      <w:tr>
        <w:tc>
          <w:tcPr/>
          <w:p>
            <w:pPr>
              <w:pStyle w:val="Compact"/>
              <w:jc w:val="left"/>
            </w:pPr>
            <w:r>
              <w:t xml:space="preserve">Sev 4</w:t>
            </w:r>
          </w:p>
        </w:tc>
        <w:tc>
          <w:tcPr/>
          <w:p>
            <w:pPr>
              <w:pStyle w:val="Compact"/>
              <w:jc w:val="left"/>
            </w:pPr>
            <w:r>
              <w:t xml:space="preserve">minor issue or advisory notice</w:t>
            </w:r>
          </w:p>
        </w:tc>
        <w:tc>
          <w:tcPr/>
          <w:p>
            <w:pPr>
              <w:pStyle w:val="Compact"/>
              <w:jc w:val="left"/>
            </w:pPr>
            <w:r>
              <w:t xml:space="preserve">bundled in routine advisory cadence</w:t>
            </w:r>
          </w:p>
        </w:tc>
      </w:tr>
    </w:tbl>
    <w:bookmarkEnd w:id="116"/>
    <w:bookmarkStart w:id="117" w:name="data-residency-by-deployment-type"/>
    <w:p>
      <w:pPr>
        <w:pStyle w:val="Heading3"/>
      </w:pPr>
      <w:r>
        <w:t xml:space="preserve">Data residency by deployment type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Deployment</w:t>
            </w:r>
          </w:p>
        </w:tc>
        <w:tc>
          <w:tcPr/>
          <w:p>
            <w:pPr>
              <w:pStyle w:val="Compact"/>
              <w:jc w:val="left"/>
            </w:pPr>
            <w:r>
              <w:t xml:space="preserve">Residency Control</w:t>
            </w:r>
          </w:p>
        </w:tc>
      </w:tr>
      <w:tr>
        <w:tc>
          <w:tcPr/>
          <w:p>
            <w:pPr>
              <w:pStyle w:val="Compact"/>
              <w:jc w:val="left"/>
            </w:pPr>
            <w:r>
              <w:t xml:space="preserve">Shared SaaS</w:t>
            </w:r>
          </w:p>
        </w:tc>
        <w:tc>
          <w:tcPr/>
          <w:p>
            <w:pPr>
              <w:pStyle w:val="Compact"/>
              <w:jc w:val="left"/>
            </w:pPr>
            <w:r>
              <w:t xml:space="preserve">region-selected hosting with logical tenant isolation</w:t>
            </w:r>
          </w:p>
        </w:tc>
      </w:tr>
      <w:tr>
        <w:tc>
          <w:tcPr/>
          <w:p>
            <w:pPr>
              <w:pStyle w:val="Compact"/>
              <w:jc w:val="left"/>
            </w:pPr>
            <w:r>
              <w:t xml:space="preserve">Regional SaaS</w:t>
            </w:r>
          </w:p>
        </w:tc>
        <w:tc>
          <w:tcPr/>
          <w:p>
            <w:pPr>
              <w:pStyle w:val="Compact"/>
              <w:jc w:val="left"/>
            </w:pPr>
            <w:r>
              <w:t xml:space="preserve">selected jurisdiction / region boundary</w:t>
            </w:r>
          </w:p>
        </w:tc>
      </w:tr>
      <w:tr>
        <w:tc>
          <w:tcPr/>
          <w:p>
            <w:pPr>
              <w:pStyle w:val="Compact"/>
              <w:jc w:val="left"/>
            </w:pPr>
            <w:r>
              <w:t xml:space="preserve">Dedicated single-tenant</w:t>
            </w:r>
          </w:p>
        </w:tc>
        <w:tc>
          <w:tcPr/>
          <w:p>
            <w:pPr>
              <w:pStyle w:val="Compact"/>
              <w:jc w:val="left"/>
            </w:pPr>
            <w:r>
              <w:t xml:space="preserve">dedicated runtime + region-selected data store</w:t>
            </w:r>
          </w:p>
        </w:tc>
      </w:tr>
      <w:tr>
        <w:tc>
          <w:tcPr/>
          <w:p>
            <w:pPr>
              <w:pStyle w:val="Compact"/>
              <w:jc w:val="left"/>
            </w:pPr>
            <w:r>
              <w:t xml:space="preserve">Sovereign/private</w:t>
            </w:r>
          </w:p>
        </w:tc>
        <w:tc>
          <w:tcPr/>
          <w:p>
            <w:pPr>
              <w:pStyle w:val="Compact"/>
              <w:jc w:val="left"/>
            </w:pPr>
            <w:r>
              <w:t xml:space="preserve">customer-approved boundary and stricter locality rules</w:t>
            </w:r>
          </w:p>
        </w:tc>
      </w:tr>
      <w:tr>
        <w:tc>
          <w:tcPr/>
          <w:p>
            <w:pPr>
              <w:pStyle w:val="Compact"/>
              <w:jc w:val="left"/>
            </w:pPr>
            <w:r>
              <w:t xml:space="preserve">Edge-assisted</w:t>
            </w:r>
          </w:p>
        </w:tc>
        <w:tc>
          <w:tcPr/>
          <w:p>
            <w:pPr>
              <w:pStyle w:val="Compact"/>
              <w:jc w:val="left"/>
            </w:pPr>
            <w:r>
              <w:t xml:space="preserve">local cached edge data with central sync policy</w:t>
            </w:r>
          </w:p>
        </w:tc>
      </w:tr>
    </w:tbl>
    <w:bookmarkEnd w:id="117"/>
    <w:bookmarkEnd w:id="118"/>
    <w:bookmarkEnd w:id="119"/>
    <w:bookmarkStart w:id="123" w:name="non-functional-requirements"/>
    <w:p>
      <w:pPr>
        <w:pStyle w:val="Heading1"/>
      </w:pPr>
      <w:r>
        <w:t xml:space="preserve">10. Non-Functional Requirements</w:t>
      </w:r>
    </w:p>
    <w:bookmarkStart w:id="120" w:name="performance-multi-institution-scale"/>
    <w:p>
      <w:pPr>
        <w:pStyle w:val="Heading2"/>
      </w:pPr>
      <w:r>
        <w:t xml:space="preserve">10.1 Performance — multi-institution scale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K-12 / Coaching</w:t>
            </w:r>
          </w:p>
        </w:tc>
        <w:tc>
          <w:tcPr/>
          <w:p>
            <w:pPr>
              <w:pStyle w:val="Compact"/>
              <w:jc w:val="left"/>
            </w:pPr>
            <w:r>
              <w:t xml:space="preserve">University</w:t>
            </w:r>
          </w:p>
        </w:tc>
        <w:tc>
          <w:tcPr/>
          <w:p>
            <w:pPr>
              <w:pStyle w:val="Compact"/>
              <w:jc w:val="left"/>
            </w:pPr>
            <w:r>
              <w:t xml:space="preserve">Group / Chain</w:t>
            </w:r>
          </w:p>
        </w:tc>
      </w:tr>
      <w:tr>
        <w:tc>
          <w:tcPr/>
          <w:p>
            <w:pPr>
              <w:pStyle w:val="Compact"/>
              <w:jc w:val="left"/>
            </w:pPr>
            <w:r>
              <w:t xml:space="preserve">API Response Time (P95)</w:t>
            </w:r>
          </w:p>
        </w:tc>
        <w:tc>
          <w:tcPr/>
          <w:p>
            <w:pPr>
              <w:pStyle w:val="Compact"/>
              <w:jc w:val="left"/>
            </w:pPr>
            <w:r>
              <w:t xml:space="preserve">&lt; 200ms</w:t>
            </w:r>
          </w:p>
        </w:tc>
        <w:tc>
          <w:tcPr/>
          <w:p>
            <w:pPr>
              <w:pStyle w:val="Compact"/>
              <w:jc w:val="left"/>
            </w:pPr>
            <w:r>
              <w:t xml:space="preserve">&lt; 250ms</w:t>
            </w:r>
          </w:p>
        </w:tc>
        <w:tc>
          <w:tcPr/>
          <w:p>
            <w:pPr>
              <w:pStyle w:val="Compact"/>
              <w:jc w:val="left"/>
            </w:pPr>
            <w:r>
              <w:t xml:space="preserve">&lt; 300ms</w:t>
            </w:r>
          </w:p>
        </w:tc>
      </w:tr>
      <w:tr>
        <w:tc>
          <w:tcPr/>
          <w:p>
            <w:pPr>
              <w:pStyle w:val="Compact"/>
              <w:jc w:val="left"/>
            </w:pPr>
            <w:r>
              <w:t xml:space="preserve">Page Load (LCP)</w:t>
            </w:r>
          </w:p>
        </w:tc>
        <w:tc>
          <w:tcPr/>
          <w:p>
            <w:pPr>
              <w:pStyle w:val="Compact"/>
              <w:jc w:val="left"/>
            </w:pPr>
            <w:r>
              <w:t xml:space="preserve">&lt; 2s / &lt; 3s low bandwidth</w:t>
            </w:r>
          </w:p>
        </w:tc>
        <w:tc>
          <w:tcPr/>
          <w:p>
            <w:pPr>
              <w:pStyle w:val="Compact"/>
              <w:jc w:val="left"/>
            </w:pPr>
            <w:r>
              <w:t xml:space="preserve">&lt; 2.5s</w:t>
            </w:r>
          </w:p>
        </w:tc>
        <w:tc>
          <w:tcPr/>
          <w:p>
            <w:pPr>
              <w:pStyle w:val="Compact"/>
              <w:jc w:val="left"/>
            </w:pPr>
            <w:r>
              <w:t xml:space="preserve">&lt; 3s</w:t>
            </w:r>
          </w:p>
        </w:tc>
      </w:tr>
      <w:tr>
        <w:tc>
          <w:tcPr/>
          <w:p>
            <w:pPr>
              <w:pStyle w:val="Compact"/>
              <w:jc w:val="left"/>
            </w:pPr>
            <w:r>
              <w:t xml:space="preserve">Concurrent Users</w:t>
            </w:r>
          </w:p>
        </w:tc>
        <w:tc>
          <w:tcPr/>
          <w:p>
            <w:pPr>
              <w:pStyle w:val="Compact"/>
              <w:jc w:val="left"/>
            </w:pPr>
            <w:r>
              <w:t xml:space="preserve">2,000 / campus</w:t>
            </w:r>
          </w:p>
        </w:tc>
        <w:tc>
          <w:tcPr/>
          <w:p>
            <w:pPr>
              <w:pStyle w:val="Compact"/>
              <w:jc w:val="left"/>
            </w:pPr>
            <w:r>
              <w:t xml:space="preserve">25,000 / institution</w:t>
            </w:r>
          </w:p>
        </w:tc>
        <w:tc>
          <w:tcPr/>
          <w:p>
            <w:pPr>
              <w:pStyle w:val="Compact"/>
              <w:jc w:val="left"/>
            </w:pPr>
            <w:r>
              <w:t xml:space="preserve">100,000 / group</w:t>
            </w:r>
          </w:p>
        </w:tc>
      </w:tr>
      <w:tr>
        <w:tc>
          <w:tcPr/>
          <w:p>
            <w:pPr>
              <w:pStyle w:val="Compact"/>
              <w:jc w:val="left"/>
            </w:pPr>
            <w:r>
              <w:t xml:space="preserve">Attendance notification</w:t>
            </w:r>
          </w:p>
        </w:tc>
        <w:tc>
          <w:tcPr/>
          <w:p>
            <w:pPr>
              <w:pStyle w:val="Compact"/>
              <w:jc w:val="left"/>
            </w:pPr>
            <w:r>
              <w:t xml:space="preserve">&lt; 5 minutes</w:t>
            </w:r>
          </w:p>
        </w:tc>
        <w:tc>
          <w:tcPr/>
          <w:p>
            <w:pPr>
              <w:pStyle w:val="Compact"/>
              <w:jc w:val="left"/>
            </w:pPr>
            <w:r>
              <w:t xml:space="preserve">&lt; 5 minutes</w:t>
            </w:r>
          </w:p>
        </w:tc>
        <w:tc>
          <w:tcPr/>
          <w:p>
            <w:pPr>
              <w:pStyle w:val="Compact"/>
              <w:jc w:val="left"/>
            </w:pPr>
            <w:r>
              <w:t xml:space="preserve">&lt; 5 minutes</w:t>
            </w:r>
          </w:p>
        </w:tc>
      </w:tr>
      <w:tr>
        <w:tc>
          <w:tcPr/>
          <w:p>
            <w:pPr>
              <w:pStyle w:val="Compact"/>
              <w:jc w:val="left"/>
            </w:pPr>
            <w:r>
              <w:t xml:space="preserve">Test result processing</w:t>
            </w:r>
          </w:p>
        </w:tc>
        <w:tc>
          <w:tcPr/>
          <w:p>
            <w:pPr>
              <w:pStyle w:val="Compact"/>
              <w:jc w:val="left"/>
            </w:pPr>
            <w:r>
              <w:t xml:space="preserve">1,000 scripts/hour</w:t>
            </w:r>
          </w:p>
        </w:tc>
        <w:tc>
          <w:tcPr/>
          <w:p>
            <w:pPr>
              <w:pStyle w:val="Compact"/>
              <w:jc w:val="left"/>
            </w:pPr>
            <w:r>
              <w:t xml:space="preserve">5,000 scripts/hour</w:t>
            </w:r>
          </w:p>
        </w:tc>
        <w:tc>
          <w:tcPr/>
          <w:p>
            <w:pPr>
              <w:pStyle w:val="Compact"/>
              <w:jc w:val="left"/>
            </w:pPr>
            <w:r>
              <w:t xml:space="preserve">50,000 scripts/hour</w:t>
            </w:r>
          </w:p>
        </w:tc>
      </w:tr>
      <w:tr>
        <w:tc>
          <w:tcPr/>
          <w:p>
            <w:pPr>
              <w:pStyle w:val="Compact"/>
              <w:jc w:val="left"/>
            </w:pPr>
            <w:r>
              <w:t xml:space="preserve">Group KPI dashboard refresh</w:t>
            </w:r>
          </w:p>
        </w:tc>
        <w:tc>
          <w:tcPr/>
          <w:p>
            <w:pPr>
              <w:pStyle w:val="Compact"/>
              <w:jc w:val="left"/>
            </w:pPr>
            <w:r>
              <w:t xml:space="preserve">N/A</w:t>
            </w:r>
          </w:p>
        </w:tc>
        <w:tc>
          <w:tcPr/>
          <w:p>
            <w:pPr>
              <w:pStyle w:val="Compact"/>
              <w:jc w:val="left"/>
            </w:pPr>
            <w:r>
              <w:t xml:space="preserve">N/A</w:t>
            </w:r>
          </w:p>
        </w:tc>
        <w:tc>
          <w:tcPr/>
          <w:p>
            <w:pPr>
              <w:pStyle w:val="Compact"/>
              <w:jc w:val="left"/>
            </w:pPr>
            <w:r>
              <w:t xml:space="preserve">&lt; 60 seconds</w:t>
            </w:r>
          </w:p>
        </w:tc>
      </w:tr>
      <w:tr>
        <w:tc>
          <w:tcPr/>
          <w:p>
            <w:pPr>
              <w:pStyle w:val="Compact"/>
              <w:jc w:val="left"/>
            </w:pPr>
            <w:r>
              <w:t xml:space="preserve">Accreditation SSR generation</w:t>
            </w:r>
          </w:p>
        </w:tc>
        <w:tc>
          <w:tcPr/>
          <w:p>
            <w:pPr>
              <w:pStyle w:val="Compact"/>
              <w:jc w:val="left"/>
            </w:pPr>
            <w:r>
              <w:t xml:space="preserve">N/A</w:t>
            </w:r>
          </w:p>
        </w:tc>
        <w:tc>
          <w:tcPr/>
          <w:p>
            <w:pPr>
              <w:pStyle w:val="Compact"/>
              <w:jc w:val="left"/>
            </w:pPr>
            <w:r>
              <w:t xml:space="preserve">&lt; 4 hours</w:t>
            </w:r>
          </w:p>
        </w:tc>
        <w:tc>
          <w:tcPr/>
          <w:p>
            <w:pPr>
              <w:pStyle w:val="Compact"/>
              <w:jc w:val="left"/>
            </w:pPr>
            <w:r>
              <w:t xml:space="preserve">N/A</w:t>
            </w:r>
          </w:p>
        </w:tc>
      </w:tr>
      <w:tr>
        <w:tc>
          <w:tcPr/>
          <w:p>
            <w:pPr>
              <w:pStyle w:val="Compact"/>
              <w:jc w:val="left"/>
            </w:pPr>
            <w:r>
              <w:t xml:space="preserve">Offline sync (72-hour backlog)</w:t>
            </w:r>
          </w:p>
        </w:tc>
        <w:tc>
          <w:tcPr/>
          <w:p>
            <w:pPr>
              <w:pStyle w:val="Compact"/>
              <w:jc w:val="left"/>
            </w:pPr>
            <w:r>
              <w:t xml:space="preserve">&lt; 5 minutes</w:t>
            </w:r>
          </w:p>
        </w:tc>
        <w:tc>
          <w:tcPr/>
          <w:p>
            <w:pPr>
              <w:pStyle w:val="Compact"/>
              <w:jc w:val="left"/>
            </w:pPr>
            <w:r>
              <w:t xml:space="preserve">&lt; 10 minutes</w:t>
            </w:r>
          </w:p>
        </w:tc>
        <w:tc>
          <w:tcPr/>
          <w:p>
            <w:pPr>
              <w:pStyle w:val="Compact"/>
              <w:jc w:val="left"/>
            </w:pPr>
            <w:r>
              <w:t xml:space="preserve">N/A</w:t>
            </w:r>
          </w:p>
        </w:tc>
      </w:tr>
    </w:tbl>
    <w:bookmarkEnd w:id="120"/>
    <w:bookmarkStart w:id="121" w:name="availability-and-reliability"/>
    <w:p>
      <w:pPr>
        <w:pStyle w:val="Heading2"/>
      </w:pPr>
      <w:r>
        <w:t xml:space="preserve">10.2 Availability and reliability</w:t>
      </w:r>
    </w:p>
    <w:p>
      <w:pPr>
        <w:pStyle w:val="Compact"/>
        <w:numPr>
          <w:ilvl w:val="0"/>
          <w:numId w:val="1026"/>
        </w:numPr>
      </w:pPr>
      <w:r>
        <w:t xml:space="preserve">Standard tier: 99.9% uptime SLA</w:t>
      </w:r>
      <w:r>
        <w:br/>
      </w:r>
    </w:p>
    <w:p>
      <w:pPr>
        <w:pStyle w:val="Compact"/>
        <w:numPr>
          <w:ilvl w:val="0"/>
          <w:numId w:val="1026"/>
        </w:numPr>
      </w:pPr>
      <w:r>
        <w:t xml:space="preserve">Professional tier: 99.95% uptime SLA</w:t>
      </w:r>
      <w:r>
        <w:br/>
      </w:r>
    </w:p>
    <w:p>
      <w:pPr>
        <w:pStyle w:val="Compact"/>
        <w:numPr>
          <w:ilvl w:val="0"/>
          <w:numId w:val="1026"/>
        </w:numPr>
      </w:pPr>
      <w:r>
        <w:t xml:space="preserve">Enterprise / regulated tier: 99.99% target</w:t>
      </w:r>
      <w:r>
        <w:br/>
      </w:r>
    </w:p>
    <w:p>
      <w:pPr>
        <w:pStyle w:val="Compact"/>
        <w:numPr>
          <w:ilvl w:val="0"/>
          <w:numId w:val="1026"/>
        </w:numPr>
      </w:pPr>
      <w:r>
        <w:t xml:space="preserve">Backup verification, restore drills, and recovery evidence required by deployment tier</w:t>
      </w:r>
    </w:p>
    <w:bookmarkEnd w:id="121"/>
    <w:bookmarkStart w:id="122" w:name="accessibility-operating-model"/>
    <w:p>
      <w:pPr>
        <w:pStyle w:val="Heading2"/>
      </w:pPr>
      <w:r>
        <w:t xml:space="preserve">10.3 Accessibility operating model</w:t>
      </w:r>
    </w:p>
    <w:p>
      <w:pPr>
        <w:pStyle w:val="Compact"/>
        <w:numPr>
          <w:ilvl w:val="0"/>
          <w:numId w:val="1027"/>
        </w:numPr>
      </w:pPr>
      <w:r>
        <w:t xml:space="preserve">accessibility review before engineering handoff,</w:t>
      </w:r>
    </w:p>
    <w:p>
      <w:pPr>
        <w:pStyle w:val="Compact"/>
        <w:numPr>
          <w:ilvl w:val="0"/>
          <w:numId w:val="1027"/>
        </w:numPr>
      </w:pPr>
      <w:r>
        <w:t xml:space="preserve">automated checks in CI and manual assistive-tech review before GA,</w:t>
      </w:r>
    </w:p>
    <w:p>
      <w:pPr>
        <w:pStyle w:val="Compact"/>
        <w:numPr>
          <w:ilvl w:val="0"/>
          <w:numId w:val="1027"/>
        </w:numPr>
      </w:pPr>
      <w:r>
        <w:t xml:space="preserve">no critical blockers in Tier 1 workflows,</w:t>
      </w:r>
    </w:p>
    <w:p>
      <w:pPr>
        <w:pStyle w:val="Compact"/>
        <w:numPr>
          <w:ilvl w:val="0"/>
          <w:numId w:val="1027"/>
        </w:numPr>
      </w:pPr>
      <w:r>
        <w:t xml:space="preserve">VPAT ownership and approval workflow,</w:t>
      </w:r>
    </w:p>
    <w:p>
      <w:pPr>
        <w:pStyle w:val="Compact"/>
        <w:numPr>
          <w:ilvl w:val="0"/>
          <w:numId w:val="1027"/>
        </w:numPr>
      </w:pPr>
      <w:r>
        <w:t xml:space="preserve">remediation SLAs by severity,</w:t>
      </w:r>
    </w:p>
    <w:p>
      <w:pPr>
        <w:pStyle w:val="Compact"/>
        <w:numPr>
          <w:ilvl w:val="0"/>
          <w:numId w:val="1027"/>
        </w:numPr>
      </w:pPr>
      <w:r>
        <w:t xml:space="preserve">keyboard navigation, semantic structure, screen-reader compatibility, visible focus order, caption/transcript support.</w:t>
      </w:r>
    </w:p>
    <w:bookmarkEnd w:id="122"/>
    <w:bookmarkEnd w:id="123"/>
    <w:bookmarkStart w:id="127" w:name="integrations-standards-api-ecosystem"/>
    <w:p>
      <w:pPr>
        <w:pStyle w:val="Heading1"/>
      </w:pPr>
      <w:r>
        <w:t xml:space="preserve">11. Integrations, Standards &amp; API Ecosystem</w:t>
      </w:r>
    </w:p>
    <w:bookmarkStart w:id="124" w:name="standards-posture"/>
    <w:p>
      <w:pPr>
        <w:pStyle w:val="Heading2"/>
      </w:pPr>
      <w:r>
        <w:t xml:space="preserve">11.1 Standards posture</w:t>
      </w:r>
    </w:p>
    <w:p>
      <w:pPr>
        <w:pStyle w:val="FirstParagraph"/>
      </w:pPr>
      <w:r>
        <w:t xml:space="preserve">ScholarMind v6 aligns to recognized education, credential, accessibility, security, and AI-governance standards. Support is versioned, documented, and release-managed.</w:t>
      </w:r>
    </w:p>
    <w:bookmarkEnd w:id="124"/>
    <w:bookmarkStart w:id="125" w:name="standards-and-protocol-status-matrix"/>
    <w:p>
      <w:pPr>
        <w:pStyle w:val="Heading2"/>
      </w:pPr>
      <w:r>
        <w:t xml:space="preserve">11.2 Standards and protocol status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Capability</w:t>
            </w:r>
          </w:p>
        </w:tc>
        <w:tc>
          <w:tcPr/>
          <w:p>
            <w:pPr>
              <w:pStyle w:val="Compact"/>
              <w:jc w:val="left"/>
            </w:pPr>
            <w:r>
              <w:t xml:space="preserve">Standard / Protocol</w:t>
            </w:r>
          </w:p>
        </w:tc>
        <w:tc>
          <w:tcPr/>
          <w:p>
            <w:pPr>
              <w:pStyle w:val="Compact"/>
              <w:jc w:val="left"/>
            </w:pPr>
            <w:r>
              <w:t xml:space="preserve">v6 Status</w:t>
            </w:r>
          </w:p>
        </w:tc>
      </w:tr>
      <w:tr>
        <w:tc>
          <w:tcPr/>
          <w:p>
            <w:pPr>
              <w:pStyle w:val="Compact"/>
              <w:jc w:val="left"/>
            </w:pPr>
            <w:r>
              <w:t xml:space="preserve">Badge and portable achievement issuance</w:t>
            </w:r>
          </w:p>
        </w:tc>
        <w:tc>
          <w:tcPr/>
          <w:p>
            <w:pPr>
              <w:pStyle w:val="Compact"/>
              <w:jc w:val="left"/>
            </w:pPr>
            <w:r>
              <w:t xml:space="preserve">Open Badges-aligned support</w:t>
            </w:r>
          </w:p>
        </w:tc>
        <w:tc>
          <w:tcPr/>
          <w:p>
            <w:pPr>
              <w:pStyle w:val="Compact"/>
              <w:jc w:val="left"/>
            </w:pPr>
            <w:r>
              <w:t xml:space="preserve">Tier 2 build target</w:t>
            </w:r>
          </w:p>
        </w:tc>
      </w:tr>
      <w:tr>
        <w:tc>
          <w:tcPr/>
          <w:p>
            <w:pPr>
              <w:pStyle w:val="Compact"/>
              <w:jc w:val="left"/>
            </w:pPr>
            <w:r>
              <w:t xml:space="preserve">Longitudinal learner bundle</w:t>
            </w:r>
          </w:p>
        </w:tc>
        <w:tc>
          <w:tcPr/>
          <w:p>
            <w:pPr>
              <w:pStyle w:val="Compact"/>
              <w:jc w:val="left"/>
            </w:pPr>
            <w:r>
              <w:t xml:space="preserve">CLR-style architecture</w:t>
            </w:r>
          </w:p>
        </w:tc>
        <w:tc>
          <w:tcPr/>
          <w:p>
            <w:pPr>
              <w:pStyle w:val="Compact"/>
              <w:jc w:val="left"/>
            </w:pPr>
            <w:r>
              <w:t xml:space="preserve">Tier 2 build target</w:t>
            </w:r>
          </w:p>
        </w:tc>
      </w:tr>
      <w:tr>
        <w:tc>
          <w:tcPr/>
          <w:p>
            <w:pPr>
              <w:pStyle w:val="Compact"/>
              <w:jc w:val="left"/>
            </w:pPr>
            <w:r>
              <w:t xml:space="preserve">Verifiable credential model</w:t>
            </w:r>
          </w:p>
        </w:tc>
        <w:tc>
          <w:tcPr/>
          <w:p>
            <w:pPr>
              <w:pStyle w:val="Compact"/>
              <w:jc w:val="left"/>
            </w:pPr>
            <w:r>
              <w:t xml:space="preserve">VC-compatible trust model</w:t>
            </w:r>
          </w:p>
        </w:tc>
        <w:tc>
          <w:tcPr/>
          <w:p>
            <w:pPr>
              <w:pStyle w:val="Compact"/>
              <w:jc w:val="left"/>
            </w:pPr>
            <w:r>
              <w:t xml:space="preserve">Tier 2 build target</w:t>
            </w:r>
          </w:p>
        </w:tc>
      </w:tr>
      <w:tr>
        <w:tc>
          <w:tcPr/>
          <w:p>
            <w:pPr>
              <w:pStyle w:val="Compact"/>
              <w:jc w:val="left"/>
            </w:pPr>
            <w:r>
              <w:t xml:space="preserve">Competency exchange</w:t>
            </w:r>
          </w:p>
        </w:tc>
        <w:tc>
          <w:tcPr/>
          <w:p>
            <w:pPr>
              <w:pStyle w:val="Compact"/>
              <w:jc w:val="left"/>
            </w:pPr>
            <w:r>
              <w:t xml:space="preserve">CASE-style framework alignment</w:t>
            </w:r>
          </w:p>
        </w:tc>
        <w:tc>
          <w:tcPr/>
          <w:p>
            <w:pPr>
              <w:pStyle w:val="Compact"/>
              <w:jc w:val="left"/>
            </w:pPr>
            <w:r>
              <w:t xml:space="preserve">Tier 2 build target</w:t>
            </w:r>
          </w:p>
        </w:tc>
      </w:tr>
      <w:tr>
        <w:tc>
          <w:tcPr/>
          <w:p>
            <w:pPr>
              <w:pStyle w:val="Compact"/>
              <w:jc w:val="left"/>
            </w:pPr>
            <w:r>
              <w:t xml:space="preserve">Learning event ingestion</w:t>
            </w:r>
          </w:p>
        </w:tc>
        <w:tc>
          <w:tcPr/>
          <w:p>
            <w:pPr>
              <w:pStyle w:val="Compact"/>
              <w:jc w:val="left"/>
            </w:pPr>
            <w:r>
              <w:t xml:space="preserve">xAPI / Caliper-aligned strategy</w:t>
            </w:r>
          </w:p>
        </w:tc>
        <w:tc>
          <w:tcPr/>
          <w:p>
            <w:pPr>
              <w:pStyle w:val="Compact"/>
              <w:jc w:val="left"/>
            </w:pPr>
            <w:r>
              <w:t xml:space="preserve">Tier 2 / Tier 3 phased</w:t>
            </w:r>
          </w:p>
        </w:tc>
      </w:tr>
      <w:tr>
        <w:tc>
          <w:tcPr/>
          <w:p>
            <w:pPr>
              <w:pStyle w:val="Compact"/>
              <w:jc w:val="left"/>
            </w:pPr>
            <w:r>
              <w:t xml:space="preserve">LMS connectivity</w:t>
            </w:r>
          </w:p>
        </w:tc>
        <w:tc>
          <w:tcPr/>
          <w:p>
            <w:pPr>
              <w:pStyle w:val="Compact"/>
              <w:jc w:val="left"/>
            </w:pPr>
            <w:r>
              <w:t xml:space="preserve">LTI 1.3</w:t>
            </w:r>
          </w:p>
        </w:tc>
        <w:tc>
          <w:tcPr/>
          <w:p>
            <w:pPr>
              <w:pStyle w:val="Compact"/>
              <w:jc w:val="left"/>
            </w:pPr>
            <w:r>
              <w:t xml:space="preserve">supported roadmap</w:t>
            </w:r>
          </w:p>
        </w:tc>
      </w:tr>
      <w:tr>
        <w:tc>
          <w:tcPr/>
          <w:p>
            <w:pPr>
              <w:pStyle w:val="Compact"/>
              <w:jc w:val="left"/>
            </w:pPr>
            <w:r>
              <w:t xml:space="preserve">Institutional data exchange</w:t>
            </w:r>
          </w:p>
        </w:tc>
        <w:tc>
          <w:tcPr/>
          <w:p>
            <w:pPr>
              <w:pStyle w:val="Compact"/>
              <w:jc w:val="left"/>
            </w:pPr>
            <w:r>
              <w:t xml:space="preserve">OneRoster / SIF / Ed-Fi where relevant</w:t>
            </w:r>
          </w:p>
        </w:tc>
        <w:tc>
          <w:tcPr/>
          <w:p>
            <w:pPr>
              <w:pStyle w:val="Compact"/>
              <w:jc w:val="left"/>
            </w:pPr>
            <w:r>
              <w:t xml:space="preserve">phased by segment</w:t>
            </w:r>
          </w:p>
        </w:tc>
      </w:tr>
      <w:tr>
        <w:tc>
          <w:tcPr/>
          <w:p>
            <w:pPr>
              <w:pStyle w:val="Compact"/>
              <w:jc w:val="left"/>
            </w:pPr>
            <w:r>
              <w:t xml:space="preserve">Identity federation</w:t>
            </w:r>
          </w:p>
        </w:tc>
        <w:tc>
          <w:tcPr/>
          <w:p>
            <w:pPr>
              <w:pStyle w:val="Compact"/>
              <w:jc w:val="left"/>
            </w:pPr>
            <w:r>
              <w:t xml:space="preserve">SAML / OIDC / SCIM</w:t>
            </w:r>
          </w:p>
        </w:tc>
        <w:tc>
          <w:tcPr/>
          <w:p>
            <w:pPr>
              <w:pStyle w:val="Compact"/>
              <w:jc w:val="left"/>
            </w:pPr>
            <w:r>
              <w:t xml:space="preserve">Foundation</w:t>
            </w:r>
          </w:p>
        </w:tc>
      </w:tr>
      <w:tr>
        <w:tc>
          <w:tcPr/>
          <w:p>
            <w:pPr>
              <w:pStyle w:val="Compact"/>
              <w:jc w:val="left"/>
            </w:pPr>
            <w:r>
              <w:t xml:space="preserve">Accessibility baseline</w:t>
            </w:r>
          </w:p>
        </w:tc>
        <w:tc>
          <w:tcPr/>
          <w:p>
            <w:pPr>
              <w:pStyle w:val="Compact"/>
              <w:jc w:val="left"/>
            </w:pPr>
            <w:r>
              <w:t xml:space="preserve">WCAG-aligned design/testing</w:t>
            </w:r>
          </w:p>
        </w:tc>
        <w:tc>
          <w:tcPr/>
          <w:p>
            <w:pPr>
              <w:pStyle w:val="Compact"/>
              <w:jc w:val="left"/>
            </w:pPr>
            <w:r>
              <w:t xml:space="preserve">Foundation</w:t>
            </w:r>
          </w:p>
        </w:tc>
      </w:tr>
      <w:tr>
        <w:tc>
          <w:tcPr/>
          <w:p>
            <w:pPr>
              <w:pStyle w:val="Compact"/>
              <w:jc w:val="left"/>
            </w:pPr>
            <w:r>
              <w:t xml:space="preserve">Procurement evidence for higher-ed</w:t>
            </w:r>
          </w:p>
        </w:tc>
        <w:tc>
          <w:tcPr/>
          <w:p>
            <w:pPr>
              <w:pStyle w:val="Compact"/>
              <w:jc w:val="left"/>
            </w:pPr>
            <w:r>
              <w:t xml:space="preserve">HECVAT-ready evidence packaging</w:t>
            </w:r>
          </w:p>
        </w:tc>
        <w:tc>
          <w:tcPr/>
          <w:p>
            <w:pPr>
              <w:pStyle w:val="Compact"/>
              <w:jc w:val="left"/>
            </w:pPr>
            <w:r>
              <w:t xml:space="preserve">Foundation / trust pack</w:t>
            </w:r>
          </w:p>
        </w:tc>
      </w:tr>
      <w:tr>
        <w:tc>
          <w:tcPr/>
          <w:p>
            <w:pPr>
              <w:pStyle w:val="Compact"/>
              <w:jc w:val="left"/>
            </w:pPr>
            <w:r>
              <w:t xml:space="preserve">Payment security control scope</w:t>
            </w:r>
          </w:p>
        </w:tc>
        <w:tc>
          <w:tcPr/>
          <w:p>
            <w:pPr>
              <w:pStyle w:val="Compact"/>
              <w:jc w:val="left"/>
            </w:pPr>
            <w:r>
              <w:t xml:space="preserve">PCI-aware control mapping</w:t>
            </w:r>
          </w:p>
        </w:tc>
        <w:tc>
          <w:tcPr/>
          <w:p>
            <w:pPr>
              <w:pStyle w:val="Compact"/>
              <w:jc w:val="left"/>
            </w:pPr>
            <w:r>
              <w:t xml:space="preserve">Foundation / payments</w:t>
            </w:r>
          </w:p>
        </w:tc>
      </w:tr>
      <w:tr>
        <w:tc>
          <w:tcPr/>
          <w:p>
            <w:pPr>
              <w:pStyle w:val="Compact"/>
              <w:jc w:val="left"/>
            </w:pPr>
            <w:r>
              <w:t xml:space="preserve">AI governance control language</w:t>
            </w:r>
          </w:p>
        </w:tc>
        <w:tc>
          <w:tcPr/>
          <w:p>
            <w:pPr>
              <w:pStyle w:val="Compact"/>
              <w:jc w:val="left"/>
            </w:pPr>
            <w:r>
              <w:t xml:space="preserve">NIST-style AI risk management alignment</w:t>
            </w:r>
          </w:p>
        </w:tc>
        <w:tc>
          <w:tcPr/>
          <w:p>
            <w:pPr>
              <w:pStyle w:val="Compact"/>
              <w:jc w:val="left"/>
            </w:pPr>
            <w:r>
              <w:t xml:space="preserve">Foundation / AI governance</w:t>
            </w:r>
          </w:p>
        </w:tc>
      </w:tr>
    </w:tbl>
    <w:bookmarkEnd w:id="125"/>
    <w:bookmarkStart w:id="126" w:name="api-domains-and-integration-model"/>
    <w:p>
      <w:pPr>
        <w:pStyle w:val="Heading2"/>
      </w:pPr>
      <w:r>
        <w:t xml:space="preserve">11.3 API domains and integration model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API Domain</w:t>
            </w:r>
          </w:p>
        </w:tc>
        <w:tc>
          <w:tcPr/>
          <w:p>
            <w:pPr>
              <w:pStyle w:val="Compact"/>
              <w:jc w:val="left"/>
            </w:pPr>
            <w:r>
              <w:t xml:space="preserve">Core Objects</w:t>
            </w:r>
          </w:p>
        </w:tc>
      </w:tr>
      <w:tr>
        <w:tc>
          <w:tcPr/>
          <w:p>
            <w:pPr>
              <w:pStyle w:val="Compact"/>
              <w:jc w:val="left"/>
            </w:pPr>
            <w:r>
              <w:t xml:space="preserve">Identity API</w:t>
            </w:r>
          </w:p>
        </w:tc>
        <w:tc>
          <w:tcPr/>
          <w:p>
            <w:pPr>
              <w:pStyle w:val="Compact"/>
              <w:jc w:val="left"/>
            </w:pPr>
            <w:r>
              <w:t xml:space="preserve">user, role, session, auth factor, consent actor</w:t>
            </w:r>
          </w:p>
        </w:tc>
      </w:tr>
      <w:tr>
        <w:tc>
          <w:tcPr/>
          <w:p>
            <w:pPr>
              <w:pStyle w:val="Compact"/>
              <w:jc w:val="left"/>
            </w:pPr>
            <w:r>
              <w:t xml:space="preserve">Learner API</w:t>
            </w:r>
          </w:p>
        </w:tc>
        <w:tc>
          <w:tcPr/>
          <w:p>
            <w:pPr>
              <w:pStyle w:val="Compact"/>
              <w:jc w:val="left"/>
            </w:pPr>
            <w:r>
              <w:t xml:space="preserve">learner, guardian, enrollment, progression state</w:t>
            </w:r>
          </w:p>
        </w:tc>
      </w:tr>
      <w:tr>
        <w:tc>
          <w:tcPr/>
          <w:p>
            <w:pPr>
              <w:pStyle w:val="Compact"/>
              <w:jc w:val="left"/>
            </w:pPr>
            <w:r>
              <w:t xml:space="preserve">Academic API</w:t>
            </w:r>
          </w:p>
        </w:tc>
        <w:tc>
          <w:tcPr/>
          <w:p>
            <w:pPr>
              <w:pStyle w:val="Compact"/>
              <w:jc w:val="left"/>
            </w:pPr>
            <w:r>
              <w:t xml:space="preserve">course, program, cohort, batch, timetable, outcome, assessment</w:t>
            </w:r>
          </w:p>
        </w:tc>
      </w:tr>
      <w:tr>
        <w:tc>
          <w:tcPr/>
          <w:p>
            <w:pPr>
              <w:pStyle w:val="Compact"/>
              <w:jc w:val="left"/>
            </w:pPr>
            <w:r>
              <w:t xml:space="preserve">Finance API</w:t>
            </w:r>
          </w:p>
        </w:tc>
        <w:tc>
          <w:tcPr/>
          <w:p>
            <w:pPr>
              <w:pStyle w:val="Compact"/>
              <w:jc w:val="left"/>
            </w:pPr>
            <w:r>
              <w:t xml:space="preserve">invoice, payment, settlement, refund, sponsor account, aid package</w:t>
            </w:r>
          </w:p>
        </w:tc>
      </w:tr>
      <w:tr>
        <w:tc>
          <w:tcPr/>
          <w:p>
            <w:pPr>
              <w:pStyle w:val="Compact"/>
              <w:jc w:val="left"/>
            </w:pPr>
            <w:r>
              <w:t xml:space="preserve">Credential API</w:t>
            </w:r>
          </w:p>
        </w:tc>
        <w:tc>
          <w:tcPr/>
          <w:p>
            <w:pPr>
              <w:pStyle w:val="Compact"/>
              <w:jc w:val="left"/>
            </w:pPr>
            <w:r>
              <w:t xml:space="preserve">award, badge, transcript bundle, evidence object, verifier record</w:t>
            </w:r>
          </w:p>
        </w:tc>
      </w:tr>
      <w:tr>
        <w:tc>
          <w:tcPr/>
          <w:p>
            <w:pPr>
              <w:pStyle w:val="Compact"/>
              <w:jc w:val="left"/>
            </w:pPr>
            <w:r>
              <w:t xml:space="preserve">Success API</w:t>
            </w:r>
          </w:p>
        </w:tc>
        <w:tc>
          <w:tcPr/>
          <w:p>
            <w:pPr>
              <w:pStyle w:val="Compact"/>
              <w:jc w:val="left"/>
            </w:pPr>
            <w:r>
              <w:t xml:space="preserve">case, signal, task, referral, intervention outcome</w:t>
            </w:r>
          </w:p>
        </w:tc>
      </w:tr>
      <w:tr>
        <w:tc>
          <w:tcPr/>
          <w:p>
            <w:pPr>
              <w:pStyle w:val="Compact"/>
              <w:jc w:val="left"/>
            </w:pPr>
            <w:r>
              <w:t xml:space="preserve">Compliance API</w:t>
            </w:r>
          </w:p>
        </w:tc>
        <w:tc>
          <w:tcPr/>
          <w:p>
            <w:pPr>
              <w:pStyle w:val="Compact"/>
              <w:jc w:val="left"/>
            </w:pPr>
            <w:r>
              <w:t xml:space="preserve">criterion, evidence artifact, filing pack, disclosure</w:t>
            </w:r>
          </w:p>
        </w:tc>
      </w:tr>
      <w:tr>
        <w:tc>
          <w:tcPr/>
          <w:p>
            <w:pPr>
              <w:pStyle w:val="Compact"/>
              <w:jc w:val="left"/>
            </w:pPr>
            <w:r>
              <w:t xml:space="preserve">Integration API</w:t>
            </w:r>
          </w:p>
        </w:tc>
        <w:tc>
          <w:tcPr/>
          <w:p>
            <w:pPr>
              <w:pStyle w:val="Compact"/>
              <w:jc w:val="left"/>
            </w:pPr>
            <w:r>
              <w:t xml:space="preserve">connector job, sync state, webhook event, retry queue</w:t>
            </w:r>
          </w:p>
        </w:tc>
      </w:tr>
    </w:tbl>
    <w:p>
      <w:pPr>
        <w:pStyle w:val="BodyText"/>
      </w:pPr>
      <w:r>
        <w:t xml:space="preserve">Inbound / outbound patterns include LMS events, identity provisioning, bank statement import, award publishing, ERP posting, government reporting, notifier push, bidirectional SIS/LMS and finance sync, and event-driven revocation or escalation flows.</w:t>
      </w:r>
    </w:p>
    <w:bookmarkEnd w:id="126"/>
    <w:bookmarkEnd w:id="127"/>
    <w:bookmarkStart w:id="131" w:name="data-model-information-architecture"/>
    <w:p>
      <w:pPr>
        <w:pStyle w:val="Heading1"/>
      </w:pPr>
      <w:r>
        <w:t xml:space="preserve">12. Data Model &amp; Information Architecture</w:t>
      </w:r>
    </w:p>
    <w:bookmarkStart w:id="128" w:name="core-data-domains"/>
    <w:p>
      <w:pPr>
        <w:pStyle w:val="Heading2"/>
      </w:pPr>
      <w:r>
        <w:t xml:space="preserve">12.1 Core data domains</w:t>
      </w:r>
    </w:p>
    <w:p>
      <w:pPr>
        <w:pStyle w:val="FirstParagraph"/>
      </w:pPr>
      <w:r>
        <w:t xml:space="preserve">Institution and hierarchy; learner and guardian; academic structure; course / batch / cohort / outcome; credential, award, and evidence; finance, aid, sponsor, and treasury; HR, faculty, instructor, and capacity; student success case and intervention; compliance, accreditation, and audit evidence; AI policy, model registry, and workflow metadata.</w:t>
      </w:r>
    </w:p>
    <w:bookmarkEnd w:id="128"/>
    <w:bookmarkStart w:id="129" w:name="Xbfd9ba16ae1e99cd34b21a9b4642a16175361ba"/>
    <w:p>
      <w:pPr>
        <w:pStyle w:val="Heading2"/>
      </w:pPr>
      <w:r>
        <w:t xml:space="preserve">12.2 Canonical entity list and source of truth</w:t>
      </w:r>
    </w:p>
    <w:p>
      <w:pPr>
        <w:pStyle w:val="FirstParagraph"/>
      </w:pPr>
      <w:r>
        <w:t xml:space="preserve">Core entities include institution, campus, department, learner, guardian, staff, program, course, enrollment, assessment, outcome, invoice, payment, sponsor, credential, case, compliance artifact, integration job, and AI workflow.</w:t>
      </w:r>
      <w:r>
        <w:br/>
      </w:r>
      <w:r>
        <w:t xml:space="preserve">Source-of-truth services are defined for learner identity, guardian relationship, academic structure, finance state, settlement status, credential issuance, consent, case ownership, audit evidence, and benchmark participation.</w:t>
      </w:r>
    </w:p>
    <w:bookmarkEnd w:id="129"/>
    <w:bookmarkStart w:id="130" w:name="logical-schema-blueprints"/>
    <w:p>
      <w:pPr>
        <w:pStyle w:val="Heading2"/>
      </w:pPr>
      <w:r>
        <w:t xml:space="preserve">12.3 Logical schema blueprints</w:t>
      </w:r>
    </w:p>
    <w:p>
      <w:pPr>
        <w:pStyle w:val="FirstParagraph"/>
      </w:pPr>
      <w:r>
        <w:t xml:space="preserve">Logical schemas are defined for:</w:t>
      </w:r>
      <w:r>
        <w:t xml:space="preserve"> </w:t>
      </w:r>
      <w:r>
        <w:t xml:space="preserve">- credential object,</w:t>
      </w:r>
      <w:r>
        <w:t xml:space="preserve"> </w:t>
      </w:r>
      <w:r>
        <w:t xml:space="preserve">- consent object,</w:t>
      </w:r>
      <w:r>
        <w:t xml:space="preserve"> </w:t>
      </w:r>
      <w:r>
        <w:t xml:space="preserve">- audit log,</w:t>
      </w:r>
      <w:r>
        <w:t xml:space="preserve"> </w:t>
      </w:r>
      <w:r>
        <w:t xml:space="preserve">- benchmark normalization,</w:t>
      </w:r>
      <w:r>
        <w:t xml:space="preserve"> </w:t>
      </w:r>
      <w:r>
        <w:t xml:space="preserve">- deletion and archival model.</w:t>
      </w:r>
    </w:p>
    <w:bookmarkEnd w:id="130"/>
    <w:bookmarkEnd w:id="131"/>
    <w:bookmarkStart w:id="134" w:name="X38b20cb3dc9dfcc750aab1501843909986aa1ed"/>
    <w:p>
      <w:pPr>
        <w:pStyle w:val="Heading1"/>
      </w:pPr>
      <w:r>
        <w:t xml:space="preserve">13. Commercial Architecture, Packaging &amp; Financial Model</w:t>
      </w:r>
    </w:p>
    <w:bookmarkStart w:id="132" w:name="edition-sku-packaging"/>
    <w:p>
      <w:pPr>
        <w:pStyle w:val="Heading2"/>
      </w:pPr>
      <w:r>
        <w:t xml:space="preserve">13.1 Edition &amp; SKU packaging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Edition / Pack</w:t>
            </w:r>
          </w:p>
        </w:tc>
        <w:tc>
          <w:tcPr/>
          <w:p>
            <w:pPr>
              <w:pStyle w:val="Compact"/>
              <w:jc w:val="left"/>
            </w:pPr>
            <w:r>
              <w:t xml:space="preserve">Primary Buyer</w:t>
            </w:r>
          </w:p>
        </w:tc>
        <w:tc>
          <w:tcPr/>
          <w:p>
            <w:pPr>
              <w:pStyle w:val="Compact"/>
              <w:jc w:val="left"/>
            </w:pPr>
            <w:r>
              <w:t xml:space="preserve">Core Fit</w:t>
            </w:r>
          </w:p>
        </w:tc>
        <w:tc>
          <w:tcPr/>
          <w:p>
            <w:pPr>
              <w:pStyle w:val="Compact"/>
              <w:jc w:val="left"/>
            </w:pPr>
            <w:r>
              <w:t xml:space="preserve">Expansion Path</w:t>
            </w:r>
          </w:p>
        </w:tc>
      </w:tr>
      <w:tr>
        <w:tc>
          <w:tcPr/>
          <w:p>
            <w:pPr>
              <w:pStyle w:val="Compact"/>
              <w:jc w:val="left"/>
            </w:pPr>
            <w:r>
              <w:t xml:space="preserve">Schools Core</w:t>
            </w:r>
          </w:p>
        </w:tc>
        <w:tc>
          <w:tcPr/>
          <w:p>
            <w:pPr>
              <w:pStyle w:val="Compact"/>
              <w:jc w:val="left"/>
            </w:pPr>
            <w:r>
              <w:t xml:space="preserve">K-12 schools / chains</w:t>
            </w:r>
          </w:p>
        </w:tc>
        <w:tc>
          <w:tcPr/>
          <w:p>
            <w:pPr>
              <w:pStyle w:val="Compact"/>
              <w:jc w:val="left"/>
            </w:pPr>
            <w:r>
              <w:t xml:space="preserve">admissions, SIS, attendance, assessments, fees, parent experience</w:t>
            </w:r>
          </w:p>
        </w:tc>
        <w:tc>
          <w:tcPr/>
          <w:p>
            <w:pPr>
              <w:pStyle w:val="Compact"/>
              <w:jc w:val="left"/>
            </w:pPr>
            <w:r>
              <w:t xml:space="preserve">International Pack, AI Pack, Payments Pack</w:t>
            </w:r>
          </w:p>
        </w:tc>
      </w:tr>
      <w:tr>
        <w:tc>
          <w:tcPr/>
          <w:p>
            <w:pPr>
              <w:pStyle w:val="Compact"/>
              <w:jc w:val="left"/>
            </w:pPr>
            <w:r>
              <w:t xml:space="preserve">Higher-Ed Core</w:t>
            </w:r>
          </w:p>
        </w:tc>
        <w:tc>
          <w:tcPr/>
          <w:p>
            <w:pPr>
              <w:pStyle w:val="Compact"/>
              <w:jc w:val="left"/>
            </w:pPr>
            <w:r>
              <w:t xml:space="preserve">colleges / universities</w:t>
            </w:r>
          </w:p>
        </w:tc>
        <w:tc>
          <w:tcPr/>
          <w:p>
            <w:pPr>
              <w:pStyle w:val="Compact"/>
              <w:jc w:val="left"/>
            </w:pPr>
            <w:r>
              <w:t xml:space="preserve">registrar, programme, credits, finance, hostel, placement, research-ready base</w:t>
            </w:r>
          </w:p>
        </w:tc>
        <w:tc>
          <w:tcPr/>
          <w:p>
            <w:pPr>
              <w:pStyle w:val="Compact"/>
              <w:jc w:val="left"/>
            </w:pPr>
            <w:r>
              <w:t xml:space="preserve">Research Pack, Alumni Pack, AI Pack</w:t>
            </w:r>
          </w:p>
        </w:tc>
      </w:tr>
      <w:tr>
        <w:tc>
          <w:tcPr/>
          <w:p>
            <w:pPr>
              <w:pStyle w:val="Compact"/>
              <w:jc w:val="left"/>
            </w:pPr>
            <w:r>
              <w:t xml:space="preserve">Coaching Core</w:t>
            </w:r>
          </w:p>
        </w:tc>
        <w:tc>
          <w:tcPr/>
          <w:p>
            <w:pPr>
              <w:pStyle w:val="Compact"/>
              <w:jc w:val="left"/>
            </w:pPr>
            <w:r>
              <w:t xml:space="preserve">coaching centers / franchises</w:t>
            </w:r>
          </w:p>
        </w:tc>
        <w:tc>
          <w:tcPr/>
          <w:p>
            <w:pPr>
              <w:pStyle w:val="Compact"/>
              <w:jc w:val="left"/>
            </w:pPr>
            <w:r>
              <w:t xml:space="preserve">batch ops, tests, content, collections, center analytics</w:t>
            </w:r>
          </w:p>
        </w:tc>
        <w:tc>
          <w:tcPr/>
          <w:p>
            <w:pPr>
              <w:pStyle w:val="Compact"/>
              <w:jc w:val="left"/>
            </w:pPr>
            <w:r>
              <w:t xml:space="preserve">Franchise Governance, Marketplace, AI Pack</w:t>
            </w:r>
          </w:p>
        </w:tc>
      </w:tr>
      <w:tr>
        <w:tc>
          <w:tcPr/>
          <w:p>
            <w:pPr>
              <w:pStyle w:val="Compact"/>
              <w:jc w:val="left"/>
            </w:pPr>
            <w:r>
              <w:t xml:space="preserve">International Pack</w:t>
            </w:r>
          </w:p>
        </w:tc>
        <w:tc>
          <w:tcPr/>
          <w:p>
            <w:pPr>
              <w:pStyle w:val="Compact"/>
              <w:jc w:val="left"/>
            </w:pPr>
            <w:r>
              <w:t xml:space="preserve">cross-border groups</w:t>
            </w:r>
          </w:p>
        </w:tc>
        <w:tc>
          <w:tcPr/>
          <w:p>
            <w:pPr>
              <w:pStyle w:val="Compact"/>
              <w:jc w:val="left"/>
            </w:pPr>
            <w:r>
              <w:t xml:space="preserve">multi-currency, curriculum flexibility, multilingual and residency controls</w:t>
            </w:r>
          </w:p>
        </w:tc>
        <w:tc>
          <w:tcPr/>
          <w:p>
            <w:pPr>
              <w:pStyle w:val="Compact"/>
              <w:jc w:val="left"/>
            </w:pPr>
            <w:r>
              <w:t xml:space="preserve">Group Governance, Dedicated Tenancy</w:t>
            </w:r>
          </w:p>
        </w:tc>
      </w:tr>
      <w:tr>
        <w:tc>
          <w:tcPr/>
          <w:p>
            <w:pPr>
              <w:pStyle w:val="Compact"/>
              <w:jc w:val="left"/>
            </w:pPr>
            <w:r>
              <w:t xml:space="preserve">AI Intelligence Pack</w:t>
            </w:r>
          </w:p>
        </w:tc>
        <w:tc>
          <w:tcPr/>
          <w:p>
            <w:pPr>
              <w:pStyle w:val="Compact"/>
              <w:jc w:val="left"/>
            </w:pPr>
            <w:r>
              <w:t xml:space="preserve">any segment</w:t>
            </w:r>
          </w:p>
        </w:tc>
        <w:tc>
          <w:tcPr/>
          <w:p>
            <w:pPr>
              <w:pStyle w:val="Compact"/>
              <w:jc w:val="left"/>
            </w:pPr>
            <w:r>
              <w:t xml:space="preserve">copilots, automation, command centers, predictive workflows</w:t>
            </w:r>
          </w:p>
        </w:tc>
        <w:tc>
          <w:tcPr/>
          <w:p>
            <w:pPr>
              <w:pStyle w:val="Compact"/>
              <w:jc w:val="left"/>
            </w:pPr>
            <w:r>
              <w:t xml:space="preserve">Premium automation SLAs and model controls</w:t>
            </w:r>
          </w:p>
        </w:tc>
      </w:tr>
      <w:tr>
        <w:tc>
          <w:tcPr/>
          <w:p>
            <w:pPr>
              <w:pStyle w:val="Compact"/>
              <w:jc w:val="left"/>
            </w:pPr>
            <w:r>
              <w:t xml:space="preserve">Payments Pack</w:t>
            </w:r>
          </w:p>
        </w:tc>
        <w:tc>
          <w:tcPr/>
          <w:p>
            <w:pPr>
              <w:pStyle w:val="Compact"/>
              <w:jc w:val="left"/>
            </w:pPr>
            <w:r>
              <w:t xml:space="preserve">finance-led buyers</w:t>
            </w:r>
          </w:p>
        </w:tc>
        <w:tc>
          <w:tcPr/>
          <w:p>
            <w:pPr>
              <w:pStyle w:val="Compact"/>
              <w:jc w:val="left"/>
            </w:pPr>
            <w:r>
              <w:t xml:space="preserve">payment orchestration, treasury visibility, reconciliation, exception handling</w:t>
            </w:r>
          </w:p>
        </w:tc>
        <w:tc>
          <w:tcPr/>
          <w:p>
            <w:pPr>
              <w:pStyle w:val="Compact"/>
              <w:jc w:val="left"/>
            </w:pPr>
            <w:r>
              <w:t xml:space="preserve">Revenue assurance, sponsor billing</w:t>
            </w:r>
          </w:p>
        </w:tc>
      </w:tr>
      <w:tr>
        <w:tc>
          <w:tcPr/>
          <w:p>
            <w:pPr>
              <w:pStyle w:val="Compact"/>
              <w:jc w:val="left"/>
            </w:pPr>
            <w:r>
              <w:t xml:space="preserve">Trust &amp; Procurement Pack</w:t>
            </w:r>
          </w:p>
        </w:tc>
        <w:tc>
          <w:tcPr/>
          <w:p>
            <w:pPr>
              <w:pStyle w:val="Compact"/>
              <w:jc w:val="left"/>
            </w:pPr>
            <w:r>
              <w:t xml:space="preserve">CIO / risk / procurement</w:t>
            </w:r>
          </w:p>
        </w:tc>
        <w:tc>
          <w:tcPr/>
          <w:p>
            <w:pPr>
              <w:pStyle w:val="Compact"/>
              <w:jc w:val="left"/>
            </w:pPr>
            <w:r>
              <w:t xml:space="preserve">evidence room, control matrices, disclosure packs</w:t>
            </w:r>
          </w:p>
        </w:tc>
        <w:tc>
          <w:tcPr/>
          <w:p>
            <w:pPr>
              <w:pStyle w:val="Compact"/>
              <w:jc w:val="left"/>
            </w:pPr>
            <w:r>
              <w:t xml:space="preserve">Advanced compliance and audit support</w:t>
            </w:r>
          </w:p>
        </w:tc>
      </w:tr>
      <w:tr>
        <w:tc>
          <w:tcPr/>
          <w:p>
            <w:pPr>
              <w:pStyle w:val="Compact"/>
              <w:jc w:val="left"/>
            </w:pPr>
            <w:r>
              <w:t xml:space="preserve">Continuing Education Pack</w:t>
            </w:r>
          </w:p>
        </w:tc>
        <w:tc>
          <w:tcPr/>
          <w:p>
            <w:pPr>
              <w:pStyle w:val="Compact"/>
              <w:jc w:val="left"/>
            </w:pPr>
            <w:r>
              <w:t xml:space="preserve">dean / CE director</w:t>
            </w:r>
          </w:p>
        </w:tc>
        <w:tc>
          <w:tcPr/>
          <w:p>
            <w:pPr>
              <w:pStyle w:val="Compact"/>
              <w:jc w:val="left"/>
            </w:pPr>
            <w:r>
              <w:t xml:space="preserve">short-course commerce, sponsor billing, stackable credentials</w:t>
            </w:r>
          </w:p>
        </w:tc>
        <w:tc>
          <w:tcPr/>
          <w:p>
            <w:pPr>
              <w:pStyle w:val="Compact"/>
              <w:jc w:val="left"/>
            </w:pPr>
            <w:r>
              <w:t xml:space="preserve">Workforce and enterprise learning models</w:t>
            </w:r>
          </w:p>
        </w:tc>
      </w:tr>
    </w:tbl>
    <w:bookmarkEnd w:id="132"/>
    <w:bookmarkStart w:id="133" w:name="indicative-commercial-assumptions"/>
    <w:p>
      <w:pPr>
        <w:pStyle w:val="Heading2"/>
      </w:pPr>
      <w:r>
        <w:t xml:space="preserve">13.2 Indicative commercial assumptions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Indicative Assumption</w:t>
            </w:r>
          </w:p>
        </w:tc>
      </w:tr>
      <w:tr>
        <w:tc>
          <w:tcPr/>
          <w:p>
            <w:pPr>
              <w:pStyle w:val="Compact"/>
              <w:jc w:val="left"/>
            </w:pPr>
            <w:r>
              <w:t xml:space="preserve">K-12 / coaching entry ACV</w:t>
            </w:r>
          </w:p>
        </w:tc>
        <w:tc>
          <w:tcPr/>
          <w:p>
            <w:pPr>
              <w:pStyle w:val="Compact"/>
              <w:jc w:val="left"/>
            </w:pPr>
            <w:r>
              <w:t xml:space="preserve">lower 5-figure to low 6-figure USD equivalent depending on campuses / learners</w:t>
            </w:r>
          </w:p>
        </w:tc>
      </w:tr>
      <w:tr>
        <w:tc>
          <w:tcPr/>
          <w:p>
            <w:pPr>
              <w:pStyle w:val="Compact"/>
              <w:jc w:val="left"/>
            </w:pPr>
            <w:r>
              <w:t xml:space="preserve">premium multi-campus chain ACV</w:t>
            </w:r>
          </w:p>
        </w:tc>
        <w:tc>
          <w:tcPr/>
          <w:p>
            <w:pPr>
              <w:pStyle w:val="Compact"/>
              <w:jc w:val="left"/>
            </w:pPr>
            <w:r>
              <w:t xml:space="preserve">mid 6-figure USD equivalent with governance and payments</w:t>
            </w:r>
          </w:p>
        </w:tc>
      </w:tr>
      <w:tr>
        <w:tc>
          <w:tcPr/>
          <w:p>
            <w:pPr>
              <w:pStyle w:val="Compact"/>
              <w:jc w:val="left"/>
            </w:pPr>
            <w:r>
              <w:t xml:space="preserve">university / higher-ed ACV</w:t>
            </w:r>
          </w:p>
        </w:tc>
        <w:tc>
          <w:tcPr/>
          <w:p>
            <w:pPr>
              <w:pStyle w:val="Compact"/>
              <w:jc w:val="left"/>
            </w:pPr>
            <w:r>
              <w:t xml:space="preserve">mid 6-figure to low 7-figure USD equivalent based on scale and modules</w:t>
            </w:r>
          </w:p>
        </w:tc>
      </w:tr>
      <w:tr>
        <w:tc>
          <w:tcPr/>
          <w:p>
            <w:pPr>
              <w:pStyle w:val="Compact"/>
              <w:jc w:val="left"/>
            </w:pPr>
            <w:r>
              <w:t xml:space="preserve">continuing-ed attach</w:t>
            </w:r>
          </w:p>
        </w:tc>
        <w:tc>
          <w:tcPr/>
          <w:p>
            <w:pPr>
              <w:pStyle w:val="Compact"/>
              <w:jc w:val="left"/>
            </w:pPr>
            <w:r>
              <w:t xml:space="preserve">10–20% incremental ACV on institutions with non-degree commerce</w:t>
            </w:r>
          </w:p>
        </w:tc>
      </w:tr>
      <w:tr>
        <w:tc>
          <w:tcPr/>
          <w:p>
            <w:pPr>
              <w:pStyle w:val="Compact"/>
              <w:jc w:val="left"/>
            </w:pPr>
            <w:r>
              <w:t xml:space="preserve">trust / procurement pack attach</w:t>
            </w:r>
          </w:p>
        </w:tc>
        <w:tc>
          <w:tcPr/>
          <w:p>
            <w:pPr>
              <w:pStyle w:val="Compact"/>
              <w:jc w:val="left"/>
            </w:pPr>
            <w:r>
              <w:t xml:space="preserve">highest in higher-ed, public, international, and regulated deals</w:t>
            </w:r>
          </w:p>
        </w:tc>
      </w:tr>
      <w:tr>
        <w:tc>
          <w:tcPr/>
          <w:p>
            <w:pPr>
              <w:pStyle w:val="Compact"/>
              <w:jc w:val="left"/>
            </w:pPr>
            <w:r>
              <w:t xml:space="preserve">implementation services</w:t>
            </w:r>
          </w:p>
        </w:tc>
        <w:tc>
          <w:tcPr/>
          <w:p>
            <w:pPr>
              <w:pStyle w:val="Compact"/>
              <w:jc w:val="left"/>
            </w:pPr>
            <w:r>
              <w:t xml:space="preserve">20–60% of year-1 software value depending on migration/integration complexity</w:t>
            </w:r>
          </w:p>
        </w:tc>
      </w:tr>
      <w:tr>
        <w:tc>
          <w:tcPr/>
          <w:p>
            <w:pPr>
              <w:pStyle w:val="Compact"/>
              <w:jc w:val="left"/>
            </w:pPr>
            <w:r>
              <w:t xml:space="preserve">payment revenue share potential</w:t>
            </w:r>
          </w:p>
        </w:tc>
        <w:tc>
          <w:tcPr/>
          <w:p>
            <w:pPr>
              <w:pStyle w:val="Compact"/>
              <w:jc w:val="left"/>
            </w:pPr>
            <w:r>
              <w:t xml:space="preserve">optional upside, not base case</w:t>
            </w:r>
          </w:p>
        </w:tc>
      </w:tr>
      <w:tr>
        <w:tc>
          <w:tcPr/>
          <w:p>
            <w:pPr>
              <w:pStyle w:val="Compact"/>
              <w:jc w:val="left"/>
            </w:pPr>
            <w:r>
              <w:t xml:space="preserve">AI premium usage</w:t>
            </w:r>
          </w:p>
        </w:tc>
        <w:tc>
          <w:tcPr/>
          <w:p>
            <w:pPr>
              <w:pStyle w:val="Compact"/>
              <w:jc w:val="left"/>
            </w:pPr>
            <w:r>
              <w:t xml:space="preserve">separately metered or package-banded to protect margin</w:t>
            </w:r>
          </w:p>
        </w:tc>
      </w:tr>
    </w:tbl>
    <w:bookmarkEnd w:id="133"/>
    <w:bookmarkEnd w:id="134"/>
    <w:bookmarkStart w:id="140" w:name="X2d03e74dd4ac3299132a45f6fb7d4802554c7a9"/>
    <w:p>
      <w:pPr>
        <w:pStyle w:val="Heading1"/>
      </w:pPr>
      <w:r>
        <w:t xml:space="preserve">14. Migration, Coexistence &amp; Implementation Roadmap</w:t>
      </w:r>
    </w:p>
    <w:bookmarkStart w:id="135" w:name="migration-principles"/>
    <w:p>
      <w:pPr>
        <w:pStyle w:val="Heading2"/>
      </w:pPr>
      <w:r>
        <w:t xml:space="preserve">14.1 Migration principles</w:t>
      </w:r>
    </w:p>
    <w:p>
      <w:pPr>
        <w:pStyle w:val="Compact"/>
        <w:numPr>
          <w:ilvl w:val="0"/>
          <w:numId w:val="1028"/>
        </w:numPr>
      </w:pPr>
      <w:r>
        <w:t xml:space="preserve">no risky big-bang migration without rollback design,</w:t>
      </w:r>
    </w:p>
    <w:p>
      <w:pPr>
        <w:pStyle w:val="Compact"/>
        <w:numPr>
          <w:ilvl w:val="0"/>
          <w:numId w:val="1028"/>
        </w:numPr>
      </w:pPr>
      <w:r>
        <w:t xml:space="preserve">historical records and credentials require reconciliation,</w:t>
      </w:r>
    </w:p>
    <w:p>
      <w:pPr>
        <w:pStyle w:val="Compact"/>
        <w:numPr>
          <w:ilvl w:val="0"/>
          <w:numId w:val="1028"/>
        </w:numPr>
      </w:pPr>
      <w:r>
        <w:t xml:space="preserve">coexistence with LMS, ERP, CRM, and award systems is supported,</w:t>
      </w:r>
    </w:p>
    <w:p>
      <w:pPr>
        <w:pStyle w:val="Compact"/>
        <w:numPr>
          <w:ilvl w:val="0"/>
          <w:numId w:val="1028"/>
        </w:numPr>
      </w:pPr>
      <w:r>
        <w:t xml:space="preserve">data quality assessment is mandatory,</w:t>
      </w:r>
    </w:p>
    <w:p>
      <w:pPr>
        <w:pStyle w:val="Compact"/>
        <w:numPr>
          <w:ilvl w:val="0"/>
          <w:numId w:val="1028"/>
        </w:numPr>
      </w:pPr>
      <w:r>
        <w:t xml:space="preserve">migration success is measured operationally, not only technically.</w:t>
      </w:r>
    </w:p>
    <w:bookmarkEnd w:id="135"/>
    <w:bookmarkStart w:id="136" w:name="migration-factory-workstreams"/>
    <w:p>
      <w:pPr>
        <w:pStyle w:val="Heading2"/>
      </w:pPr>
      <w:r>
        <w:t xml:space="preserve">14.2 Migration factory workstreams</w:t>
      </w:r>
    </w:p>
    <w:p>
      <w:pPr>
        <w:pStyle w:val="Compact"/>
        <w:numPr>
          <w:ilvl w:val="0"/>
          <w:numId w:val="1029"/>
        </w:numPr>
      </w:pPr>
      <w:r>
        <w:t xml:space="preserve">Source system inventory</w:t>
      </w:r>
      <w:r>
        <w:br/>
      </w:r>
    </w:p>
    <w:p>
      <w:pPr>
        <w:pStyle w:val="Compact"/>
        <w:numPr>
          <w:ilvl w:val="0"/>
          <w:numId w:val="1029"/>
        </w:numPr>
      </w:pPr>
      <w:r>
        <w:t xml:space="preserve">Data mapping and canonical model alignment</w:t>
      </w:r>
      <w:r>
        <w:br/>
      </w:r>
    </w:p>
    <w:p>
      <w:pPr>
        <w:pStyle w:val="Compact"/>
        <w:numPr>
          <w:ilvl w:val="0"/>
          <w:numId w:val="1029"/>
        </w:numPr>
      </w:pPr>
      <w:r>
        <w:t xml:space="preserve">Record quality scoring</w:t>
      </w:r>
      <w:r>
        <w:br/>
      </w:r>
    </w:p>
    <w:p>
      <w:pPr>
        <w:pStyle w:val="Compact"/>
        <w:numPr>
          <w:ilvl w:val="0"/>
          <w:numId w:val="1029"/>
        </w:numPr>
      </w:pPr>
      <w:r>
        <w:t xml:space="preserve">Historical award and transcript backfill</w:t>
      </w:r>
      <w:r>
        <w:br/>
      </w:r>
    </w:p>
    <w:p>
      <w:pPr>
        <w:pStyle w:val="Compact"/>
        <w:numPr>
          <w:ilvl w:val="0"/>
          <w:numId w:val="1029"/>
        </w:numPr>
      </w:pPr>
      <w:r>
        <w:t xml:space="preserve">Identity matching and duplicate resolution</w:t>
      </w:r>
      <w:r>
        <w:br/>
      </w:r>
    </w:p>
    <w:p>
      <w:pPr>
        <w:pStyle w:val="Compact"/>
        <w:numPr>
          <w:ilvl w:val="0"/>
          <w:numId w:val="1029"/>
        </w:numPr>
      </w:pPr>
      <w:r>
        <w:t xml:space="preserve">Dry-run cutover and rollback validation</w:t>
      </w:r>
      <w:r>
        <w:br/>
      </w:r>
    </w:p>
    <w:p>
      <w:pPr>
        <w:pStyle w:val="Compact"/>
        <w:numPr>
          <w:ilvl w:val="0"/>
          <w:numId w:val="1029"/>
        </w:numPr>
      </w:pPr>
      <w:r>
        <w:t xml:space="preserve">Stakeholder signoff and exception management</w:t>
      </w:r>
    </w:p>
    <w:bookmarkEnd w:id="136"/>
    <w:bookmarkStart w:id="137" w:name="coexistence-modes"/>
    <w:p>
      <w:pPr>
        <w:pStyle w:val="Heading2"/>
      </w:pPr>
      <w:r>
        <w:t xml:space="preserve">14.3 Coexistence modes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Mode</w:t>
            </w:r>
          </w:p>
        </w:tc>
        <w:tc>
          <w:tcPr/>
          <w:p>
            <w:pPr>
              <w:pStyle w:val="Compact"/>
              <w:jc w:val="left"/>
            </w:pPr>
            <w:r>
              <w:t xml:space="preserve">When Used</w:t>
            </w:r>
          </w:p>
        </w:tc>
        <w:tc>
          <w:tcPr/>
          <w:p>
            <w:pPr>
              <w:pStyle w:val="Compact"/>
              <w:jc w:val="left"/>
            </w:pPr>
            <w:r>
              <w:t xml:space="preserve">Description</w:t>
            </w:r>
          </w:p>
        </w:tc>
      </w:tr>
      <w:tr>
        <w:tc>
          <w:tcPr/>
          <w:p>
            <w:pPr>
              <w:pStyle w:val="Compact"/>
              <w:jc w:val="left"/>
            </w:pPr>
            <w:r>
              <w:t xml:space="preserve">Read-through coexistence</w:t>
            </w:r>
          </w:p>
        </w:tc>
        <w:tc>
          <w:tcPr/>
          <w:p>
            <w:pPr>
              <w:pStyle w:val="Compact"/>
              <w:jc w:val="left"/>
            </w:pPr>
            <w:r>
              <w:t xml:space="preserve">early deployments</w:t>
            </w:r>
          </w:p>
        </w:tc>
        <w:tc>
          <w:tcPr/>
          <w:p>
            <w:pPr>
              <w:pStyle w:val="Compact"/>
              <w:jc w:val="left"/>
            </w:pPr>
            <w:r>
              <w:t xml:space="preserve">legacy system remains source of truth while ScholarMind consumes data</w:t>
            </w:r>
          </w:p>
        </w:tc>
      </w:tr>
      <w:tr>
        <w:tc>
          <w:tcPr/>
          <w:p>
            <w:pPr>
              <w:pStyle w:val="Compact"/>
              <w:jc w:val="left"/>
            </w:pPr>
            <w:r>
              <w:t xml:space="preserve">Write-through coexistence</w:t>
            </w:r>
          </w:p>
        </w:tc>
        <w:tc>
          <w:tcPr/>
          <w:p>
            <w:pPr>
              <w:pStyle w:val="Compact"/>
              <w:jc w:val="left"/>
            </w:pPr>
            <w:r>
              <w:t xml:space="preserve">phased cutover</w:t>
            </w:r>
          </w:p>
        </w:tc>
        <w:tc>
          <w:tcPr/>
          <w:p>
            <w:pPr>
              <w:pStyle w:val="Compact"/>
              <w:jc w:val="left"/>
            </w:pPr>
            <w:r>
              <w:t xml:space="preserve">ScholarMind owns workflow while updates sync to legacy systems</w:t>
            </w:r>
          </w:p>
        </w:tc>
      </w:tr>
      <w:tr>
        <w:tc>
          <w:tcPr/>
          <w:p>
            <w:pPr>
              <w:pStyle w:val="Compact"/>
              <w:jc w:val="left"/>
            </w:pPr>
            <w:r>
              <w:t xml:space="preserve">Domain cutover</w:t>
            </w:r>
          </w:p>
        </w:tc>
        <w:tc>
          <w:tcPr/>
          <w:p>
            <w:pPr>
              <w:pStyle w:val="Compact"/>
              <w:jc w:val="left"/>
            </w:pPr>
            <w:r>
              <w:t xml:space="preserve">controlled migration</w:t>
            </w:r>
          </w:p>
        </w:tc>
        <w:tc>
          <w:tcPr/>
          <w:p>
            <w:pPr>
              <w:pStyle w:val="Compact"/>
              <w:jc w:val="left"/>
            </w:pPr>
            <w:r>
              <w:t xml:space="preserve">selected domains move in planned waves</w:t>
            </w:r>
          </w:p>
        </w:tc>
      </w:tr>
      <w:tr>
        <w:tc>
          <w:tcPr/>
          <w:p>
            <w:pPr>
              <w:pStyle w:val="Compact"/>
              <w:jc w:val="left"/>
            </w:pPr>
            <w:r>
              <w:t xml:space="preserve">Full cutover</w:t>
            </w:r>
          </w:p>
        </w:tc>
        <w:tc>
          <w:tcPr/>
          <w:p>
            <w:pPr>
              <w:pStyle w:val="Compact"/>
              <w:jc w:val="left"/>
            </w:pPr>
            <w:r>
              <w:t xml:space="preserve">mature readiness</w:t>
            </w:r>
          </w:p>
        </w:tc>
        <w:tc>
          <w:tcPr/>
          <w:p>
            <w:pPr>
              <w:pStyle w:val="Compact"/>
              <w:jc w:val="left"/>
            </w:pPr>
            <w:r>
              <w:t xml:space="preserve">ScholarMind becomes primary source of truth across agreed domains</w:t>
            </w:r>
          </w:p>
        </w:tc>
      </w:tr>
    </w:tbl>
    <w:bookmarkEnd w:id="137"/>
    <w:bookmarkStart w:id="138" w:name="detailed-migration-playbooks"/>
    <w:p>
      <w:pPr>
        <w:pStyle w:val="Heading2"/>
      </w:pPr>
      <w:r>
        <w:t xml:space="preserve">14.4 Detailed migration playbooks</w:t>
      </w:r>
    </w:p>
    <w:p>
      <w:pPr>
        <w:pStyle w:val="Compact"/>
        <w:numPr>
          <w:ilvl w:val="0"/>
          <w:numId w:val="1030"/>
        </w:numPr>
      </w:pPr>
      <w:r>
        <w:t xml:space="preserve">migration cutover checklist,</w:t>
      </w:r>
    </w:p>
    <w:p>
      <w:pPr>
        <w:pStyle w:val="Compact"/>
        <w:numPr>
          <w:ilvl w:val="0"/>
          <w:numId w:val="1030"/>
        </w:numPr>
      </w:pPr>
      <w:r>
        <w:t xml:space="preserve">go / no-go gates,</w:t>
      </w:r>
    </w:p>
    <w:p>
      <w:pPr>
        <w:pStyle w:val="Compact"/>
        <w:numPr>
          <w:ilvl w:val="0"/>
          <w:numId w:val="1030"/>
        </w:numPr>
      </w:pPr>
      <w:r>
        <w:t xml:space="preserve">rollback criteria,</w:t>
      </w:r>
    </w:p>
    <w:p>
      <w:pPr>
        <w:pStyle w:val="Compact"/>
        <w:numPr>
          <w:ilvl w:val="0"/>
          <w:numId w:val="1030"/>
        </w:numPr>
      </w:pPr>
      <w:r>
        <w:t xml:space="preserve">reconciliation tolerances,</w:t>
      </w:r>
    </w:p>
    <w:p>
      <w:pPr>
        <w:pStyle w:val="Compact"/>
        <w:numPr>
          <w:ilvl w:val="0"/>
          <w:numId w:val="1030"/>
        </w:numPr>
      </w:pPr>
      <w:r>
        <w:t xml:space="preserve">data-quality scoring rubric,</w:t>
      </w:r>
    </w:p>
    <w:p>
      <w:pPr>
        <w:pStyle w:val="Compact"/>
        <w:numPr>
          <w:ilvl w:val="0"/>
          <w:numId w:val="1030"/>
        </w:numPr>
      </w:pPr>
      <w:r>
        <w:t xml:space="preserve">historical credential backfill process,</w:t>
      </w:r>
    </w:p>
    <w:p>
      <w:pPr>
        <w:pStyle w:val="Compact"/>
        <w:numPr>
          <w:ilvl w:val="0"/>
          <w:numId w:val="1030"/>
        </w:numPr>
      </w:pPr>
      <w:r>
        <w:t xml:space="preserve">mock migration success criteria,</w:t>
      </w:r>
    </w:p>
    <w:p>
      <w:pPr>
        <w:pStyle w:val="Compact"/>
        <w:numPr>
          <w:ilvl w:val="0"/>
          <w:numId w:val="1030"/>
        </w:numPr>
      </w:pPr>
      <w:r>
        <w:t xml:space="preserve">post-go-live hypercare model.</w:t>
      </w:r>
    </w:p>
    <w:bookmarkEnd w:id="138"/>
    <w:bookmarkStart w:id="139" w:name="qa-release-and-rollout-governance"/>
    <w:p>
      <w:pPr>
        <w:pStyle w:val="Heading2"/>
      </w:pPr>
      <w:r>
        <w:t xml:space="preserve">14.5 QA, release and rollout governance</w:t>
      </w:r>
    </w:p>
    <w:p>
      <w:pPr>
        <w:pStyle w:val="Compact"/>
        <w:numPr>
          <w:ilvl w:val="0"/>
          <w:numId w:val="1031"/>
        </w:numPr>
      </w:pPr>
      <w:r>
        <w:t xml:space="preserve">product QA, integration QA, migration validation QA, AI evaluation QA, accessibility QA, security validation,</w:t>
      </w:r>
      <w:r>
        <w:br/>
      </w:r>
    </w:p>
    <w:p>
      <w:pPr>
        <w:pStyle w:val="Compact"/>
        <w:numPr>
          <w:ilvl w:val="0"/>
          <w:numId w:val="1031"/>
        </w:numPr>
      </w:pPr>
      <w:r>
        <w:t xml:space="preserve">UAT signoff by academic ops, finance, IT/security, student success, registrar/credential officer, and CIO/risk as appropriate,</w:t>
      </w:r>
      <w:r>
        <w:br/>
      </w:r>
    </w:p>
    <w:p>
      <w:pPr>
        <w:pStyle w:val="Compact"/>
        <w:numPr>
          <w:ilvl w:val="0"/>
          <w:numId w:val="1031"/>
        </w:numPr>
      </w:pPr>
      <w:r>
        <w:t xml:space="preserve">pilot selection criteria, feature flags, phased release controls, training rollout, support readiness, and escalation paths.</w:t>
      </w:r>
    </w:p>
    <w:bookmarkEnd w:id="139"/>
    <w:bookmarkEnd w:id="140"/>
    <w:bookmarkStart w:id="143" w:name="success-metrics-operating-kpi-framework"/>
    <w:p>
      <w:pPr>
        <w:pStyle w:val="Heading1"/>
      </w:pPr>
      <w:r>
        <w:t xml:space="preserve">15. Success Metrics &amp; Operating KPI Framework</w:t>
      </w:r>
    </w:p>
    <w:bookmarkStart w:id="141" w:name="retained-kpi-targets"/>
    <w:p>
      <w:pPr>
        <w:pStyle w:val="Heading2"/>
      </w:pPr>
      <w:r>
        <w:t xml:space="preserve">15.1 Retained KPI targets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KPI</w:t>
            </w:r>
          </w:p>
        </w:tc>
        <w:tc>
          <w:tcPr/>
          <w:p>
            <w:pPr>
              <w:pStyle w:val="Compact"/>
              <w:jc w:val="left"/>
            </w:pPr>
            <w:r>
              <w:t xml:space="preserve">K-12</w:t>
            </w:r>
          </w:p>
        </w:tc>
        <w:tc>
          <w:tcPr/>
          <w:p>
            <w:pPr>
              <w:pStyle w:val="Compact"/>
              <w:jc w:val="left"/>
            </w:pPr>
            <w:r>
              <w:t xml:space="preserve">Coaching</w:t>
            </w:r>
          </w:p>
        </w:tc>
        <w:tc>
          <w:tcPr/>
          <w:p>
            <w:pPr>
              <w:pStyle w:val="Compact"/>
              <w:jc w:val="left"/>
            </w:pPr>
            <w:r>
              <w:t xml:space="preserve">Higher Ed</w:t>
            </w:r>
          </w:p>
        </w:tc>
        <w:tc>
          <w:tcPr/>
          <w:p>
            <w:pPr>
              <w:pStyle w:val="Compact"/>
              <w:jc w:val="left"/>
            </w:pPr>
            <w:r>
              <w:t xml:space="preserve">Intl./Group</w:t>
            </w:r>
          </w:p>
        </w:tc>
      </w:tr>
      <w:tr>
        <w:tc>
          <w:tcPr/>
          <w:p>
            <w:pPr>
              <w:pStyle w:val="Compact"/>
              <w:jc w:val="left"/>
            </w:pPr>
            <w:r>
              <w:t xml:space="preserve">Admin time saved / staff / week</w:t>
            </w:r>
          </w:p>
        </w:tc>
        <w:tc>
          <w:tcPr/>
          <w:p>
            <w:pPr>
              <w:pStyle w:val="Compact"/>
              <w:jc w:val="left"/>
            </w:pPr>
            <w:r>
              <w:t xml:space="preserve">15 hrs</w:t>
            </w:r>
          </w:p>
        </w:tc>
        <w:tc>
          <w:tcPr/>
          <w:p>
            <w:pPr>
              <w:pStyle w:val="Compact"/>
              <w:jc w:val="left"/>
            </w:pPr>
            <w:r>
              <w:t xml:space="preserve">10 hrs</w:t>
            </w:r>
          </w:p>
        </w:tc>
        <w:tc>
          <w:tcPr/>
          <w:p>
            <w:pPr>
              <w:pStyle w:val="Compact"/>
              <w:jc w:val="left"/>
            </w:pPr>
            <w:r>
              <w:t xml:space="preserve">12 hrs</w:t>
            </w:r>
          </w:p>
        </w:tc>
        <w:tc>
          <w:tcPr/>
          <w:p>
            <w:pPr>
              <w:pStyle w:val="Compact"/>
              <w:jc w:val="left"/>
            </w:pPr>
            <w:r>
              <w:t xml:space="preserve">15 hrs (HQ)</w:t>
            </w:r>
          </w:p>
        </w:tc>
      </w:tr>
      <w:tr>
        <w:tc>
          <w:tcPr/>
          <w:p>
            <w:pPr>
              <w:pStyle w:val="Compact"/>
              <w:jc w:val="left"/>
            </w:pPr>
            <w:r>
              <w:t xml:space="preserve">At-risk detection lead time</w:t>
            </w:r>
          </w:p>
        </w:tc>
        <w:tc>
          <w:tcPr/>
          <w:p>
            <w:pPr>
              <w:pStyle w:val="Compact"/>
              <w:jc w:val="left"/>
            </w:pPr>
            <w:r>
              <w:t xml:space="preserve">90 days</w:t>
            </w:r>
          </w:p>
        </w:tc>
        <w:tc>
          <w:tcPr/>
          <w:p>
            <w:pPr>
              <w:pStyle w:val="Compact"/>
              <w:jc w:val="left"/>
            </w:pPr>
            <w:r>
              <w:t xml:space="preserve">Post-test</w:t>
            </w:r>
          </w:p>
        </w:tc>
        <w:tc>
          <w:tcPr/>
          <w:p>
            <w:pPr>
              <w:pStyle w:val="Compact"/>
              <w:jc w:val="left"/>
            </w:pPr>
            <w:r>
              <w:t xml:space="preserve">2 semesters</w:t>
            </w:r>
          </w:p>
        </w:tc>
        <w:tc>
          <w:tcPr/>
          <w:p>
            <w:pPr>
              <w:pStyle w:val="Compact"/>
              <w:jc w:val="left"/>
            </w:pPr>
            <w:r>
              <w:t xml:space="preserve">90 days</w:t>
            </w:r>
          </w:p>
        </w:tc>
      </w:tr>
      <w:tr>
        <w:tc>
          <w:tcPr/>
          <w:p>
            <w:pPr>
              <w:pStyle w:val="Compact"/>
              <w:jc w:val="left"/>
            </w:pPr>
            <w:r>
              <w:t xml:space="preserve">Attendance notification</w:t>
            </w:r>
          </w:p>
        </w:tc>
        <w:tc>
          <w:tcPr/>
          <w:p>
            <w:pPr>
              <w:pStyle w:val="Compact"/>
              <w:jc w:val="left"/>
            </w:pPr>
            <w:r>
              <w:t xml:space="preserve">&lt; 3 min</w:t>
            </w:r>
          </w:p>
        </w:tc>
        <w:tc>
          <w:tcPr/>
          <w:p>
            <w:pPr>
              <w:pStyle w:val="Compact"/>
              <w:jc w:val="left"/>
            </w:pPr>
            <w:r>
              <w:t xml:space="preserve">&lt; 5 min</w:t>
            </w:r>
          </w:p>
        </w:tc>
        <w:tc>
          <w:tcPr/>
          <w:p>
            <w:pPr>
              <w:pStyle w:val="Compact"/>
              <w:jc w:val="left"/>
            </w:pPr>
            <w:r>
              <w:t xml:space="preserve">&lt; 5 min</w:t>
            </w:r>
          </w:p>
        </w:tc>
        <w:tc>
          <w:tcPr/>
          <w:p>
            <w:pPr>
              <w:pStyle w:val="Compact"/>
              <w:jc w:val="left"/>
            </w:pPr>
            <w:r>
              <w:t xml:space="preserve">&lt; 3 min</w:t>
            </w:r>
          </w:p>
        </w:tc>
      </w:tr>
      <w:tr>
        <w:tc>
          <w:tcPr/>
          <w:p>
            <w:pPr>
              <w:pStyle w:val="Compact"/>
              <w:jc w:val="left"/>
            </w:pPr>
            <w:r>
              <w:t xml:space="preserve">SSR preparation time</w:t>
            </w:r>
          </w:p>
        </w:tc>
        <w:tc>
          <w:tcPr/>
          <w:p>
            <w:pPr>
              <w:pStyle w:val="Compact"/>
              <w:jc w:val="left"/>
            </w:pPr>
            <w:r>
              <w:t xml:space="preserve">N/A</w:t>
            </w:r>
          </w:p>
        </w:tc>
        <w:tc>
          <w:tcPr/>
          <w:p>
            <w:pPr>
              <w:pStyle w:val="Compact"/>
              <w:jc w:val="left"/>
            </w:pPr>
            <w:r>
              <w:t xml:space="preserve">N/A</w:t>
            </w:r>
          </w:p>
        </w:tc>
        <w:tc>
          <w:tcPr/>
          <w:p>
            <w:pPr>
              <w:pStyle w:val="Compact"/>
              <w:jc w:val="left"/>
            </w:pPr>
            <w:r>
              <w:t xml:space="preserve">6 months to 6 weeks</w:t>
            </w:r>
          </w:p>
        </w:tc>
        <w:tc>
          <w:tcPr/>
          <w:p>
            <w:pPr>
              <w:pStyle w:val="Compact"/>
              <w:jc w:val="left"/>
            </w:pPr>
            <w:r>
              <w:t xml:space="preserve">N/A</w:t>
            </w:r>
          </w:p>
        </w:tc>
      </w:tr>
      <w:tr>
        <w:tc>
          <w:tcPr/>
          <w:p>
            <w:pPr>
              <w:pStyle w:val="Compact"/>
              <w:jc w:val="left"/>
            </w:pPr>
            <w:r>
              <w:t xml:space="preserve">Test result turnaround</w:t>
            </w:r>
          </w:p>
        </w:tc>
        <w:tc>
          <w:tcPr/>
          <w:p>
            <w:pPr>
              <w:pStyle w:val="Compact"/>
              <w:jc w:val="left"/>
            </w:pPr>
            <w:r>
              <w:t xml:space="preserve">N/A</w:t>
            </w:r>
          </w:p>
        </w:tc>
        <w:tc>
          <w:tcPr/>
          <w:p>
            <w:pPr>
              <w:pStyle w:val="Compact"/>
              <w:jc w:val="left"/>
            </w:pPr>
            <w:r>
              <w:t xml:space="preserve">&lt; 2 hours</w:t>
            </w:r>
          </w:p>
        </w:tc>
        <w:tc>
          <w:tcPr/>
          <w:p>
            <w:pPr>
              <w:pStyle w:val="Compact"/>
              <w:jc w:val="left"/>
            </w:pPr>
            <w:r>
              <w:t xml:space="preserve">&lt; 24 hours</w:t>
            </w:r>
          </w:p>
        </w:tc>
        <w:tc>
          <w:tcPr/>
          <w:p>
            <w:pPr>
              <w:pStyle w:val="Compact"/>
              <w:jc w:val="left"/>
            </w:pPr>
            <w:r>
              <w:t xml:space="preserve">N/A</w:t>
            </w:r>
          </w:p>
        </w:tc>
      </w:tr>
      <w:tr>
        <w:tc>
          <w:tcPr/>
          <w:p>
            <w:pPr>
              <w:pStyle w:val="Compact"/>
              <w:jc w:val="left"/>
            </w:pPr>
            <w:r>
              <w:t xml:space="preserve">Group KPI dashboard latency</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&lt; 60 seconds</w:t>
            </w:r>
          </w:p>
        </w:tc>
      </w:tr>
      <w:tr>
        <w:tc>
          <w:tcPr/>
          <w:p>
            <w:pPr>
              <w:pStyle w:val="Compact"/>
              <w:jc w:val="left"/>
            </w:pPr>
            <w:r>
              <w:t xml:space="preserve">SEND IEP compliance rate</w:t>
            </w:r>
          </w:p>
        </w:tc>
        <w:tc>
          <w:tcPr/>
          <w:p>
            <w:pPr>
              <w:pStyle w:val="Compact"/>
              <w:jc w:val="left"/>
            </w:pPr>
            <w:r>
              <w:t xml:space="preserve">&gt; 95%</w:t>
            </w:r>
          </w:p>
        </w:tc>
        <w:tc>
          <w:tcPr/>
          <w:p>
            <w:pPr>
              <w:pStyle w:val="Compact"/>
              <w:jc w:val="left"/>
            </w:pPr>
            <w:r>
              <w:t xml:space="preserve">N/A</w:t>
            </w:r>
          </w:p>
        </w:tc>
        <w:tc>
          <w:tcPr/>
          <w:p>
            <w:pPr>
              <w:pStyle w:val="Compact"/>
              <w:jc w:val="left"/>
            </w:pPr>
            <w:r>
              <w:t xml:space="preserve">&gt; 95%</w:t>
            </w:r>
          </w:p>
        </w:tc>
        <w:tc>
          <w:tcPr/>
          <w:p>
            <w:pPr>
              <w:pStyle w:val="Compact"/>
              <w:jc w:val="left"/>
            </w:pPr>
            <w:r>
              <w:t xml:space="preserve">&gt; 95%</w:t>
            </w:r>
          </w:p>
        </w:tc>
      </w:tr>
      <w:tr>
        <w:tc>
          <w:tcPr/>
          <w:p>
            <w:pPr>
              <w:pStyle w:val="Compact"/>
              <w:jc w:val="left"/>
            </w:pPr>
            <w:r>
              <w:t xml:space="preserve">AI bias incidents / year</w:t>
            </w:r>
          </w:p>
        </w:tc>
        <w:tc>
          <w:tcPr/>
          <w:p>
            <w:pPr>
              <w:pStyle w:val="Compact"/>
              <w:jc w:val="left"/>
            </w:pPr>
            <w:r>
              <w:t xml:space="preserve">&lt; 5 flagged</w:t>
            </w:r>
          </w:p>
        </w:tc>
        <w:tc>
          <w:tcPr/>
          <w:p>
            <w:pPr>
              <w:pStyle w:val="Compact"/>
              <w:jc w:val="left"/>
            </w:pPr>
            <w:r>
              <w:t xml:space="preserve">&lt; 5</w:t>
            </w:r>
          </w:p>
        </w:tc>
        <w:tc>
          <w:tcPr/>
          <w:p>
            <w:pPr>
              <w:pStyle w:val="Compact"/>
              <w:jc w:val="left"/>
            </w:pPr>
            <w:r>
              <w:t xml:space="preserve">&lt; 5</w:t>
            </w:r>
          </w:p>
        </w:tc>
        <w:tc>
          <w:tcPr/>
          <w:p>
            <w:pPr>
              <w:pStyle w:val="Compact"/>
              <w:jc w:val="left"/>
            </w:pPr>
            <w:r>
              <w:t xml:space="preserve">&lt; 5 per group</w:t>
            </w:r>
          </w:p>
        </w:tc>
      </w:tr>
      <w:tr>
        <w:tc>
          <w:tcPr/>
          <w:p>
            <w:pPr>
              <w:pStyle w:val="Compact"/>
              <w:jc w:val="left"/>
            </w:pPr>
            <w:r>
              <w:t xml:space="preserve">System uptime</w:t>
            </w:r>
          </w:p>
        </w:tc>
        <w:tc>
          <w:tcPr/>
          <w:p>
            <w:pPr>
              <w:pStyle w:val="Compact"/>
              <w:jc w:val="left"/>
            </w:pPr>
            <w:r>
              <w:t xml:space="preserve">99.99% target</w:t>
            </w:r>
          </w:p>
        </w:tc>
        <w:tc>
          <w:tcPr/>
          <w:p>
            <w:pPr>
              <w:pStyle w:val="Compact"/>
              <w:jc w:val="left"/>
            </w:pPr>
            <w:r>
              <w:t xml:space="preserve">99.9%</w:t>
            </w:r>
          </w:p>
        </w:tc>
        <w:tc>
          <w:tcPr/>
          <w:p>
            <w:pPr>
              <w:pStyle w:val="Compact"/>
              <w:jc w:val="left"/>
            </w:pPr>
            <w:r>
              <w:t xml:space="preserve">99.99% target</w:t>
            </w:r>
          </w:p>
        </w:tc>
        <w:tc>
          <w:tcPr/>
          <w:p>
            <w:pPr>
              <w:pStyle w:val="Compact"/>
              <w:jc w:val="left"/>
            </w:pPr>
            <w:r>
              <w:t xml:space="preserve">99.99% target</w:t>
            </w:r>
          </w:p>
        </w:tc>
      </w:tr>
      <w:tr>
        <w:tc>
          <w:tcPr/>
          <w:p>
            <w:pPr>
              <w:pStyle w:val="Compact"/>
              <w:jc w:val="left"/>
            </w:pPr>
            <w:r>
              <w:t xml:space="preserve">Student placement rate</w:t>
            </w:r>
          </w:p>
        </w:tc>
        <w:tc>
          <w:tcPr/>
          <w:p>
            <w:pPr>
              <w:pStyle w:val="Compact"/>
              <w:jc w:val="left"/>
            </w:pPr>
            <w:r>
              <w:t xml:space="preserve">N/A</w:t>
            </w:r>
          </w:p>
        </w:tc>
        <w:tc>
          <w:tcPr/>
          <w:p>
            <w:pPr>
              <w:pStyle w:val="Compact"/>
              <w:jc w:val="left"/>
            </w:pPr>
            <w:r>
              <w:t xml:space="preserve">N/A</w:t>
            </w:r>
          </w:p>
        </w:tc>
        <w:tc>
          <w:tcPr/>
          <w:p>
            <w:pPr>
              <w:pStyle w:val="Compact"/>
              <w:jc w:val="left"/>
            </w:pPr>
            <w:r>
              <w:t xml:space="preserve">baseline +15%</w:t>
            </w:r>
          </w:p>
        </w:tc>
        <w:tc>
          <w:tcPr/>
          <w:p>
            <w:pPr>
              <w:pStyle w:val="Compact"/>
              <w:jc w:val="left"/>
            </w:pPr>
            <w:r>
              <w:t xml:space="preserve">N/A</w:t>
            </w:r>
          </w:p>
        </w:tc>
      </w:tr>
      <w:tr>
        <w:tc>
          <w:tcPr/>
          <w:p>
            <w:pPr>
              <w:pStyle w:val="Compact"/>
              <w:jc w:val="left"/>
            </w:pPr>
            <w:r>
              <w:t xml:space="preserve">Fee collection efficiency</w:t>
            </w:r>
          </w:p>
        </w:tc>
        <w:tc>
          <w:tcPr/>
          <w:p>
            <w:pPr>
              <w:pStyle w:val="Compact"/>
              <w:jc w:val="left"/>
            </w:pPr>
            <w:r>
              <w:t xml:space="preserve">baseline +20%</w:t>
            </w:r>
          </w:p>
        </w:tc>
        <w:tc>
          <w:tcPr/>
          <w:p>
            <w:pPr>
              <w:pStyle w:val="Compact"/>
              <w:jc w:val="left"/>
            </w:pPr>
            <w:r>
              <w:t xml:space="preserve">baseline +30%</w:t>
            </w:r>
          </w:p>
        </w:tc>
        <w:tc>
          <w:tcPr/>
          <w:p>
            <w:pPr>
              <w:pStyle w:val="Compact"/>
              <w:jc w:val="left"/>
            </w:pPr>
            <w:r>
              <w:t xml:space="preserve">baseline +15%</w:t>
            </w:r>
          </w:p>
        </w:tc>
        <w:tc>
          <w:tcPr/>
          <w:p>
            <w:pPr>
              <w:pStyle w:val="Compact"/>
              <w:jc w:val="left"/>
            </w:pPr>
            <w:r>
              <w:t xml:space="preserve">consolidated improvement</w:t>
            </w:r>
          </w:p>
        </w:tc>
      </w:tr>
    </w:tbl>
    <w:bookmarkEnd w:id="141"/>
    <w:bookmarkStart w:id="142" w:name="operating-kpi-framework"/>
    <w:p>
      <w:pPr>
        <w:pStyle w:val="Heading2"/>
      </w:pPr>
      <w:r>
        <w:t xml:space="preserve">15.2 Operating KPI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Area</w:t>
            </w:r>
          </w:p>
        </w:tc>
        <w:tc>
          <w:tcPr/>
          <w:p>
            <w:pPr>
              <w:pStyle w:val="Compact"/>
              <w:jc w:val="left"/>
            </w:pPr>
            <w:r>
              <w:t xml:space="preserve">KPI</w:t>
            </w:r>
          </w:p>
        </w:tc>
        <w:tc>
          <w:tcPr/>
          <w:p>
            <w:pPr>
              <w:pStyle w:val="Compact"/>
              <w:jc w:val="left"/>
            </w:pPr>
            <w:r>
              <w:t xml:space="preserve">Target Pattern</w:t>
            </w:r>
          </w:p>
        </w:tc>
      </w:tr>
      <w:tr>
        <w:tc>
          <w:tcPr/>
          <w:p>
            <w:pPr>
              <w:pStyle w:val="Compact"/>
              <w:jc w:val="left"/>
            </w:pPr>
            <w:r>
              <w:t xml:space="preserve">Registrar operations</w:t>
            </w:r>
          </w:p>
        </w:tc>
        <w:tc>
          <w:tcPr/>
          <w:p>
            <w:pPr>
              <w:pStyle w:val="Compact"/>
              <w:jc w:val="left"/>
            </w:pPr>
            <w:r>
              <w:t xml:space="preserve">transcript turnaround time</w:t>
            </w:r>
          </w:p>
        </w:tc>
        <w:tc>
          <w:tcPr/>
          <w:p>
            <w:pPr>
              <w:pStyle w:val="Compact"/>
              <w:jc w:val="left"/>
            </w:pPr>
            <w:r>
              <w:t xml:space="preserve">materially reduced vs baseline</w:t>
            </w:r>
          </w:p>
        </w:tc>
      </w:tr>
      <w:tr>
        <w:tc>
          <w:tcPr/>
          <w:p>
            <w:pPr>
              <w:pStyle w:val="Compact"/>
              <w:jc w:val="left"/>
            </w:pPr>
            <w:r>
              <w:t xml:space="preserve">Registrar operations</w:t>
            </w:r>
          </w:p>
        </w:tc>
        <w:tc>
          <w:tcPr/>
          <w:p>
            <w:pPr>
              <w:pStyle w:val="Compact"/>
              <w:jc w:val="left"/>
            </w:pPr>
            <w:r>
              <w:t xml:space="preserve">transfer / prior-learning decision cycle time</w:t>
            </w:r>
          </w:p>
        </w:tc>
        <w:tc>
          <w:tcPr/>
          <w:p>
            <w:pPr>
              <w:pStyle w:val="Compact"/>
              <w:jc w:val="left"/>
            </w:pPr>
            <w:r>
              <w:t xml:space="preserve">materially reduced vs baseline</w:t>
            </w:r>
          </w:p>
        </w:tc>
      </w:tr>
      <w:tr>
        <w:tc>
          <w:tcPr/>
          <w:p>
            <w:pPr>
              <w:pStyle w:val="Compact"/>
              <w:jc w:val="left"/>
            </w:pPr>
            <w:r>
              <w:t xml:space="preserve">Accreditation</w:t>
            </w:r>
          </w:p>
        </w:tc>
        <w:tc>
          <w:tcPr/>
          <w:p>
            <w:pPr>
              <w:pStyle w:val="Compact"/>
              <w:jc w:val="left"/>
            </w:pPr>
            <w:r>
              <w:t xml:space="preserve">evidence completeness rate</w:t>
            </w:r>
          </w:p>
        </w:tc>
        <w:tc>
          <w:tcPr/>
          <w:p>
            <w:pPr>
              <w:pStyle w:val="Compact"/>
              <w:jc w:val="left"/>
            </w:pPr>
            <w:r>
              <w:t xml:space="preserve">near-continuous readiness</w:t>
            </w:r>
          </w:p>
        </w:tc>
      </w:tr>
      <w:tr>
        <w:tc>
          <w:tcPr/>
          <w:p>
            <w:pPr>
              <w:pStyle w:val="Compact"/>
              <w:jc w:val="left"/>
            </w:pPr>
            <w:r>
              <w:t xml:space="preserve">Student success</w:t>
            </w:r>
          </w:p>
        </w:tc>
        <w:tc>
          <w:tcPr/>
          <w:p>
            <w:pPr>
              <w:pStyle w:val="Compact"/>
              <w:jc w:val="left"/>
            </w:pPr>
            <w:r>
              <w:t xml:space="preserve">intervention closure rate</w:t>
            </w:r>
          </w:p>
        </w:tc>
        <w:tc>
          <w:tcPr/>
          <w:p>
            <w:pPr>
              <w:pStyle w:val="Compact"/>
              <w:jc w:val="left"/>
            </w:pPr>
            <w:r>
              <w:t xml:space="preserve">improved by cohort and term</w:t>
            </w:r>
          </w:p>
        </w:tc>
      </w:tr>
      <w:tr>
        <w:tc>
          <w:tcPr/>
          <w:p>
            <w:pPr>
              <w:pStyle w:val="Compact"/>
              <w:jc w:val="left"/>
            </w:pPr>
            <w:r>
              <w:t xml:space="preserve">Student success</w:t>
            </w:r>
          </w:p>
        </w:tc>
        <w:tc>
          <w:tcPr/>
          <w:p>
            <w:pPr>
              <w:pStyle w:val="Compact"/>
              <w:jc w:val="left"/>
            </w:pPr>
            <w:r>
              <w:t xml:space="preserve">time-to-first-intervention</w:t>
            </w:r>
          </w:p>
        </w:tc>
        <w:tc>
          <w:tcPr/>
          <w:p>
            <w:pPr>
              <w:pStyle w:val="Compact"/>
              <w:jc w:val="left"/>
            </w:pPr>
            <w:r>
              <w:t xml:space="preserve">materially reduced</w:t>
            </w:r>
          </w:p>
        </w:tc>
      </w:tr>
      <w:tr>
        <w:tc>
          <w:tcPr/>
          <w:p>
            <w:pPr>
              <w:pStyle w:val="Compact"/>
              <w:jc w:val="left"/>
            </w:pPr>
            <w:r>
              <w:t xml:space="preserve">Finance</w:t>
            </w:r>
          </w:p>
        </w:tc>
        <w:tc>
          <w:tcPr/>
          <w:p>
            <w:pPr>
              <w:pStyle w:val="Compact"/>
              <w:jc w:val="left"/>
            </w:pPr>
            <w:r>
              <w:t xml:space="preserve">reconciliation exception aging</w:t>
            </w:r>
          </w:p>
        </w:tc>
        <w:tc>
          <w:tcPr/>
          <w:p>
            <w:pPr>
              <w:pStyle w:val="Compact"/>
              <w:jc w:val="left"/>
            </w:pPr>
            <w:r>
              <w:t xml:space="preserve">reduced</w:t>
            </w:r>
          </w:p>
        </w:tc>
      </w:tr>
      <w:tr>
        <w:tc>
          <w:tcPr/>
          <w:p>
            <w:pPr>
              <w:pStyle w:val="Compact"/>
              <w:jc w:val="left"/>
            </w:pPr>
            <w:r>
              <w:t xml:space="preserve">Credential trust</w:t>
            </w:r>
          </w:p>
        </w:tc>
        <w:tc>
          <w:tcPr/>
          <w:p>
            <w:pPr>
              <w:pStyle w:val="Compact"/>
              <w:jc w:val="left"/>
            </w:pPr>
            <w:r>
              <w:t xml:space="preserve">verification success rate</w:t>
            </w:r>
          </w:p>
        </w:tc>
        <w:tc>
          <w:tcPr/>
          <w:p>
            <w:pPr>
              <w:pStyle w:val="Compact"/>
              <w:jc w:val="left"/>
            </w:pPr>
            <w:r>
              <w:t xml:space="preserve">consistently high</w:t>
            </w:r>
          </w:p>
        </w:tc>
      </w:tr>
      <w:tr>
        <w:tc>
          <w:tcPr/>
          <w:p>
            <w:pPr>
              <w:pStyle w:val="Compact"/>
              <w:jc w:val="left"/>
            </w:pPr>
            <w:r>
              <w:t xml:space="preserve">Procurement</w:t>
            </w:r>
          </w:p>
        </w:tc>
        <w:tc>
          <w:tcPr/>
          <w:p>
            <w:pPr>
              <w:pStyle w:val="Compact"/>
              <w:jc w:val="left"/>
            </w:pPr>
            <w:r>
              <w:t xml:space="preserve">buyer review cycle time</w:t>
            </w:r>
          </w:p>
        </w:tc>
        <w:tc>
          <w:tcPr/>
          <w:p>
            <w:pPr>
              <w:pStyle w:val="Compact"/>
              <w:jc w:val="left"/>
            </w:pPr>
            <w:r>
              <w:t xml:space="preserve">reduced through evidence reuse</w:t>
            </w:r>
          </w:p>
        </w:tc>
      </w:tr>
      <w:tr>
        <w:tc>
          <w:tcPr/>
          <w:p>
            <w:pPr>
              <w:pStyle w:val="Compact"/>
              <w:jc w:val="left"/>
            </w:pPr>
            <w:r>
              <w:t xml:space="preserve">AI governance</w:t>
            </w:r>
          </w:p>
        </w:tc>
        <w:tc>
          <w:tcPr/>
          <w:p>
            <w:pPr>
              <w:pStyle w:val="Compact"/>
              <w:jc w:val="left"/>
            </w:pPr>
            <w:r>
              <w:t xml:space="preserve">high-risk AI override rate</w:t>
            </w:r>
          </w:p>
        </w:tc>
        <w:tc>
          <w:tcPr/>
          <w:p>
            <w:pPr>
              <w:pStyle w:val="Compact"/>
              <w:jc w:val="left"/>
            </w:pPr>
            <w:r>
              <w:t xml:space="preserve">tracked and explainable</w:t>
            </w:r>
          </w:p>
        </w:tc>
      </w:tr>
      <w:tr>
        <w:tc>
          <w:tcPr/>
          <w:p>
            <w:pPr>
              <w:pStyle w:val="Compact"/>
              <w:jc w:val="left"/>
            </w:pPr>
            <w:r>
              <w:t xml:space="preserve">Accessibility</w:t>
            </w:r>
          </w:p>
        </w:tc>
        <w:tc>
          <w:tcPr/>
          <w:p>
            <w:pPr>
              <w:pStyle w:val="Compact"/>
              <w:jc w:val="left"/>
            </w:pPr>
            <w:r>
              <w:t xml:space="preserve">critical issue backlog</w:t>
            </w:r>
          </w:p>
        </w:tc>
        <w:tc>
          <w:tcPr/>
          <w:p>
            <w:pPr>
              <w:pStyle w:val="Compact"/>
              <w:jc w:val="left"/>
            </w:pPr>
            <w:r>
              <w:t xml:space="preserve">low and decreasing</w:t>
            </w:r>
          </w:p>
        </w:tc>
      </w:tr>
      <w:tr>
        <w:tc>
          <w:tcPr/>
          <w:p>
            <w:pPr>
              <w:pStyle w:val="Compact"/>
              <w:jc w:val="left"/>
            </w:pPr>
            <w:r>
              <w:t xml:space="preserve">Implementation</w:t>
            </w:r>
          </w:p>
        </w:tc>
        <w:tc>
          <w:tcPr/>
          <w:p>
            <w:pPr>
              <w:pStyle w:val="Compact"/>
              <w:jc w:val="left"/>
            </w:pPr>
            <w:r>
              <w:t xml:space="preserve">migration defect rate after cutover</w:t>
            </w:r>
          </w:p>
        </w:tc>
        <w:tc>
          <w:tcPr/>
          <w:p>
            <w:pPr>
              <w:pStyle w:val="Compact"/>
              <w:jc w:val="left"/>
            </w:pPr>
            <w:r>
              <w:t xml:space="preserve">low</w:t>
            </w:r>
          </w:p>
        </w:tc>
      </w:tr>
    </w:tbl>
    <w:bookmarkEnd w:id="142"/>
    <w:bookmarkEnd w:id="143"/>
    <w:bookmarkStart w:id="147" w:name="risks-assumptions-constraints"/>
    <w:p>
      <w:pPr>
        <w:pStyle w:val="Heading1"/>
      </w:pPr>
      <w:r>
        <w:t xml:space="preserve">16. Risks, Assumptions &amp; Constraints</w:t>
      </w:r>
    </w:p>
    <w:bookmarkStart w:id="144" w:name="risks"/>
    <w:p>
      <w:pPr>
        <w:pStyle w:val="Heading2"/>
      </w:pPr>
      <w:r>
        <w:t xml:space="preserve">Risks</w:t>
      </w:r>
    </w:p>
    <w:p>
      <w:pPr>
        <w:pStyle w:val="Compact"/>
        <w:numPr>
          <w:ilvl w:val="0"/>
          <w:numId w:val="1032"/>
        </w:numPr>
      </w:pPr>
      <w:r>
        <w:t xml:space="preserve">The platform becomes too broad if standards and operational depth lag narrative breadth.</w:t>
      </w:r>
    </w:p>
    <w:p>
      <w:pPr>
        <w:pStyle w:val="Compact"/>
        <w:numPr>
          <w:ilvl w:val="0"/>
          <w:numId w:val="1032"/>
        </w:numPr>
      </w:pPr>
      <w:r>
        <w:t xml:space="preserve">Procurement cycles slow if trust evidence is not continuously maintained.</w:t>
      </w:r>
    </w:p>
    <w:p>
      <w:pPr>
        <w:pStyle w:val="Compact"/>
        <w:numPr>
          <w:ilvl w:val="0"/>
          <w:numId w:val="1032"/>
        </w:numPr>
      </w:pPr>
      <w:r>
        <w:t xml:space="preserve">India and international integrations vary by policy and institution readiness.</w:t>
      </w:r>
    </w:p>
    <w:p>
      <w:pPr>
        <w:pStyle w:val="Compact"/>
        <w:numPr>
          <w:ilvl w:val="0"/>
          <w:numId w:val="1032"/>
        </w:numPr>
      </w:pPr>
      <w:r>
        <w:t xml:space="preserve">AI adoption stalls if institutions lack governance owners.</w:t>
      </w:r>
    </w:p>
    <w:p>
      <w:pPr>
        <w:pStyle w:val="Compact"/>
        <w:numPr>
          <w:ilvl w:val="0"/>
          <w:numId w:val="1032"/>
        </w:numPr>
      </w:pPr>
      <w:r>
        <w:t xml:space="preserve">Non-degree expansion introduces commercial complexity if packaging is unclear.</w:t>
      </w:r>
    </w:p>
    <w:bookmarkEnd w:id="144"/>
    <w:bookmarkStart w:id="145" w:name="assumptions"/>
    <w:p>
      <w:pPr>
        <w:pStyle w:val="Heading2"/>
      </w:pPr>
      <w:r>
        <w:t xml:space="preserve">Assumptions</w:t>
      </w:r>
    </w:p>
    <w:p>
      <w:pPr>
        <w:pStyle w:val="Compact"/>
        <w:numPr>
          <w:ilvl w:val="0"/>
          <w:numId w:val="1033"/>
        </w:numPr>
      </w:pPr>
      <w:r>
        <w:t xml:space="preserve">Institutions increasingly value trust, portability, and procurement readiness alongside core operations.</w:t>
      </w:r>
    </w:p>
    <w:p>
      <w:pPr>
        <w:pStyle w:val="Compact"/>
        <w:numPr>
          <w:ilvl w:val="0"/>
          <w:numId w:val="1033"/>
        </w:numPr>
      </w:pPr>
      <w:r>
        <w:t xml:space="preserve">Multi-entity education groups remain the strongest wedge for differentiated wins.</w:t>
      </w:r>
    </w:p>
    <w:p>
      <w:pPr>
        <w:pStyle w:val="Compact"/>
        <w:numPr>
          <w:ilvl w:val="0"/>
          <w:numId w:val="1033"/>
        </w:numPr>
      </w:pPr>
      <w:r>
        <w:t xml:space="preserve">Verified records and competency-linked outcomes will matter more over the next three years.</w:t>
      </w:r>
    </w:p>
    <w:p>
      <w:pPr>
        <w:pStyle w:val="Compact"/>
        <w:numPr>
          <w:ilvl w:val="0"/>
          <w:numId w:val="1033"/>
        </w:numPr>
      </w:pPr>
      <w:r>
        <w:t xml:space="preserve">Continuing education and workforce-linked offerings become meaningful revenue extensions.</w:t>
      </w:r>
    </w:p>
    <w:bookmarkEnd w:id="145"/>
    <w:bookmarkStart w:id="146" w:name="constraints"/>
    <w:p>
      <w:pPr>
        <w:pStyle w:val="Heading2"/>
      </w:pPr>
      <w:r>
        <w:t xml:space="preserve">Constraints</w:t>
      </w:r>
    </w:p>
    <w:p>
      <w:pPr>
        <w:pStyle w:val="Compact"/>
        <w:numPr>
          <w:ilvl w:val="0"/>
          <w:numId w:val="1034"/>
        </w:numPr>
      </w:pPr>
      <w:r>
        <w:t xml:space="preserve">No uncontrolled bespoke forks.</w:t>
      </w:r>
    </w:p>
    <w:p>
      <w:pPr>
        <w:pStyle w:val="Compact"/>
        <w:numPr>
          <w:ilvl w:val="0"/>
          <w:numId w:val="1034"/>
        </w:numPr>
      </w:pPr>
      <w:r>
        <w:t xml:space="preserve">Standards support must be versioned, testable, and documented.</w:t>
      </w:r>
    </w:p>
    <w:p>
      <w:pPr>
        <w:pStyle w:val="Compact"/>
        <w:numPr>
          <w:ilvl w:val="0"/>
          <w:numId w:val="1034"/>
        </w:numPr>
      </w:pPr>
      <w:r>
        <w:t xml:space="preserve">High-risk AI workflows require enforced approval patterns.</w:t>
      </w:r>
    </w:p>
    <w:p>
      <w:pPr>
        <w:pStyle w:val="Compact"/>
        <w:numPr>
          <w:ilvl w:val="0"/>
          <w:numId w:val="1034"/>
        </w:numPr>
      </w:pPr>
      <w:r>
        <w:t xml:space="preserve">Sensitive data portability must remain consent-bound and policy-aware.</w:t>
      </w:r>
    </w:p>
    <w:p>
      <w:pPr>
        <w:pStyle w:val="Compact"/>
        <w:numPr>
          <w:ilvl w:val="0"/>
          <w:numId w:val="1034"/>
        </w:numPr>
      </w:pPr>
      <w:r>
        <w:t xml:space="preserve">Benchmarking must preserve privacy and institutional trust.</w:t>
      </w:r>
    </w:p>
    <w:bookmarkEnd w:id="146"/>
    <w:bookmarkEnd w:id="147"/>
    <w:bookmarkStart w:id="160" w:name="appendices-tables-control-catalogues"/>
    <w:p>
      <w:pPr>
        <w:pStyle w:val="Heading1"/>
      </w:pPr>
      <w:r>
        <w:t xml:space="preserve">17. Appendices, Tables &amp; Control Catalogues</w:t>
      </w:r>
    </w:p>
    <w:bookmarkStart w:id="148" w:name="appendix-a-standards-alignment-map"/>
    <w:p>
      <w:pPr>
        <w:pStyle w:val="Heading2"/>
      </w:pPr>
      <w:r>
        <w:t xml:space="preserve">Appendix A — Standards alignment map</w:t>
      </w:r>
    </w:p>
    <w:p>
      <w:pPr>
        <w:pStyle w:val="FirstParagraph"/>
      </w:pPr>
      <w:r>
        <w:t xml:space="preserve">Learner record and badge portability; competency and skills mapping; institutional data exchange; identity federation; accessibility baseline; payment and security control alignment; AI risk-management guidance mapping.</w:t>
      </w:r>
    </w:p>
    <w:bookmarkEnd w:id="148"/>
    <w:bookmarkStart w:id="149" w:name="appendix-b-procurement-artifact-pack"/>
    <w:p>
      <w:pPr>
        <w:pStyle w:val="Heading2"/>
      </w:pPr>
      <w:r>
        <w:t xml:space="preserve">Appendix B — Procurement artifact pack</w:t>
      </w:r>
    </w:p>
    <w:p>
      <w:pPr>
        <w:pStyle w:val="FirstParagraph"/>
      </w:pPr>
      <w:r>
        <w:t xml:space="preserve">Security overview; privacy overview; AI governance overview; accessibility statement; subprocessor disclosure; deployment matrix; shared-responsibility matrix.</w:t>
      </w:r>
    </w:p>
    <w:bookmarkEnd w:id="149"/>
    <w:bookmarkStart w:id="150" w:name="appendix-c-privacy-and-retention-table"/>
    <w:p>
      <w:pPr>
        <w:pStyle w:val="Heading2"/>
      </w:pPr>
      <w:r>
        <w:t xml:space="preserve">Appendix C — Privacy and retention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Record Category</w:t>
            </w:r>
          </w:p>
        </w:tc>
        <w:tc>
          <w:tcPr/>
          <w:p>
            <w:pPr>
              <w:pStyle w:val="Compact"/>
              <w:jc w:val="left"/>
            </w:pPr>
            <w:r>
              <w:t xml:space="preserve">Default Retention</w:t>
            </w:r>
          </w:p>
        </w:tc>
        <w:tc>
          <w:tcPr/>
          <w:p>
            <w:pPr>
              <w:pStyle w:val="Compact"/>
              <w:jc w:val="left"/>
            </w:pPr>
            <w:r>
              <w:t xml:space="preserve">Archive Class</w:t>
            </w:r>
          </w:p>
        </w:tc>
        <w:tc>
          <w:tcPr/>
          <w:p>
            <w:pPr>
              <w:pStyle w:val="Compact"/>
              <w:jc w:val="left"/>
            </w:pPr>
            <w:r>
              <w:t xml:space="preserve">Deletion Owner</w:t>
            </w:r>
          </w:p>
        </w:tc>
        <w:tc>
          <w:tcPr/>
          <w:p>
            <w:pPr>
              <w:pStyle w:val="Compact"/>
              <w:jc w:val="left"/>
            </w:pPr>
            <w:r>
              <w:t xml:space="preserve">Model-Training Eligibility</w:t>
            </w:r>
          </w:p>
        </w:tc>
      </w:tr>
      <w:tr>
        <w:tc>
          <w:tcPr/>
          <w:p>
            <w:pPr>
              <w:pStyle w:val="Compact"/>
              <w:jc w:val="left"/>
            </w:pPr>
            <w:r>
              <w:t xml:space="preserve">Admissions application</w:t>
            </w:r>
          </w:p>
        </w:tc>
        <w:tc>
          <w:tcPr/>
          <w:p>
            <w:pPr>
              <w:pStyle w:val="Compact"/>
              <w:jc w:val="left"/>
            </w:pPr>
            <w:r>
              <w:t xml:space="preserve">2–7 years by institution policy</w:t>
            </w:r>
          </w:p>
        </w:tc>
        <w:tc>
          <w:tcPr/>
          <w:p>
            <w:pPr>
              <w:pStyle w:val="Compact"/>
              <w:jc w:val="left"/>
            </w:pPr>
            <w:r>
              <w:t xml:space="preserve">standard archive</w:t>
            </w:r>
          </w:p>
        </w:tc>
        <w:tc>
          <w:tcPr/>
          <w:p>
            <w:pPr>
              <w:pStyle w:val="Compact"/>
              <w:jc w:val="left"/>
            </w:pPr>
            <w:r>
              <w:t xml:space="preserve">admissions admin</w:t>
            </w:r>
          </w:p>
        </w:tc>
        <w:tc>
          <w:tcPr/>
          <w:p>
            <w:pPr>
              <w:pStyle w:val="Compact"/>
              <w:jc w:val="left"/>
            </w:pPr>
            <w:r>
              <w:t xml:space="preserve">excluded by default for minors</w:t>
            </w:r>
          </w:p>
        </w:tc>
      </w:tr>
      <w:tr>
        <w:tc>
          <w:tcPr/>
          <w:p>
            <w:pPr>
              <w:pStyle w:val="Compact"/>
              <w:jc w:val="left"/>
            </w:pPr>
            <w:r>
              <w:t xml:space="preserve">Academic transcript / award</w:t>
            </w:r>
          </w:p>
        </w:tc>
        <w:tc>
          <w:tcPr/>
          <w:p>
            <w:pPr>
              <w:pStyle w:val="Compact"/>
              <w:jc w:val="left"/>
            </w:pPr>
            <w:r>
              <w:t xml:space="preserve">permanent or statutory</w:t>
            </w:r>
          </w:p>
        </w:tc>
        <w:tc>
          <w:tcPr/>
          <w:p>
            <w:pPr>
              <w:pStyle w:val="Compact"/>
              <w:jc w:val="left"/>
            </w:pPr>
            <w:r>
              <w:t xml:space="preserve">permanent archive</w:t>
            </w:r>
          </w:p>
        </w:tc>
        <w:tc>
          <w:tcPr/>
          <w:p>
            <w:pPr>
              <w:pStyle w:val="Compact"/>
              <w:jc w:val="left"/>
            </w:pPr>
            <w:r>
              <w:t xml:space="preserve">registrar</w:t>
            </w:r>
          </w:p>
        </w:tc>
        <w:tc>
          <w:tcPr/>
          <w:p>
            <w:pPr>
              <w:pStyle w:val="Compact"/>
              <w:jc w:val="left"/>
            </w:pPr>
            <w:r>
              <w:t xml:space="preserve">excluded from global training</w:t>
            </w:r>
          </w:p>
        </w:tc>
      </w:tr>
      <w:tr>
        <w:tc>
          <w:tcPr/>
          <w:p>
            <w:pPr>
              <w:pStyle w:val="Compact"/>
              <w:jc w:val="left"/>
            </w:pPr>
            <w:r>
              <w:t xml:space="preserve">Finance and billing</w:t>
            </w:r>
          </w:p>
        </w:tc>
        <w:tc>
          <w:tcPr/>
          <w:p>
            <w:pPr>
              <w:pStyle w:val="Compact"/>
              <w:jc w:val="left"/>
            </w:pPr>
            <w:r>
              <w:t xml:space="preserve">7 years default</w:t>
            </w:r>
          </w:p>
        </w:tc>
        <w:tc>
          <w:tcPr/>
          <w:p>
            <w:pPr>
              <w:pStyle w:val="Compact"/>
              <w:jc w:val="left"/>
            </w:pPr>
            <w:r>
              <w:t xml:space="preserve">finance archive</w:t>
            </w:r>
          </w:p>
        </w:tc>
        <w:tc>
          <w:tcPr/>
          <w:p>
            <w:pPr>
              <w:pStyle w:val="Compact"/>
              <w:jc w:val="left"/>
            </w:pPr>
            <w:r>
              <w:t xml:space="preserve">finance lead</w:t>
            </w:r>
          </w:p>
        </w:tc>
        <w:tc>
          <w:tcPr/>
          <w:p>
            <w:pPr>
              <w:pStyle w:val="Compact"/>
              <w:jc w:val="left"/>
            </w:pPr>
            <w:r>
              <w:t xml:space="preserve">not eligible</w:t>
            </w:r>
          </w:p>
        </w:tc>
      </w:tr>
      <w:tr>
        <w:tc>
          <w:tcPr/>
          <w:p>
            <w:pPr>
              <w:pStyle w:val="Compact"/>
              <w:jc w:val="left"/>
            </w:pPr>
            <w:r>
              <w:t xml:space="preserve">Safeguarding case</w:t>
            </w:r>
          </w:p>
        </w:tc>
        <w:tc>
          <w:tcPr/>
          <w:p>
            <w:pPr>
              <w:pStyle w:val="Compact"/>
              <w:jc w:val="left"/>
            </w:pPr>
            <w:r>
              <w:t xml:space="preserve">strict local policy, typically 7+ years</w:t>
            </w:r>
          </w:p>
        </w:tc>
        <w:tc>
          <w:tcPr/>
          <w:p>
            <w:pPr>
              <w:pStyle w:val="Compact"/>
              <w:jc w:val="left"/>
            </w:pPr>
            <w:r>
              <w:t xml:space="preserve">restricted archive</w:t>
            </w:r>
          </w:p>
        </w:tc>
        <w:tc>
          <w:tcPr/>
          <w:p>
            <w:pPr>
              <w:pStyle w:val="Compact"/>
              <w:jc w:val="left"/>
            </w:pPr>
            <w:r>
              <w:t xml:space="preserve">safeguarding lead</w:t>
            </w:r>
          </w:p>
        </w:tc>
        <w:tc>
          <w:tcPr/>
          <w:p>
            <w:pPr>
              <w:pStyle w:val="Compact"/>
              <w:jc w:val="left"/>
            </w:pPr>
            <w:r>
              <w:t xml:space="preserve">never eligible</w:t>
            </w:r>
          </w:p>
        </w:tc>
      </w:tr>
      <w:tr>
        <w:tc>
          <w:tcPr/>
          <w:p>
            <w:pPr>
              <w:pStyle w:val="Compact"/>
              <w:jc w:val="left"/>
            </w:pPr>
            <w:r>
              <w:t xml:space="preserve">AI interaction log</w:t>
            </w:r>
          </w:p>
        </w:tc>
        <w:tc>
          <w:tcPr/>
          <w:p>
            <w:pPr>
              <w:pStyle w:val="Compact"/>
              <w:jc w:val="left"/>
            </w:pPr>
            <w:r>
              <w:t xml:space="preserve">2 years online, 5 years archive</w:t>
            </w:r>
          </w:p>
        </w:tc>
        <w:tc>
          <w:tcPr/>
          <w:p>
            <w:pPr>
              <w:pStyle w:val="Compact"/>
              <w:jc w:val="left"/>
            </w:pPr>
            <w:r>
              <w:t xml:space="preserve">trust archive</w:t>
            </w:r>
          </w:p>
        </w:tc>
        <w:tc>
          <w:tcPr/>
          <w:p>
            <w:pPr>
              <w:pStyle w:val="Compact"/>
              <w:jc w:val="left"/>
            </w:pPr>
            <w:r>
              <w:t xml:space="preserve">trust/security owner</w:t>
            </w:r>
          </w:p>
        </w:tc>
        <w:tc>
          <w:tcPr/>
          <w:p>
            <w:pPr>
              <w:pStyle w:val="Compact"/>
              <w:jc w:val="left"/>
            </w:pPr>
            <w:r>
              <w:t xml:space="preserve">eligible only if tenant permits and data is allowed</w:t>
            </w:r>
          </w:p>
        </w:tc>
      </w:tr>
    </w:tbl>
    <w:bookmarkEnd w:id="150"/>
    <w:bookmarkStart w:id="151" w:name="appendix-d-ai-rollout-matrix"/>
    <w:p>
      <w:pPr>
        <w:pStyle w:val="Heading2"/>
      </w:pPr>
      <w:r>
        <w:t xml:space="preserve">Appendix D — AI rollout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Default Mode</w:t>
            </w:r>
          </w:p>
        </w:tc>
        <w:tc>
          <w:tcPr/>
          <w:p>
            <w:pPr>
              <w:pStyle w:val="Compact"/>
              <w:jc w:val="left"/>
            </w:pPr>
            <w:r>
              <w:t xml:space="preserve">Escalation Requirement</w:t>
            </w:r>
          </w:p>
        </w:tc>
      </w:tr>
      <w:tr>
        <w:tc>
          <w:tcPr/>
          <w:p>
            <w:pPr>
              <w:pStyle w:val="Compact"/>
              <w:jc w:val="left"/>
            </w:pPr>
            <w:r>
              <w:t xml:space="preserve">learner</w:t>
            </w:r>
          </w:p>
        </w:tc>
        <w:tc>
          <w:tcPr/>
          <w:p>
            <w:pPr>
              <w:pStyle w:val="Compact"/>
              <w:jc w:val="left"/>
            </w:pPr>
            <w:r>
              <w:t xml:space="preserve">informative / assistive</w:t>
            </w:r>
          </w:p>
        </w:tc>
        <w:tc>
          <w:tcPr/>
          <w:p>
            <w:pPr>
              <w:pStyle w:val="Compact"/>
              <w:jc w:val="left"/>
            </w:pPr>
            <w:r>
              <w:t xml:space="preserve">no autonomous high-impact actions</w:t>
            </w:r>
          </w:p>
        </w:tc>
      </w:tr>
      <w:tr>
        <w:tc>
          <w:tcPr/>
          <w:p>
            <w:pPr>
              <w:pStyle w:val="Compact"/>
              <w:jc w:val="left"/>
            </w:pPr>
            <w:r>
              <w:t xml:space="preserve">faculty</w:t>
            </w:r>
          </w:p>
        </w:tc>
        <w:tc>
          <w:tcPr/>
          <w:p>
            <w:pPr>
              <w:pStyle w:val="Compact"/>
              <w:jc w:val="left"/>
            </w:pPr>
            <w:r>
              <w:t xml:space="preserve">assistive / approval-required for sensitive actions</w:t>
            </w:r>
          </w:p>
        </w:tc>
        <w:tc>
          <w:tcPr/>
          <w:p>
            <w:pPr>
              <w:pStyle w:val="Compact"/>
              <w:jc w:val="left"/>
            </w:pPr>
            <w:r>
              <w:t xml:space="preserve">academic signoff on publishable outcomes</w:t>
            </w:r>
          </w:p>
        </w:tc>
      </w:tr>
      <w:tr>
        <w:tc>
          <w:tcPr/>
          <w:p>
            <w:pPr>
              <w:pStyle w:val="Compact"/>
              <w:jc w:val="left"/>
            </w:pPr>
            <w:r>
              <w:t xml:space="preserve">registrar</w:t>
            </w:r>
          </w:p>
        </w:tc>
        <w:tc>
          <w:tcPr/>
          <w:p>
            <w:pPr>
              <w:pStyle w:val="Compact"/>
              <w:jc w:val="left"/>
            </w:pPr>
            <w:r>
              <w:t xml:space="preserve">approval-required</w:t>
            </w:r>
          </w:p>
        </w:tc>
        <w:tc>
          <w:tcPr/>
          <w:p>
            <w:pPr>
              <w:pStyle w:val="Compact"/>
              <w:jc w:val="left"/>
            </w:pPr>
            <w:r>
              <w:t xml:space="preserve">dual control on award/transcript changes</w:t>
            </w:r>
          </w:p>
        </w:tc>
      </w:tr>
      <w:tr>
        <w:tc>
          <w:tcPr/>
          <w:p>
            <w:pPr>
              <w:pStyle w:val="Compact"/>
              <w:jc w:val="left"/>
            </w:pPr>
            <w:r>
              <w:t xml:space="preserve">finance lead</w:t>
            </w:r>
          </w:p>
        </w:tc>
        <w:tc>
          <w:tcPr/>
          <w:p>
            <w:pPr>
              <w:pStyle w:val="Compact"/>
              <w:jc w:val="left"/>
            </w:pPr>
            <w:r>
              <w:t xml:space="preserve">approval-required for waivers/refunds</w:t>
            </w:r>
          </w:p>
        </w:tc>
        <w:tc>
          <w:tcPr/>
          <w:p>
            <w:pPr>
              <w:pStyle w:val="Compact"/>
              <w:jc w:val="left"/>
            </w:pPr>
            <w:r>
              <w:t xml:space="preserve">finance approval chain</w:t>
            </w:r>
          </w:p>
        </w:tc>
      </w:tr>
      <w:tr>
        <w:tc>
          <w:tcPr/>
          <w:p>
            <w:pPr>
              <w:pStyle w:val="Compact"/>
              <w:jc w:val="left"/>
            </w:pPr>
            <w:r>
              <w:t xml:space="preserve">counselor</w:t>
            </w:r>
          </w:p>
        </w:tc>
        <w:tc>
          <w:tcPr/>
          <w:p>
            <w:pPr>
              <w:pStyle w:val="Compact"/>
              <w:jc w:val="left"/>
            </w:pPr>
            <w:r>
              <w:t xml:space="preserve">assistive / approval-required for closure</w:t>
            </w:r>
          </w:p>
        </w:tc>
        <w:tc>
          <w:tcPr/>
          <w:p>
            <w:pPr>
              <w:pStyle w:val="Compact"/>
              <w:jc w:val="left"/>
            </w:pPr>
            <w:r>
              <w:t xml:space="preserve">human review mandatory for sensitive case closure</w:t>
            </w:r>
          </w:p>
        </w:tc>
      </w:tr>
    </w:tbl>
    <w:bookmarkEnd w:id="151"/>
    <w:bookmarkStart w:id="152" w:name="X47c41e53f655f0934d20e1d0b22859516c53902"/>
    <w:p>
      <w:pPr>
        <w:pStyle w:val="Heading2"/>
      </w:pPr>
      <w:r>
        <w:t xml:space="preserve">Appendix E — Payment exception code catalog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Code</w:t>
            </w:r>
          </w:p>
        </w:tc>
        <w:tc>
          <w:tcPr/>
          <w:p>
            <w:pPr>
              <w:pStyle w:val="Compact"/>
              <w:jc w:val="left"/>
            </w:pPr>
            <w:r>
              <w:t xml:space="preserve">Meaning</w:t>
            </w:r>
          </w:p>
        </w:tc>
        <w:tc>
          <w:tcPr/>
          <w:p>
            <w:pPr>
              <w:pStyle w:val="Compact"/>
              <w:jc w:val="left"/>
            </w:pPr>
            <w:r>
              <w:t xml:space="preserve">Owner</w:t>
            </w:r>
          </w:p>
        </w:tc>
      </w:tr>
      <w:tr>
        <w:tc>
          <w:tcPr/>
          <w:p>
            <w:pPr>
              <w:pStyle w:val="Compact"/>
              <w:jc w:val="left"/>
            </w:pPr>
            <w:r>
              <w:t xml:space="preserve">PX-001</w:t>
            </w:r>
          </w:p>
        </w:tc>
        <w:tc>
          <w:tcPr/>
          <w:p>
            <w:pPr>
              <w:pStyle w:val="Compact"/>
              <w:jc w:val="left"/>
            </w:pPr>
            <w:r>
              <w:t xml:space="preserve">duplicate receipt suspected</w:t>
            </w:r>
          </w:p>
        </w:tc>
        <w:tc>
          <w:tcPr/>
          <w:p>
            <w:pPr>
              <w:pStyle w:val="Compact"/>
              <w:jc w:val="left"/>
            </w:pPr>
            <w:r>
              <w:t xml:space="preserve">finance ops</w:t>
            </w:r>
          </w:p>
        </w:tc>
      </w:tr>
      <w:tr>
        <w:tc>
          <w:tcPr/>
          <w:p>
            <w:pPr>
              <w:pStyle w:val="Compact"/>
              <w:jc w:val="left"/>
            </w:pPr>
            <w:r>
              <w:t xml:space="preserve">PX-002</w:t>
            </w:r>
          </w:p>
        </w:tc>
        <w:tc>
          <w:tcPr/>
          <w:p>
            <w:pPr>
              <w:pStyle w:val="Compact"/>
              <w:jc w:val="left"/>
            </w:pPr>
            <w:r>
              <w:t xml:space="preserve">settlement missing from gateway report</w:t>
            </w:r>
          </w:p>
        </w:tc>
        <w:tc>
          <w:tcPr/>
          <w:p>
            <w:pPr>
              <w:pStyle w:val="Compact"/>
              <w:jc w:val="left"/>
            </w:pPr>
            <w:r>
              <w:t xml:space="preserve">treasury ops</w:t>
            </w:r>
          </w:p>
        </w:tc>
      </w:tr>
      <w:tr>
        <w:tc>
          <w:tcPr/>
          <w:p>
            <w:pPr>
              <w:pStyle w:val="Compact"/>
              <w:jc w:val="left"/>
            </w:pPr>
            <w:r>
              <w:t xml:space="preserve">PX-003</w:t>
            </w:r>
          </w:p>
        </w:tc>
        <w:tc>
          <w:tcPr/>
          <w:p>
            <w:pPr>
              <w:pStyle w:val="Compact"/>
              <w:jc w:val="left"/>
            </w:pPr>
            <w:r>
              <w:t xml:space="preserve">refund initiated but bank confirmation absent</w:t>
            </w:r>
          </w:p>
        </w:tc>
        <w:tc>
          <w:tcPr/>
          <w:p>
            <w:pPr>
              <w:pStyle w:val="Compact"/>
              <w:jc w:val="left"/>
            </w:pPr>
            <w:r>
              <w:t xml:space="preserve">finance ops</w:t>
            </w:r>
          </w:p>
        </w:tc>
      </w:tr>
      <w:tr>
        <w:tc>
          <w:tcPr/>
          <w:p>
            <w:pPr>
              <w:pStyle w:val="Compact"/>
              <w:jc w:val="left"/>
            </w:pPr>
            <w:r>
              <w:t xml:space="preserve">PX-004</w:t>
            </w:r>
          </w:p>
        </w:tc>
        <w:tc>
          <w:tcPr/>
          <w:p>
            <w:pPr>
              <w:pStyle w:val="Compact"/>
              <w:jc w:val="left"/>
            </w:pPr>
            <w:r>
              <w:t xml:space="preserve">stale pending transaction</w:t>
            </w:r>
          </w:p>
        </w:tc>
        <w:tc>
          <w:tcPr/>
          <w:p>
            <w:pPr>
              <w:pStyle w:val="Compact"/>
              <w:jc w:val="left"/>
            </w:pPr>
            <w:r>
              <w:t xml:space="preserve">finance ops</w:t>
            </w:r>
          </w:p>
        </w:tc>
      </w:tr>
      <w:tr>
        <w:tc>
          <w:tcPr/>
          <w:p>
            <w:pPr>
              <w:pStyle w:val="Compact"/>
              <w:jc w:val="left"/>
            </w:pPr>
            <w:r>
              <w:t xml:space="preserve">PX-005</w:t>
            </w:r>
          </w:p>
        </w:tc>
        <w:tc>
          <w:tcPr/>
          <w:p>
            <w:pPr>
              <w:pStyle w:val="Compact"/>
              <w:jc w:val="left"/>
            </w:pPr>
            <w:r>
              <w:t xml:space="preserve">chargeback opened</w:t>
            </w:r>
          </w:p>
        </w:tc>
        <w:tc>
          <w:tcPr/>
          <w:p>
            <w:pPr>
              <w:pStyle w:val="Compact"/>
              <w:jc w:val="left"/>
            </w:pPr>
            <w:r>
              <w:t xml:space="preserve">dispute owner</w:t>
            </w:r>
          </w:p>
        </w:tc>
      </w:tr>
    </w:tbl>
    <w:bookmarkEnd w:id="152"/>
    <w:bookmarkStart w:id="153" w:name="appendix-f-safeguarding-severity-matrix"/>
    <w:p>
      <w:pPr>
        <w:pStyle w:val="Heading2"/>
      </w:pPr>
      <w:r>
        <w:t xml:space="preserve">Appendix F — Safeguarding severity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Example</w:t>
            </w:r>
          </w:p>
        </w:tc>
        <w:tc>
          <w:tcPr/>
          <w:p>
            <w:pPr>
              <w:pStyle w:val="Compact"/>
              <w:jc w:val="left"/>
            </w:pPr>
            <w:r>
              <w:t xml:space="preserve">Required Response</w:t>
            </w:r>
          </w:p>
        </w:tc>
      </w:tr>
      <w:tr>
        <w:tc>
          <w:tcPr/>
          <w:p>
            <w:pPr>
              <w:pStyle w:val="Compact"/>
              <w:jc w:val="left"/>
            </w:pPr>
            <w:r>
              <w:t xml:space="preserve">S1</w:t>
            </w:r>
          </w:p>
        </w:tc>
        <w:tc>
          <w:tcPr/>
          <w:p>
            <w:pPr>
              <w:pStyle w:val="Compact"/>
              <w:jc w:val="left"/>
            </w:pPr>
            <w:r>
              <w:t xml:space="preserve">imminent threat or active harm risk</w:t>
            </w:r>
          </w:p>
        </w:tc>
        <w:tc>
          <w:tcPr/>
          <w:p>
            <w:pPr>
              <w:pStyle w:val="Compact"/>
              <w:jc w:val="left"/>
            </w:pPr>
            <w:r>
              <w:t xml:space="preserve">immediate escalation and emergency workflow</w:t>
            </w:r>
          </w:p>
        </w:tc>
      </w:tr>
      <w:tr>
        <w:tc>
          <w:tcPr/>
          <w:p>
            <w:pPr>
              <w:pStyle w:val="Compact"/>
              <w:jc w:val="left"/>
            </w:pPr>
            <w:r>
              <w:t xml:space="preserve">S2</w:t>
            </w:r>
          </w:p>
        </w:tc>
        <w:tc>
          <w:tcPr/>
          <w:p>
            <w:pPr>
              <w:pStyle w:val="Compact"/>
              <w:jc w:val="left"/>
            </w:pPr>
            <w:r>
              <w:t xml:space="preserve">serious wellbeing or safety concern</w:t>
            </w:r>
          </w:p>
        </w:tc>
        <w:tc>
          <w:tcPr/>
          <w:p>
            <w:pPr>
              <w:pStyle w:val="Compact"/>
              <w:jc w:val="left"/>
            </w:pPr>
            <w:r>
              <w:t xml:space="preserve">same-day safeguarding review</w:t>
            </w:r>
          </w:p>
        </w:tc>
      </w:tr>
      <w:tr>
        <w:tc>
          <w:tcPr/>
          <w:p>
            <w:pPr>
              <w:pStyle w:val="Compact"/>
              <w:jc w:val="left"/>
            </w:pPr>
            <w:r>
              <w:t xml:space="preserve">S3</w:t>
            </w:r>
          </w:p>
        </w:tc>
        <w:tc>
          <w:tcPr/>
          <w:p>
            <w:pPr>
              <w:pStyle w:val="Compact"/>
              <w:jc w:val="left"/>
            </w:pPr>
            <w:r>
              <w:t xml:space="preserve">non-immediate but material concern</w:t>
            </w:r>
          </w:p>
        </w:tc>
        <w:tc>
          <w:tcPr/>
          <w:p>
            <w:pPr>
              <w:pStyle w:val="Compact"/>
              <w:jc w:val="left"/>
            </w:pPr>
            <w:r>
              <w:t xml:space="preserve">scheduled intervention within policy SLA</w:t>
            </w:r>
          </w:p>
        </w:tc>
      </w:tr>
      <w:tr>
        <w:tc>
          <w:tcPr/>
          <w:p>
            <w:pPr>
              <w:pStyle w:val="Compact"/>
              <w:jc w:val="left"/>
            </w:pPr>
            <w:r>
              <w:t xml:space="preserve">S4</w:t>
            </w:r>
          </w:p>
        </w:tc>
        <w:tc>
          <w:tcPr/>
          <w:p>
            <w:pPr>
              <w:pStyle w:val="Compact"/>
              <w:jc w:val="left"/>
            </w:pPr>
            <w:r>
              <w:t xml:space="preserve">informational / monitor</w:t>
            </w:r>
          </w:p>
        </w:tc>
        <w:tc>
          <w:tcPr/>
          <w:p>
            <w:pPr>
              <w:pStyle w:val="Compact"/>
              <w:jc w:val="left"/>
            </w:pPr>
            <w:r>
              <w:t xml:space="preserve">observation with documented review</w:t>
            </w:r>
          </w:p>
        </w:tc>
      </w:tr>
    </w:tbl>
    <w:bookmarkEnd w:id="153"/>
    <w:bookmarkStart w:id="154" w:name="Xc334d636e7ff5c44ccd11e78b72a87d87522907"/>
    <w:p>
      <w:pPr>
        <w:pStyle w:val="Heading2"/>
      </w:pPr>
      <w:r>
        <w:t xml:space="preserve">Appendix G — Deployment responsibility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Control Area</w:t>
            </w:r>
          </w:p>
        </w:tc>
        <w:tc>
          <w:tcPr/>
          <w:p>
            <w:pPr>
              <w:pStyle w:val="Compact"/>
              <w:jc w:val="left"/>
            </w:pPr>
            <w:r>
              <w:t xml:space="preserve">ScholarMind</w:t>
            </w:r>
          </w:p>
        </w:tc>
        <w:tc>
          <w:tcPr/>
          <w:p>
            <w:pPr>
              <w:pStyle w:val="Compact"/>
              <w:jc w:val="left"/>
            </w:pPr>
            <w:r>
              <w:t xml:space="preserve">Customer</w:t>
            </w:r>
          </w:p>
        </w:tc>
      </w:tr>
      <w:tr>
        <w:tc>
          <w:tcPr/>
          <w:p>
            <w:pPr>
              <w:pStyle w:val="Compact"/>
              <w:jc w:val="left"/>
            </w:pPr>
            <w:r>
              <w:t xml:space="preserve">infrastructure security</w:t>
            </w:r>
          </w:p>
        </w:tc>
        <w:tc>
          <w:tcPr/>
          <w:p>
            <w:pPr>
              <w:pStyle w:val="Compact"/>
              <w:jc w:val="left"/>
            </w:pPr>
            <w:r>
              <w:t xml:space="preserve">primary in SaaS models</w:t>
            </w:r>
          </w:p>
        </w:tc>
        <w:tc>
          <w:tcPr/>
          <w:p>
            <w:pPr>
              <w:pStyle w:val="Compact"/>
              <w:jc w:val="left"/>
            </w:pPr>
            <w:r>
              <w:t xml:space="preserve">shared / primary in private or sovereign models</w:t>
            </w:r>
          </w:p>
        </w:tc>
      </w:tr>
      <w:tr>
        <w:tc>
          <w:tcPr/>
          <w:p>
            <w:pPr>
              <w:pStyle w:val="Compact"/>
              <w:jc w:val="left"/>
            </w:pPr>
            <w:r>
              <w:t xml:space="preserve">identity configuration</w:t>
            </w:r>
          </w:p>
        </w:tc>
        <w:tc>
          <w:tcPr/>
          <w:p>
            <w:pPr>
              <w:pStyle w:val="Compact"/>
              <w:jc w:val="left"/>
            </w:pPr>
            <w:r>
              <w:t xml:space="preserve">shared</w:t>
            </w:r>
          </w:p>
        </w:tc>
        <w:tc>
          <w:tcPr/>
          <w:p>
            <w:pPr>
              <w:pStyle w:val="Compact"/>
              <w:jc w:val="left"/>
            </w:pPr>
            <w:r>
              <w:t xml:space="preserve">shared / primary on local IdP</w:t>
            </w:r>
          </w:p>
        </w:tc>
      </w:tr>
      <w:tr>
        <w:tc>
          <w:tcPr/>
          <w:p>
            <w:pPr>
              <w:pStyle w:val="Compact"/>
              <w:jc w:val="left"/>
            </w:pPr>
            <w:r>
              <w:t xml:space="preserve">data governance policy</w:t>
            </w:r>
          </w:p>
        </w:tc>
        <w:tc>
          <w:tcPr/>
          <w:p>
            <w:pPr>
              <w:pStyle w:val="Compact"/>
              <w:jc w:val="left"/>
            </w:pPr>
            <w:r>
              <w:t xml:space="preserve">product support</w:t>
            </w:r>
          </w:p>
        </w:tc>
        <w:tc>
          <w:tcPr/>
          <w:p>
            <w:pPr>
              <w:pStyle w:val="Compact"/>
              <w:jc w:val="left"/>
            </w:pPr>
            <w:r>
              <w:t xml:space="preserve">primary institutional policy owner</w:t>
            </w:r>
          </w:p>
        </w:tc>
      </w:tr>
      <w:tr>
        <w:tc>
          <w:tcPr/>
          <w:p>
            <w:pPr>
              <w:pStyle w:val="Compact"/>
              <w:jc w:val="left"/>
            </w:pPr>
            <w:r>
              <w:t xml:space="preserve">role assignment</w:t>
            </w:r>
          </w:p>
        </w:tc>
        <w:tc>
          <w:tcPr/>
          <w:p>
            <w:pPr>
              <w:pStyle w:val="Compact"/>
              <w:jc w:val="left"/>
            </w:pPr>
            <w:r>
              <w:t xml:space="preserve">tooling support</w:t>
            </w:r>
          </w:p>
        </w:tc>
        <w:tc>
          <w:tcPr/>
          <w:p>
            <w:pPr>
              <w:pStyle w:val="Compact"/>
              <w:jc w:val="left"/>
            </w:pPr>
            <w:r>
              <w:t xml:space="preserve">primary business owner</w:t>
            </w:r>
          </w:p>
        </w:tc>
      </w:tr>
      <w:tr>
        <w:tc>
          <w:tcPr/>
          <w:p>
            <w:pPr>
              <w:pStyle w:val="Compact"/>
              <w:jc w:val="left"/>
            </w:pPr>
            <w:r>
              <w:t xml:space="preserve">incident communication to internal stakeholders</w:t>
            </w:r>
          </w:p>
        </w:tc>
        <w:tc>
          <w:tcPr/>
          <w:p>
            <w:pPr>
              <w:pStyle w:val="Compact"/>
              <w:jc w:val="left"/>
            </w:pPr>
            <w:r>
              <w:t xml:space="preserve">support evidence</w:t>
            </w:r>
          </w:p>
        </w:tc>
        <w:tc>
          <w:tcPr/>
          <w:p>
            <w:pPr>
              <w:pStyle w:val="Compact"/>
              <w:jc w:val="left"/>
            </w:pPr>
            <w:r>
              <w:t xml:space="preserve">primary customer responsibility</w:t>
            </w:r>
          </w:p>
        </w:tc>
      </w:tr>
    </w:tbl>
    <w:bookmarkEnd w:id="154"/>
    <w:bookmarkStart w:id="155" w:name="appendix-h-benchmark-participation-rules"/>
    <w:p>
      <w:pPr>
        <w:pStyle w:val="Heading2"/>
      </w:pPr>
      <w:r>
        <w:t xml:space="preserve">Appendix H — Benchmark participation rules</w:t>
      </w:r>
    </w:p>
    <w:p>
      <w:pPr>
        <w:pStyle w:val="Compact"/>
        <w:numPr>
          <w:ilvl w:val="0"/>
          <w:numId w:val="1035"/>
        </w:numPr>
      </w:pPr>
      <w:r>
        <w:t xml:space="preserve">Participation is opt-in and contractually documented.</w:t>
      </w:r>
      <w:r>
        <w:br/>
      </w:r>
    </w:p>
    <w:p>
      <w:pPr>
        <w:pStyle w:val="Compact"/>
        <w:numPr>
          <w:ilvl w:val="0"/>
          <w:numId w:val="1035"/>
        </w:numPr>
      </w:pPr>
      <w:r>
        <w:t xml:space="preserve">Privacy thresholds prevent small-cell exposure.</w:t>
      </w:r>
      <w:r>
        <w:br/>
      </w:r>
    </w:p>
    <w:p>
      <w:pPr>
        <w:pStyle w:val="Compact"/>
        <w:numPr>
          <w:ilvl w:val="0"/>
          <w:numId w:val="1035"/>
        </w:numPr>
      </w:pPr>
      <w:r>
        <w:t xml:space="preserve">Benchmark publication requires normalized metrics and cohort sufficiency.</w:t>
      </w:r>
      <w:r>
        <w:br/>
      </w:r>
    </w:p>
    <w:p>
      <w:pPr>
        <w:pStyle w:val="Compact"/>
        <w:numPr>
          <w:ilvl w:val="0"/>
          <w:numId w:val="1035"/>
        </w:numPr>
      </w:pPr>
      <w:r>
        <w:t xml:space="preserve">Customers may opt out on renewal or policy change, subject to historical contract terms.</w:t>
      </w:r>
    </w:p>
    <w:bookmarkEnd w:id="155"/>
    <w:bookmarkStart w:id="156" w:name="appendix-i-credential-lifecycle-table"/>
    <w:p>
      <w:pPr>
        <w:pStyle w:val="Heading2"/>
      </w:pPr>
      <w:r>
        <w:t xml:space="preserve">Appendix I — Credential lifecycle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Stage</w:t>
            </w:r>
          </w:p>
        </w:tc>
        <w:tc>
          <w:tcPr/>
          <w:p>
            <w:pPr>
              <w:pStyle w:val="Compact"/>
              <w:jc w:val="left"/>
            </w:pPr>
            <w:r>
              <w:t xml:space="preserve">Allowed Actors</w:t>
            </w:r>
          </w:p>
        </w:tc>
        <w:tc>
          <w:tcPr/>
          <w:p>
            <w:pPr>
              <w:pStyle w:val="Compact"/>
              <w:jc w:val="left"/>
            </w:pPr>
            <w:r>
              <w:t xml:space="preserve">Required Evidence</w:t>
            </w:r>
          </w:p>
        </w:tc>
      </w:tr>
      <w:tr>
        <w:tc>
          <w:tcPr/>
          <w:p>
            <w:pPr>
              <w:pStyle w:val="Compact"/>
              <w:jc w:val="left"/>
            </w:pPr>
            <w:r>
              <w:t xml:space="preserve">draft</w:t>
            </w:r>
          </w:p>
        </w:tc>
        <w:tc>
          <w:tcPr/>
          <w:p>
            <w:pPr>
              <w:pStyle w:val="Compact"/>
              <w:jc w:val="left"/>
            </w:pPr>
            <w:r>
              <w:t xml:space="preserve">registrar / credential officer</w:t>
            </w:r>
          </w:p>
        </w:tc>
        <w:tc>
          <w:tcPr/>
          <w:p>
            <w:pPr>
              <w:pStyle w:val="Compact"/>
              <w:jc w:val="left"/>
            </w:pPr>
            <w:r>
              <w:t xml:space="preserve">source academic or completion data</w:t>
            </w:r>
          </w:p>
        </w:tc>
      </w:tr>
      <w:tr>
        <w:tc>
          <w:tcPr/>
          <w:p>
            <w:pPr>
              <w:pStyle w:val="Compact"/>
              <w:jc w:val="left"/>
            </w:pPr>
            <w:r>
              <w:t xml:space="preserve">issued</w:t>
            </w:r>
          </w:p>
        </w:tc>
        <w:tc>
          <w:tcPr/>
          <w:p>
            <w:pPr>
              <w:pStyle w:val="Compact"/>
              <w:jc w:val="left"/>
            </w:pPr>
            <w:r>
              <w:t xml:space="preserve">registrar / approved issuer workflow</w:t>
            </w:r>
          </w:p>
        </w:tc>
        <w:tc>
          <w:tcPr/>
          <w:p>
            <w:pPr>
              <w:pStyle w:val="Compact"/>
              <w:jc w:val="left"/>
            </w:pPr>
            <w:r>
              <w:t xml:space="preserve">audit record + issue timestamp</w:t>
            </w:r>
          </w:p>
        </w:tc>
      </w:tr>
      <w:tr>
        <w:tc>
          <w:tcPr/>
          <w:p>
            <w:pPr>
              <w:pStyle w:val="Compact"/>
              <w:jc w:val="left"/>
            </w:pPr>
            <w:r>
              <w:t xml:space="preserve">shared</w:t>
            </w:r>
          </w:p>
        </w:tc>
        <w:tc>
          <w:tcPr/>
          <w:p>
            <w:pPr>
              <w:pStyle w:val="Compact"/>
              <w:jc w:val="left"/>
            </w:pPr>
            <w:r>
              <w:t xml:space="preserve">learner / authorized institution</w:t>
            </w:r>
          </w:p>
        </w:tc>
        <w:tc>
          <w:tcPr/>
          <w:p>
            <w:pPr>
              <w:pStyle w:val="Compact"/>
              <w:jc w:val="left"/>
            </w:pPr>
            <w:r>
              <w:t xml:space="preserve">consent/share policy</w:t>
            </w:r>
          </w:p>
        </w:tc>
      </w:tr>
      <w:tr>
        <w:tc>
          <w:tcPr/>
          <w:p>
            <w:pPr>
              <w:pStyle w:val="Compact"/>
              <w:jc w:val="left"/>
            </w:pPr>
            <w:r>
              <w:t xml:space="preserve">superseded</w:t>
            </w:r>
          </w:p>
        </w:tc>
        <w:tc>
          <w:tcPr/>
          <w:p>
            <w:pPr>
              <w:pStyle w:val="Compact"/>
              <w:jc w:val="left"/>
            </w:pPr>
            <w:r>
              <w:t xml:space="preserve">registrar / credential officer</w:t>
            </w:r>
          </w:p>
        </w:tc>
        <w:tc>
          <w:tcPr/>
          <w:p>
            <w:pPr>
              <w:pStyle w:val="Compact"/>
              <w:jc w:val="left"/>
            </w:pPr>
            <w:r>
              <w:t xml:space="preserve">reason code + new credential reference</w:t>
            </w:r>
          </w:p>
        </w:tc>
      </w:tr>
      <w:tr>
        <w:tc>
          <w:tcPr/>
          <w:p>
            <w:pPr>
              <w:pStyle w:val="Compact"/>
              <w:jc w:val="left"/>
            </w:pPr>
            <w:r>
              <w:t xml:space="preserve">revoked</w:t>
            </w:r>
          </w:p>
        </w:tc>
        <w:tc>
          <w:tcPr/>
          <w:p>
            <w:pPr>
              <w:pStyle w:val="Compact"/>
              <w:jc w:val="left"/>
            </w:pPr>
            <w:r>
              <w:t xml:space="preserve">registrar / credential officer</w:t>
            </w:r>
          </w:p>
        </w:tc>
        <w:tc>
          <w:tcPr/>
          <w:p>
            <w:pPr>
              <w:pStyle w:val="Compact"/>
              <w:jc w:val="left"/>
            </w:pPr>
            <w:r>
              <w:t xml:space="preserve">approval + revocation reason + audit evidence</w:t>
            </w:r>
          </w:p>
        </w:tc>
      </w:tr>
    </w:tbl>
    <w:bookmarkEnd w:id="156"/>
    <w:bookmarkStart w:id="157" w:name="appendix-j-required-v6-diagram-pack"/>
    <w:p>
      <w:pPr>
        <w:pStyle w:val="Heading2"/>
      </w:pPr>
      <w:r>
        <w:t xml:space="preserve">Appendix J — Required V6 diagram pack</w:t>
      </w:r>
    </w:p>
    <w:p>
      <w:pPr>
        <w:pStyle w:val="Compact"/>
        <w:numPr>
          <w:ilvl w:val="0"/>
          <w:numId w:val="1036"/>
        </w:numPr>
      </w:pPr>
      <w:r>
        <w:t xml:space="preserve">Credential issuance and verification flow</w:t>
      </w:r>
      <w:r>
        <w:br/>
      </w:r>
    </w:p>
    <w:p>
      <w:pPr>
        <w:pStyle w:val="Compact"/>
        <w:numPr>
          <w:ilvl w:val="0"/>
          <w:numId w:val="1036"/>
        </w:numPr>
      </w:pPr>
      <w:r>
        <w:t xml:space="preserve">Learner record lifecycle</w:t>
      </w:r>
      <w:r>
        <w:br/>
      </w:r>
    </w:p>
    <w:p>
      <w:pPr>
        <w:pStyle w:val="Compact"/>
        <w:numPr>
          <w:ilvl w:val="0"/>
          <w:numId w:val="1036"/>
        </w:numPr>
      </w:pPr>
      <w:r>
        <w:t xml:space="preserve">Student success case flow</w:t>
      </w:r>
      <w:r>
        <w:br/>
      </w:r>
    </w:p>
    <w:p>
      <w:pPr>
        <w:pStyle w:val="Compact"/>
        <w:numPr>
          <w:ilvl w:val="0"/>
          <w:numId w:val="1036"/>
        </w:numPr>
      </w:pPr>
      <w:r>
        <w:t xml:space="preserve">India rails sync and reconciliation flow</w:t>
      </w:r>
      <w:r>
        <w:br/>
      </w:r>
    </w:p>
    <w:p>
      <w:pPr>
        <w:pStyle w:val="Compact"/>
        <w:numPr>
          <w:ilvl w:val="0"/>
          <w:numId w:val="1036"/>
        </w:numPr>
      </w:pPr>
      <w:r>
        <w:t xml:space="preserve">Payment orchestration and reconciliation flow</w:t>
      </w:r>
      <w:r>
        <w:br/>
      </w:r>
    </w:p>
    <w:p>
      <w:pPr>
        <w:pStyle w:val="Compact"/>
        <w:numPr>
          <w:ilvl w:val="0"/>
          <w:numId w:val="1036"/>
        </w:numPr>
      </w:pPr>
      <w:r>
        <w:t xml:space="preserve">AI recommendation / approval / override flow</w:t>
      </w:r>
      <w:r>
        <w:br/>
      </w:r>
    </w:p>
    <w:p>
      <w:pPr>
        <w:pStyle w:val="Compact"/>
        <w:numPr>
          <w:ilvl w:val="0"/>
          <w:numId w:val="1036"/>
        </w:numPr>
      </w:pPr>
      <w:r>
        <w:t xml:space="preserve">Migration coexistence and cutover flow</w:t>
      </w:r>
      <w:r>
        <w:br/>
      </w:r>
    </w:p>
    <w:p>
      <w:pPr>
        <w:pStyle w:val="Compact"/>
        <w:numPr>
          <w:ilvl w:val="0"/>
          <w:numId w:val="1036"/>
        </w:numPr>
      </w:pPr>
      <w:r>
        <w:t xml:space="preserve">Multi-campus policy inheritance flow</w:t>
      </w:r>
    </w:p>
    <w:bookmarkEnd w:id="157"/>
    <w:bookmarkStart w:id="158" w:name="appendix-k-implementation-raci-template"/>
    <w:p>
      <w:pPr>
        <w:pStyle w:val="Heading2"/>
      </w:pPr>
      <w:r>
        <w:t xml:space="preserve">Appendix K — Implementation RACI template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Milestone</w:t>
            </w:r>
          </w:p>
        </w:tc>
        <w:tc>
          <w:tcPr/>
          <w:p>
            <w:pPr>
              <w:pStyle w:val="Compact"/>
              <w:jc w:val="left"/>
            </w:pPr>
            <w:r>
              <w:t xml:space="preserve">ScholarMind</w:t>
            </w:r>
          </w:p>
        </w:tc>
        <w:tc>
          <w:tcPr/>
          <w:p>
            <w:pPr>
              <w:pStyle w:val="Compact"/>
              <w:jc w:val="left"/>
            </w:pPr>
            <w:r>
              <w:t xml:space="preserve">Client Sponsor</w:t>
            </w:r>
          </w:p>
        </w:tc>
        <w:tc>
          <w:tcPr/>
          <w:p>
            <w:pPr>
              <w:pStyle w:val="Compact"/>
              <w:jc w:val="left"/>
            </w:pPr>
            <w:r>
              <w:t xml:space="preserve">Client Operations</w:t>
            </w:r>
          </w:p>
        </w:tc>
        <w:tc>
          <w:tcPr/>
          <w:p>
            <w:pPr>
              <w:pStyle w:val="Compact"/>
              <w:jc w:val="left"/>
            </w:pPr>
            <w:r>
              <w:t xml:space="preserve">IT / Security</w:t>
            </w:r>
          </w:p>
        </w:tc>
      </w:tr>
      <w:tr>
        <w:tc>
          <w:tcPr/>
          <w:p>
            <w:pPr>
              <w:pStyle w:val="Compact"/>
              <w:jc w:val="left"/>
            </w:pPr>
            <w:r>
              <w:t xml:space="preserve">Blueprint sign-off</w:t>
            </w:r>
          </w:p>
        </w:tc>
        <w:tc>
          <w:tcPr/>
          <w:p>
            <w:pPr>
              <w:pStyle w:val="Compact"/>
              <w:jc w:val="left"/>
            </w:pPr>
            <w:r>
              <w:t xml:space="preserve">R</w:t>
            </w:r>
          </w:p>
        </w:tc>
        <w:tc>
          <w:tcPr/>
          <w:p>
            <w:pPr>
              <w:pStyle w:val="Compact"/>
              <w:jc w:val="left"/>
            </w:pPr>
            <w:r>
              <w:t xml:space="preserve">A</w:t>
            </w:r>
          </w:p>
        </w:tc>
        <w:tc>
          <w:tcPr/>
          <w:p>
            <w:pPr>
              <w:pStyle w:val="Compact"/>
              <w:jc w:val="left"/>
            </w:pPr>
            <w:r>
              <w:t xml:space="preserve">C</w:t>
            </w:r>
          </w:p>
        </w:tc>
        <w:tc>
          <w:tcPr/>
          <w:p>
            <w:pPr>
              <w:pStyle w:val="Compact"/>
              <w:jc w:val="left"/>
            </w:pPr>
            <w:r>
              <w:t xml:space="preserve">C</w:t>
            </w:r>
          </w:p>
        </w:tc>
      </w:tr>
      <w:tr>
        <w:tc>
          <w:tcPr/>
          <w:p>
            <w:pPr>
              <w:pStyle w:val="Compact"/>
              <w:jc w:val="left"/>
            </w:pPr>
            <w:r>
              <w:t xml:space="preserve">Data mapping approval</w:t>
            </w:r>
          </w:p>
        </w:tc>
        <w:tc>
          <w:tcPr/>
          <w:p>
            <w:pPr>
              <w:pStyle w:val="Compact"/>
              <w:jc w:val="left"/>
            </w:pPr>
            <w:r>
              <w:t xml:space="preserve">R</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r>
      <w:tr>
        <w:tc>
          <w:tcPr/>
          <w:p>
            <w:pPr>
              <w:pStyle w:val="Compact"/>
              <w:jc w:val="left"/>
            </w:pPr>
            <w:r>
              <w:t xml:space="preserve">Integration readiness</w:t>
            </w:r>
          </w:p>
        </w:tc>
        <w:tc>
          <w:tcPr/>
          <w:p>
            <w:pPr>
              <w:pStyle w:val="Compact"/>
              <w:jc w:val="left"/>
            </w:pPr>
            <w:r>
              <w:t xml:space="preserve">R</w:t>
            </w:r>
          </w:p>
        </w:tc>
        <w:tc>
          <w:tcPr/>
          <w:p>
            <w:pPr>
              <w:pStyle w:val="Compact"/>
              <w:jc w:val="left"/>
            </w:pPr>
            <w:r>
              <w:t xml:space="preserve">C</w:t>
            </w:r>
          </w:p>
        </w:tc>
        <w:tc>
          <w:tcPr/>
          <w:p>
            <w:pPr>
              <w:pStyle w:val="Compact"/>
              <w:jc w:val="left"/>
            </w:pPr>
            <w:r>
              <w:t xml:space="preserve">C</w:t>
            </w:r>
          </w:p>
        </w:tc>
        <w:tc>
          <w:tcPr/>
          <w:p>
            <w:pPr>
              <w:pStyle w:val="Compact"/>
              <w:jc w:val="left"/>
            </w:pPr>
            <w:r>
              <w:t xml:space="preserve">A/R</w:t>
            </w:r>
          </w:p>
        </w:tc>
      </w:tr>
      <w:tr>
        <w:tc>
          <w:tcPr/>
          <w:p>
            <w:pPr>
              <w:pStyle w:val="Compact"/>
              <w:jc w:val="left"/>
            </w:pPr>
            <w:r>
              <w:t xml:space="preserve">Pilot go-live</w:t>
            </w:r>
          </w:p>
        </w:tc>
        <w:tc>
          <w:tcPr/>
          <w:p>
            <w:pPr>
              <w:pStyle w:val="Compact"/>
              <w:jc w:val="left"/>
            </w:pPr>
            <w:r>
              <w:t xml:space="preserve">R</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r>
      <w:tr>
        <w:tc>
          <w:tcPr/>
          <w:p>
            <w:pPr>
              <w:pStyle w:val="Compact"/>
              <w:jc w:val="left"/>
            </w:pPr>
            <w:r>
              <w:t xml:space="preserve">Hypercare exit</w:t>
            </w:r>
          </w:p>
        </w:tc>
        <w:tc>
          <w:tcPr/>
          <w:p>
            <w:pPr>
              <w:pStyle w:val="Compact"/>
              <w:jc w:val="left"/>
            </w:pPr>
            <w:r>
              <w:t xml:space="preserve">R</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r>
    </w:tbl>
    <w:bookmarkEnd w:id="158"/>
    <w:bookmarkStart w:id="159" w:name="document-history"/>
    <w:p>
      <w:pPr>
        <w:pStyle w:val="Heading2"/>
      </w:pPr>
      <w:r>
        <w:t xml:space="preserve">Document history</w:t>
      </w:r>
    </w:p>
    <w:p>
      <w:pPr>
        <w:pStyle w:val="Compact"/>
        <w:numPr>
          <w:ilvl w:val="0"/>
          <w:numId w:val="1037"/>
        </w:numPr>
      </w:pPr>
      <w:r>
        <w:t xml:space="preserve">v6.0 — Comprehensive Execution, Governance &amp; Rollout Edition (April 2026)</w:t>
      </w:r>
    </w:p>
    <w:p>
      <w:pPr>
        <w:pStyle w:val="Compact"/>
        <w:numPr>
          <w:ilvl w:val="0"/>
          <w:numId w:val="1037"/>
        </w:numPr>
      </w:pPr>
      <w:r>
        <w:t xml:space="preserve">v5.0 — Execution-Ready Operating Platform Edition (April 2026)</w:t>
      </w:r>
    </w:p>
    <w:p>
      <w:pPr>
        <w:pStyle w:val="Compact"/>
        <w:numPr>
          <w:ilvl w:val="0"/>
          <w:numId w:val="1037"/>
        </w:numPr>
      </w:pPr>
      <w:r>
        <w:t xml:space="preserve">v4.0 — Trusted Learning Infrastructure Edition (April 2026)</w:t>
      </w:r>
    </w:p>
    <w:p>
      <w:pPr>
        <w:pStyle w:val="Compact"/>
        <w:numPr>
          <w:ilvl w:val="0"/>
          <w:numId w:val="1037"/>
        </w:numPr>
      </w:pPr>
      <w:r>
        <w:t xml:space="preserve">v3.7 — Universal Education Edition (March 2026)</w:t>
      </w:r>
    </w:p>
    <w:p>
      <w:pPr>
        <w:pStyle w:val="Compact"/>
        <w:numPr>
          <w:ilvl w:val="0"/>
          <w:numId w:val="1037"/>
        </w:numPr>
      </w:pPr>
      <w:r>
        <w:t xml:space="preserve">v3.0 — Universal Education Edition (February 2026)</w:t>
      </w:r>
    </w:p>
    <w:p>
      <w:pPr>
        <w:pStyle w:val="Compact"/>
        <w:numPr>
          <w:ilvl w:val="0"/>
          <w:numId w:val="1037"/>
        </w:numPr>
      </w:pPr>
      <w:r>
        <w:t xml:space="preserve">v2.0 — Global Equity Edition (February 2026)</w:t>
      </w:r>
    </w:p>
    <w:p>
      <w:pPr>
        <w:pStyle w:val="FirstParagraph"/>
      </w:pPr>
      <w:r>
        <w:rPr>
          <w:b/>
          <w:bCs/>
        </w:rPr>
        <w:t xml:space="preserve">Confidential — Internal Use Only</w:t>
      </w:r>
    </w:p>
    <w:bookmarkEnd w:id="159"/>
    <w:bookmarkEnd w:id="160"/>
    <w:sectPr w:rsidR="00FC693F" w:rsidRPr="0006063C" w:rsidSect="00034616">
      <w:pgSz w:h="16834" w:w="11909"/>
      <w:pgMar w:bottom="1080" w:footer="720" w:gutter="0" w:header="720" w:left="1152" w:right="1152"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Aptos" w:eastAsia="Aptos" w:hAnsi="Aptos"/>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w:asciiTheme="majorHAnsi" w:cstheme="majorBidi" w:eastAsia="Aptos" w:eastAsiaTheme="majorEastAsia" w:hAnsi="Aptos" w:hAnsiTheme="majorHAnsi"/>
      <w:b/>
      <w:bCs/>
      <w:color w:val="15365C"/>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w:asciiTheme="majorHAnsi" w:cstheme="majorBidi" w:eastAsia="Aptos" w:eastAsiaTheme="majorEastAsia" w:hAnsi="Aptos" w:hAnsiTheme="majorHAnsi"/>
      <w:b/>
      <w:bCs/>
      <w:color w:val="1F4E79"/>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ptos" w:asciiTheme="majorHAnsi" w:cstheme="majorBidi" w:eastAsia="Aptos" w:eastAsiaTheme="majorEastAsia" w:hAnsi="Aptos" w:hAnsiTheme="majorHAnsi"/>
      <w:b/>
      <w:bCs/>
      <w:color w:val="1F4E79"/>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w:asciiTheme="majorHAnsi" w:cstheme="majorBidi" w:eastAsia="Aptos" w:eastAsiaTheme="majorEastAsia" w:hAnsi="Aptos" w:hAnsiTheme="majorHAnsi"/>
      <w:b/>
      <w:color w:val="15365C"/>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Aptos" w:asciiTheme="majorHAnsi" w:cstheme="majorBidi" w:eastAsia="Aptos" w:eastAsiaTheme="majorEastAsia" w:hAnsi="Aptos" w:hAnsiTheme="majorHAnsi"/>
      <w:b/>
      <w:i/>
      <w:iCs/>
      <w:color w:val="5A5A5A"/>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Aptos" w:eastAsia="Aptos" w:hAnsi="Aptos"/>
      <w:sz w:val="19"/>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2026-04-20T08:10:40Z</dcterms:created>
  <dcterms:modified xsi:type="dcterms:W3CDTF">2026-04-20T08:10:40Z</dcterms:modified>
</cp:coreProperties>
</file>

<file path=docProps/custom.xml><?xml version="1.0" encoding="utf-8"?>
<Properties xmlns="http://schemas.openxmlformats.org/officeDocument/2006/custom-properties" xmlns:vt="http://schemas.openxmlformats.org/officeDocument/2006/docPropsVTypes"/>
</file>