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My background is in communication design. I also attended an exchange semester at Adam Smith College, Scotland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With over 4 years of professional experience, I have fumbled, struggled and survived. Working in different kind of organisations gave me a diversified learning experience. After working at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Fisheye Design</w:t>
      </w:r>
      <w:r w:rsidDel="00000000" w:rsidR="00000000" w:rsidRPr="00000000">
        <w:rPr>
          <w:sz w:val="21"/>
          <w:szCs w:val="21"/>
          <w:rtl w:val="0"/>
        </w:rPr>
        <w:t xml:space="preserve"> in a small team of three designers, besides designing visual systems and interactive experiences, I learnt other useful skills like client management and print production.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Working at a digital startup,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Repindia</w:t>
      </w:r>
      <w:r w:rsidDel="00000000" w:rsidR="00000000" w:rsidRPr="00000000">
        <w:rPr>
          <w:sz w:val="21"/>
          <w:szCs w:val="21"/>
          <w:rtl w:val="0"/>
        </w:rPr>
        <w:t xml:space="preserve"> in New Delhi, gave me exposure to new platforms in social media and web design. At the daily newspaper office,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Times of India</w:t>
      </w:r>
      <w:r w:rsidDel="00000000" w:rsidR="00000000" w:rsidRPr="00000000">
        <w:rPr>
          <w:sz w:val="21"/>
          <w:szCs w:val="21"/>
          <w:rtl w:val="0"/>
        </w:rPr>
        <w:t xml:space="preserve">, I learnt the virtues of being organised, speed and efficiency. In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Ogilvy and Mather,</w:t>
      </w:r>
      <w:r w:rsidDel="00000000" w:rsidR="00000000" w:rsidRPr="00000000">
        <w:rPr>
          <w:sz w:val="21"/>
          <w:szCs w:val="21"/>
          <w:rtl w:val="0"/>
        </w:rPr>
        <w:t xml:space="preserve"> New Delhi, I got first hand experience of how large-scale national campaigns are rolled out.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I have designed projects freelance and in-house for many diverse clients including World Bank, Sephora, Panchachuli Weavers and Sushumna Yoga.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Exhibition Design Winner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Adobe Achievement Awards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Indo–Swiss Collaboration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Runner–up, Website Design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2009–2010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Indo–Swiss Collaboration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Runner–up, Website Design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2009–2010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Graphic Design in Rural Sector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Vikalp Design,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Udaipur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Resume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hsinghal@mica.edu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+1 214 293 0004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+91 98105 24751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