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Data structures laboratory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Insertion sort: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99" w:dyaOrig="8985">
          <v:rect xmlns:o="urn:schemas-microsoft-com:office:office" xmlns:v="urn:schemas-microsoft-com:vml" id="rectole0000000000" style="width:364.950000pt;height:4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9" w:dyaOrig="1246">
          <v:rect xmlns:o="urn:schemas-microsoft-com:office:office" xmlns:v="urn:schemas-microsoft-com:vml" id="rectole0000000001" style="width:357.450000pt;height:6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2" w:dyaOrig="3619">
          <v:rect xmlns:o="urn:schemas-microsoft-com:office:office" xmlns:v="urn:schemas-microsoft-com:vml" id="rectole0000000002" style="width:373.600000pt;height:18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2. Selection sort: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3" w:dyaOrig="6393">
          <v:rect xmlns:o="urn:schemas-microsoft-com:office:office" xmlns:v="urn:schemas-microsoft-com:vml" id="rectole0000000003" style="width:434.150000pt;height:31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68" w:dyaOrig="1188">
          <v:rect xmlns:o="urn:schemas-microsoft-com:office:office" xmlns:v="urn:schemas-microsoft-com:vml" id="rectole0000000004" style="width:383.400000pt;height:5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7450" w:dyaOrig="3283">
          <v:rect xmlns:o="urn:schemas-microsoft-com:office:office" xmlns:v="urn:schemas-microsoft-com:vml" id="rectole0000000005" style="width:372.500000pt;height:164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