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Times New Roman" w:hAnsi="Times New Roman"/>
          <w:b/>
          <w:sz w:val="48"/>
        </w:rPr>
        <w:t>Empirical Evaluation of Recurrent Neural Architectures for Spatial Sequence Trajectory Recognition: A Comparative Benchmark of Vanilla RNN, Bidirectional RNN, LSTM, and GRU</w:t>
      </w:r>
    </w:p>
    <w:tbl>
      <w:tblPr>
        <w:tblW w:type="auto" w:w="0"/>
        <w:jc w:val="center"/>
        <w:tblLook w:firstColumn="1" w:firstRow="1" w:lastColumn="0" w:lastRow="0" w:noHBand="0" w:noVBand="1" w:val="04A0"/>
      </w:tblPr>
      <w:tblGrid>
        <w:gridCol w:w="3374"/>
        <w:gridCol w:w="3374"/>
        <w:gridCol w:w="3374"/>
      </w:tblGrid>
      <w:tr>
        <w:tc>
          <w:tcPr>
            <w:tcW w:type="dxa" w:w="3312"/>
            <w:tcMar>
              <w:top w:w="40" w:type="dxa"/>
              <w:bottom w:w="40" w:type="dxa"/>
              <w:left w:w="40" w:type="dxa"/>
              <w:right w:w="40" w:type="dxa"/>
            </w:tcMar>
          </w:tcPr>
          <w:p>
            <w:pPr>
              <w:spacing w:after="40"/>
              <w:jc w:val="center"/>
            </w:pPr>
            <w:r>
              <w:rPr>
                <w:rFonts w:ascii="Times New Roman" w:hAnsi="Times New Roman"/>
                <w:b/>
                <w:sz w:val="20"/>
              </w:rPr>
              <w:t>Chahat Deep Singh</w:t>
              <w:br/>
            </w:r>
            <w:r>
              <w:rPr>
                <w:rFonts w:ascii="Times New Roman" w:hAnsi="Times New Roman"/>
                <w:i/>
                <w:sz w:val="17"/>
              </w:rPr>
              <w:t>Department of Computer Science &amp; Engineering</w:t>
              <w:br/>
              <w:t>NeuralFlow AI Research Laboratory</w:t>
              <w:br/>
              <w:t>Chandigarh, India</w:t>
              <w:br/>
            </w:r>
            <w:r>
              <w:rPr>
                <w:rFonts w:ascii="Times New Roman" w:hAnsi="Times New Roman"/>
                <w:sz w:val="17"/>
              </w:rPr>
              <w:t>chahat@neuralflow.io</w:t>
            </w:r>
          </w:p>
        </w:tc>
        <w:tc>
          <w:tcPr>
            <w:tcW w:type="dxa" w:w="3312"/>
            <w:tcMar>
              <w:top w:w="40" w:type="dxa"/>
              <w:bottom w:w="40" w:type="dxa"/>
              <w:left w:w="40" w:type="dxa"/>
              <w:right w:w="40" w:type="dxa"/>
            </w:tcMar>
          </w:tcPr>
          <w:p>
            <w:pPr>
              <w:spacing w:after="40"/>
              <w:jc w:val="center"/>
            </w:pPr>
            <w:r>
              <w:rPr>
                <w:rFonts w:ascii="Times New Roman" w:hAnsi="Times New Roman"/>
                <w:b/>
                <w:sz w:val="20"/>
              </w:rPr>
              <w:t>Aarav Sharma</w:t>
              <w:br/>
            </w:r>
            <w:r>
              <w:rPr>
                <w:rFonts w:ascii="Times New Roman" w:hAnsi="Times New Roman"/>
                <w:i/>
                <w:sz w:val="17"/>
              </w:rPr>
              <w:t>Department of Electrical Engineering</w:t>
              <w:br/>
              <w:t>Machine Learning &amp; Perception Group</w:t>
              <w:br/>
              <w:t>New Delhi, India</w:t>
              <w:br/>
            </w:r>
            <w:r>
              <w:rPr>
                <w:rFonts w:ascii="Times New Roman" w:hAnsi="Times New Roman"/>
                <w:sz w:val="17"/>
              </w:rPr>
              <w:t>aarav.sharma@research.ac.in</w:t>
            </w:r>
          </w:p>
        </w:tc>
        <w:tc>
          <w:tcPr>
            <w:tcW w:type="dxa" w:w="3312"/>
            <w:tcMar>
              <w:top w:w="40" w:type="dxa"/>
              <w:bottom w:w="40" w:type="dxa"/>
              <w:left w:w="40" w:type="dxa"/>
              <w:right w:w="40" w:type="dxa"/>
            </w:tcMar>
          </w:tcPr>
          <w:p>
            <w:pPr>
              <w:spacing w:after="40"/>
              <w:jc w:val="center"/>
            </w:pPr>
            <w:r>
              <w:rPr>
                <w:rFonts w:ascii="Times New Roman" w:hAnsi="Times New Roman"/>
                <w:b/>
                <w:sz w:val="20"/>
              </w:rPr>
              <w:t>Dr. Priya Venkatesh</w:t>
              <w:br/>
            </w:r>
            <w:r>
              <w:rPr>
                <w:rFonts w:ascii="Times New Roman" w:hAnsi="Times New Roman"/>
                <w:i/>
                <w:sz w:val="17"/>
              </w:rPr>
              <w:t>Department of Computational Intelligence</w:t>
              <w:br/>
              <w:t>Center for Advanced Sequence Modeling</w:t>
              <w:br/>
              <w:t>Bengaluru, India</w:t>
              <w:br/>
            </w:r>
            <w:r>
              <w:rPr>
                <w:rFonts w:ascii="Times New Roman" w:hAnsi="Times New Roman"/>
                <w:sz w:val="17"/>
              </w:rPr>
              <w:t>p.venkatesh@univ.edu.in</w:t>
            </w:r>
          </w:p>
        </w:tc>
      </w:tr>
    </w:tbl>
    <w:p>
      <w:pPr>
        <w:spacing w:before="120" w:after="120"/>
      </w:pPr>
    </w:p>
    <w:p>
      <w:pPr>
        <w:sectPr>
          <w:pgSz w:w="11909" w:h="16834"/>
          <w:pgMar w:top="1080" w:right="893" w:bottom="1440" w:left="893" w:header="720" w:footer="720" w:gutter="0"/>
          <w:cols w:space="720"/>
          <w:docGrid w:linePitch="360"/>
        </w:sectPr>
      </w:pPr>
    </w:p>
    <w:p>
      <w:pPr>
        <w:spacing w:before="80" w:after="80" w:line="245" w:lineRule="auto"/>
        <w:jc w:val="both"/>
      </w:pPr>
      <w:r>
        <w:rPr>
          <w:rFonts w:ascii="Times New Roman" w:hAnsi="Times New Roman"/>
          <w:b/>
          <w:i/>
          <w:sz w:val="18"/>
        </w:rPr>
        <w:t>Abstract—</w:t>
      </w:r>
      <w:r>
        <w:rPr>
          <w:rFonts w:ascii="Times New Roman" w:hAnsi="Times New Roman"/>
          <w:b/>
          <w:sz w:val="18"/>
        </w:rPr>
        <w:t>Recurrent Neural Networks (RNNs) represent the foundational architecture for modeling sequential data endowed with temporal or directional dependencies. However, standard first-order recurrent networks (Vanilla RNNs) exhibit severe gradient vanishing and exploding pathologies during backpropagation through time (BPTT), which intrinsically impairs their capacity to capture long-range contextual information. While gated variants, such as Long Short-Term Memory (LSTM) and Gated Recurrent Units (GRU), along with Bidirectional RNNs (BiRNN), were architected to overcome these theoretical limitations, empirical comparisons under strictly identical parameterization, leakage-free data partitioning, and spatial trajectory sequence representations remain underexplored. In this investigation, we formulate a self-supervised spatial sequence trajectory classification benchmark derived from an unlabeled geological outcrop dataset comprising 11 macroscopic rock outcrop photographs featuring concentric stromatolite and weathering structures. We convert 2D spatial textures into deterministic sequence trajectories (T=32 timesteps, D=32 input features) and enforce strict image-level partitioning (7 train, 2 validation, 2 test) to ensure zero spatial leakage. Under identical optimization (Adam, lr=0.001, cross-entropy), each architecture was instrumented to capture parameter counts, runtime latencies, multi-class classification metrics (accuracy, precision, recall, macro/weighted F1), and Frobenius norm gradient dynamics across epochs. Our empirical findings show that Vanilla RNN converged in 14.39 s with 8,451 parameters, achieving 34.58% accuracy and 29.11% macro F1; BiRNN required 15.83 s with 6,403 parameters, yielding 32.71% accuracy and 26.16% macro F1; LSTM integrated 27,267 parameters, completing training in 9.23 s with 32.50% accuracy and 26.51% macro F1; and GRU demonstrated optimal parameter-to-runtime efficiency, converging in 7.76 s with 20,995 parameters, achieving 33.96% accuracy and 28.73% macro F1. Furthermore, gradient norm tracking reveals distinctive stability profiles, with LSTM demonstrating bounded, smooth gradient dissipation (mean ||g||=0.023) in contrast to the larger gradient variances in un-gated recurrent formulations. This paper delivers a rigorous empirical framework for sequence modeling tradeoffs in spatial computer vision.</w:t>
      </w:r>
    </w:p>
    <w:p>
      <w:pPr>
        <w:spacing w:before="40" w:after="160" w:line="245" w:lineRule="auto"/>
        <w:jc w:val="both"/>
      </w:pPr>
      <w:r>
        <w:rPr>
          <w:rFonts w:ascii="Times New Roman" w:hAnsi="Times New Roman"/>
          <w:b/>
          <w:i/>
          <w:sz w:val="18"/>
        </w:rPr>
        <w:t>Keywords—</w:t>
      </w:r>
      <w:r>
        <w:rPr>
          <w:rFonts w:ascii="Times New Roman" w:hAnsi="Times New Roman"/>
          <w:i/>
          <w:sz w:val="18"/>
        </w:rPr>
        <w:t>Recurrent Neural Networks (RNN), Long Short-Term Memory (LSTM), Gated Recurrent Unit (GRU), Bidirectional RNN, Vanishing Gradient Problem, Backpropagation Through Time (BPTT), Spatial Sequence Trajectories, Empirical Benchmark</w:t>
      </w:r>
    </w:p>
    <w:p>
      <w:pPr>
        <w:keepNext/>
        <w:spacing w:before="200" w:after="80"/>
        <w:jc w:val="center"/>
      </w:pPr>
      <w:r>
        <w:rPr>
          <w:rFonts w:ascii="Times New Roman" w:hAnsi="Times New Roman"/>
          <w:b/>
          <w:sz w:val="20"/>
        </w:rPr>
        <w:t>I. INTRODUCTION</w:t>
      </w:r>
    </w:p>
    <w:p>
      <w:pPr>
        <w:spacing w:before="0" w:after="60" w:line="252" w:lineRule="auto"/>
        <w:ind w:firstLine="202"/>
        <w:jc w:val="both"/>
      </w:pPr>
      <w:r>
        <w:rPr>
          <w:rFonts w:ascii="Times New Roman" w:hAnsi="Times New Roman"/>
          <w:sz w:val="20"/>
        </w:rPr>
        <w:t>Sequential modeling is an indispensable paradigm across machine learning domains including computational linguistics, acoustic speech synthesis, financial time-series forecasting, and bioinformatic sequence analysis [1], [2]. Unlike conventional feedforward neural networks and static convolutional architectures that assume independent and identically distributed (i.i.d.) inputs, Recurrent Neural Networks maintain an internal latent hidden state vector h_t that functions as an autoregressive memory buffer of all preceding inputs x_1, ..., x_t. This recurrence facilitates the extraction of temporal context across arbitrarily extended time horizons.</w:t>
      </w:r>
    </w:p>
    <w:p>
      <w:pPr>
        <w:spacing w:before="0" w:after="60" w:line="252" w:lineRule="auto"/>
        <w:ind w:firstLine="202"/>
        <w:jc w:val="both"/>
      </w:pPr>
      <w:r>
        <w:rPr>
          <w:rFonts w:ascii="Times New Roman" w:hAnsi="Times New Roman"/>
          <w:sz w:val="20"/>
        </w:rPr>
        <w:t>However, optimizing standard Elman RNN architectures via Backpropagation Through Time (BPTT) is fundamentally impeded by vanishing and exploding gradient phenomena [3], [5]. When propagating error signals backward across substantial temporal horizons T, the gradient undergoes repeated Jacobian matrix products. If the spectral radius of the recurrent weight tensor is below unity, gradients decay exponentially toward zero, precluding early timesteps from influencing parameter updates. Conversely, if the spectral radius exceeds unity, gradients explode uncontrollably, precipitating numerical overflow and representational collapse.</w:t>
      </w:r>
    </w:p>
    <w:p>
      <w:pPr>
        <w:spacing w:before="0" w:after="60" w:line="252" w:lineRule="auto"/>
        <w:ind w:firstLine="202"/>
        <w:jc w:val="both"/>
      </w:pPr>
      <w:r>
        <w:rPr>
          <w:rFonts w:ascii="Times New Roman" w:hAnsi="Times New Roman"/>
          <w:sz w:val="20"/>
        </w:rPr>
        <w:t>To mitigate these vulnerabilities, Hochreiter &amp; Schmidhuber [2] engineered the Long Short-Term Memory (LSTM) network, introducing an additive error carousel governed by multiplicative input, forget, and output gates. Cho et al. [4] subsequently introduced the Gated Recurrent Unit (GRU), streamlining gating dynamics into reset and update mechanisms while eliminating the separate cell state. In parallel, Schuster &amp; Paliwal [6] proposed Bidirectional RNNs (BiRNN) to process sequences synchronously in both forward and reverse chronological directions.</w:t>
      </w:r>
    </w:p>
    <w:p>
      <w:pPr>
        <w:spacing w:before="0" w:after="60" w:line="252" w:lineRule="auto"/>
        <w:ind w:firstLine="202"/>
        <w:jc w:val="both"/>
      </w:pPr>
      <w:r>
        <w:rPr>
          <w:rFonts w:ascii="Times New Roman" w:hAnsi="Times New Roman"/>
          <w:sz w:val="20"/>
        </w:rPr>
        <w:t>While these architectures have been evaluated extensively on natural language corpora and 1D temporal signals, their comparative behavior on spatial sequence trajectories extracted from raw, unstructured visual textures remains underexplored. In this work, we present NeuralFlow: a controlled empirical benchmark evaluating Vanilla RNN, Bidirectional RNN, LSTM, and GRU under strictly controlled hyperparameters, zero data leakage, and real-time gradient tracking.</w:t>
      </w:r>
    </w:p>
    <w:p>
      <w:pPr>
        <w:keepNext/>
        <w:spacing w:before="200" w:after="80"/>
        <w:jc w:val="center"/>
      </w:pPr>
      <w:r>
        <w:rPr>
          <w:rFonts w:ascii="Times New Roman" w:hAnsi="Times New Roman"/>
          <w:b/>
          <w:sz w:val="20"/>
        </w:rPr>
        <w:t>II. ARCHITECTURAL FORMULATIONS &amp; MATHEMATICAL FOUNDATIONS</w:t>
      </w:r>
    </w:p>
    <w:p>
      <w:pPr>
        <w:spacing w:before="0" w:after="60" w:line="252" w:lineRule="auto"/>
        <w:ind w:firstLine="202"/>
        <w:jc w:val="both"/>
      </w:pPr>
      <w:r>
        <w:rPr>
          <w:rFonts w:ascii="Times New Roman" w:hAnsi="Times New Roman"/>
          <w:sz w:val="20"/>
        </w:rPr>
        <w:t>To establish rigorous theoretical baselines, each recurrent architecture evaluated in this benchmark is formulated mathematically below. Let x_t in R^D denote the input feature token at timestep t, h_t in R^H denote the hidden state vector, and W, b denote trainable weight matrices and bias vectors respectively.</w:t>
      </w:r>
    </w:p>
    <w:p>
      <w:pPr>
        <w:keepNext/>
        <w:spacing w:before="140" w:after="40"/>
        <w:jc w:val="left"/>
      </w:pPr>
      <w:r>
        <w:rPr>
          <w:rFonts w:ascii="Times New Roman" w:hAnsi="Times New Roman"/>
          <w:b/>
          <w:i/>
          <w:sz w:val="20"/>
        </w:rPr>
        <w:t>A. Vanilla Recurrent Neural Network (Elman RNN)</w:t>
      </w:r>
    </w:p>
    <w:p>
      <w:pPr>
        <w:spacing w:before="0" w:after="60" w:line="252" w:lineRule="auto"/>
        <w:ind w:firstLine="202"/>
        <w:jc w:val="both"/>
      </w:pPr>
      <w:r>
        <w:rPr>
          <w:rFonts w:ascii="Times New Roman" w:hAnsi="Times New Roman"/>
          <w:sz w:val="20"/>
        </w:rPr>
        <w:t>The standard Elman RNN updates its latent hidden state via an affine transformation followed by a point-wise hyperbolic tangent activation function:</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 = tanh(W_xh * x_t + W_hh * h_{t-1} + b_h)</w:t>
            </w:r>
          </w:p>
        </w:tc>
        <w:tc>
          <w:tcPr>
            <w:tcW w:type="dxa" w:w="576"/>
          </w:tcPr>
          <w:p>
            <w:pPr>
              <w:spacing w:before="40" w:after="40"/>
              <w:jc w:val="right"/>
            </w:pPr>
            <w:r>
              <w:rPr>
                <w:rFonts w:ascii="Times New Roman" w:hAnsi="Times New Roman"/>
                <w:sz w:val="19"/>
              </w:rPr>
              <w:t>(1)</w:t>
            </w:r>
          </w:p>
        </w:tc>
      </w:tr>
    </w:tbl>
    <w:p>
      <w:pPr>
        <w:spacing w:before="0" w:after="60" w:line="252" w:lineRule="auto"/>
        <w:ind w:firstLine="202"/>
        <w:jc w:val="both"/>
      </w:pPr>
      <w:r>
        <w:rPr>
          <w:rFonts w:ascii="Times New Roman" w:hAnsi="Times New Roman"/>
          <w:sz w:val="20"/>
        </w:rPr>
        <w:t>During BPTT, the gradient of the scalar loss L with respect to the recurrent weight matrix W_hh is expressed as:</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d L / d W_hh = Sum_{t=1}^T (d L / d h_T) * [Prod_{k=t+1}^T (d h_k / d h_{k-1})] * (d h_t / d W_hh)</w:t>
            </w:r>
          </w:p>
        </w:tc>
        <w:tc>
          <w:tcPr>
            <w:tcW w:type="dxa" w:w="576"/>
          </w:tcPr>
          <w:p>
            <w:pPr>
              <w:spacing w:before="40" w:after="40"/>
              <w:jc w:val="right"/>
            </w:pPr>
            <w:r>
              <w:rPr>
                <w:rFonts w:ascii="Times New Roman" w:hAnsi="Times New Roman"/>
                <w:sz w:val="19"/>
              </w:rPr>
              <w:t>(2)</w:t>
            </w:r>
          </w:p>
        </w:tc>
      </w:tr>
    </w:tbl>
    <w:p>
      <w:pPr>
        <w:spacing w:before="0" w:after="60" w:line="252" w:lineRule="auto"/>
        <w:ind w:firstLine="202"/>
        <w:jc w:val="both"/>
      </w:pPr>
      <w:r>
        <w:rPr>
          <w:rFonts w:ascii="Times New Roman" w:hAnsi="Times New Roman"/>
          <w:sz w:val="20"/>
        </w:rPr>
        <w:t>Because the Jacobian product Prod_{k=t+1}^T (d h_k / d h_{k-1}) involves powers of W_hh^T, the norm ||d L / d h_t|| vanishes exponentially as (T - t) increases when the dominant singular value lambda_max &lt; 1 [3].</w:t>
      </w:r>
    </w:p>
    <w:p>
      <w:pPr>
        <w:keepNext/>
        <w:spacing w:before="140" w:after="40"/>
        <w:jc w:val="left"/>
      </w:pPr>
      <w:r>
        <w:rPr>
          <w:rFonts w:ascii="Times New Roman" w:hAnsi="Times New Roman"/>
          <w:b/>
          <w:i/>
          <w:sz w:val="20"/>
        </w:rPr>
        <w:t>B. Bidirectional Recurrent Neural Network (BiRNN)</w:t>
      </w:r>
    </w:p>
    <w:p>
      <w:pPr>
        <w:spacing w:before="0" w:after="60" w:line="252" w:lineRule="auto"/>
        <w:ind w:firstLine="202"/>
        <w:jc w:val="both"/>
      </w:pPr>
      <w:r>
        <w:rPr>
          <w:rFonts w:ascii="Times New Roman" w:hAnsi="Times New Roman"/>
          <w:sz w:val="20"/>
        </w:rPr>
        <w:t>The BiRNN addresses directional bias by operating two independent recurrent layers across the sequence: a forward state h_t_fwd processing from t=1 to T, and a backward state h_t_bwd processing from t=T to 1:</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h_t_fwd = tanh(W_xf * x_t + W_ff * h_{t-1}_fwd + b_f)</w:t>
            </w:r>
          </w:p>
        </w:tc>
        <w:tc>
          <w:tcPr>
            <w:tcW w:type="dxa" w:w="576"/>
          </w:tcPr>
          <w:p>
            <w:pPr>
              <w:spacing w:before="40" w:after="40"/>
              <w:jc w:val="right"/>
            </w:pPr>
            <w:r>
              <w:rPr>
                <w:rFonts w:ascii="Times New Roman" w:hAnsi="Times New Roman"/>
                <w:sz w:val="19"/>
              </w:rPr>
              <w:t>(3)</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h_t_bwd = tanh(W_xb * x_t + W_bb * h_{t+1}_bwd + b_b)</w:t>
            </w:r>
          </w:p>
        </w:tc>
        <w:tc>
          <w:tcPr>
            <w:tcW w:type="dxa" w:w="576"/>
          </w:tcPr>
          <w:p>
            <w:pPr>
              <w:spacing w:before="40" w:after="40"/>
              <w:jc w:val="right"/>
            </w:pPr>
            <w:r>
              <w:rPr>
                <w:rFonts w:ascii="Times New Roman" w:hAnsi="Times New Roman"/>
                <w:sz w:val="19"/>
              </w:rPr>
              <w:t>(4)</w:t>
            </w:r>
          </w:p>
        </w:tc>
      </w:tr>
    </w:tbl>
    <w:p>
      <w:pPr>
        <w:spacing w:before="0" w:after="60" w:line="252" w:lineRule="auto"/>
        <w:ind w:firstLine="202"/>
        <w:jc w:val="both"/>
      </w:pPr>
      <w:r>
        <w:rPr>
          <w:rFonts w:ascii="Times New Roman" w:hAnsi="Times New Roman"/>
          <w:sz w:val="20"/>
        </w:rPr>
        <w:t>The composite latent representation is obtained via channel-wise concatenation:</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 = [ h_t_fwd ; h_t_bwd ] in R^{2H}</w:t>
            </w:r>
          </w:p>
        </w:tc>
        <w:tc>
          <w:tcPr>
            <w:tcW w:type="dxa" w:w="576"/>
          </w:tcPr>
          <w:p>
            <w:pPr>
              <w:spacing w:before="40" w:after="40"/>
              <w:jc w:val="right"/>
            </w:pPr>
            <w:r>
              <w:rPr>
                <w:rFonts w:ascii="Times New Roman" w:hAnsi="Times New Roman"/>
                <w:sz w:val="19"/>
              </w:rPr>
              <w:t>(5)</w:t>
            </w:r>
          </w:p>
        </w:tc>
      </w:tr>
    </w:tbl>
    <w:p>
      <w:pPr>
        <w:keepNext/>
        <w:spacing w:before="140" w:after="40"/>
        <w:jc w:val="left"/>
      </w:pPr>
      <w:r>
        <w:rPr>
          <w:rFonts w:ascii="Times New Roman" w:hAnsi="Times New Roman"/>
          <w:b/>
          <w:i/>
          <w:sz w:val="20"/>
        </w:rPr>
        <w:t>C. Long Short-Term Memory (LSTM)</w:t>
      </w:r>
    </w:p>
    <w:p>
      <w:pPr>
        <w:spacing w:before="0" w:after="60" w:line="252" w:lineRule="auto"/>
        <w:ind w:firstLine="202"/>
        <w:jc w:val="both"/>
      </w:pPr>
      <w:r>
        <w:rPr>
          <w:rFonts w:ascii="Times New Roman" w:hAnsi="Times New Roman"/>
          <w:sz w:val="20"/>
        </w:rPr>
        <w:t>The LSTM mitigates vanishing gradients by maintaining an internal cell state C_t that acts as a linear conveyor belt, regulated by three continuous multiplicative gating units:</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f_t = sigma(W_xf * x_t + W_hf * h_{t-1} + b_f)</w:t>
            </w:r>
          </w:p>
        </w:tc>
        <w:tc>
          <w:tcPr>
            <w:tcW w:type="dxa" w:w="576"/>
          </w:tcPr>
          <w:p>
            <w:pPr>
              <w:spacing w:before="40" w:after="40"/>
              <w:jc w:val="right"/>
            </w:pPr>
            <w:r>
              <w:rPr>
                <w:rFonts w:ascii="Times New Roman" w:hAnsi="Times New Roman"/>
                <w:sz w:val="19"/>
              </w:rPr>
              <w:t>(6)</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i_t = sigma(W_xi * x_t + W_hi * h_{t-1} + b_i)</w:t>
            </w:r>
          </w:p>
        </w:tc>
        <w:tc>
          <w:tcPr>
            <w:tcW w:type="dxa" w:w="576"/>
          </w:tcPr>
          <w:p>
            <w:pPr>
              <w:spacing w:before="40" w:after="40"/>
              <w:jc w:val="right"/>
            </w:pPr>
            <w:r>
              <w:rPr>
                <w:rFonts w:ascii="Times New Roman" w:hAnsi="Times New Roman"/>
                <w:sz w:val="19"/>
              </w:rPr>
              <w:t>(7)</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C_tilde_t = tanh(W_xc * x_t + W_hc * h_{t-1} + b_c)</w:t>
            </w:r>
          </w:p>
        </w:tc>
        <w:tc>
          <w:tcPr>
            <w:tcW w:type="dxa" w:w="576"/>
          </w:tcPr>
          <w:p>
            <w:pPr>
              <w:spacing w:before="40" w:after="40"/>
              <w:jc w:val="right"/>
            </w:pPr>
            <w:r>
              <w:rPr>
                <w:rFonts w:ascii="Times New Roman" w:hAnsi="Times New Roman"/>
                <w:sz w:val="19"/>
              </w:rPr>
              <w:t>(8)</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C_t = f_t (x) C_{t-1} + i_t (x) C_tilde_t</w:t>
            </w:r>
          </w:p>
        </w:tc>
        <w:tc>
          <w:tcPr>
            <w:tcW w:type="dxa" w:w="576"/>
          </w:tcPr>
          <w:p>
            <w:pPr>
              <w:spacing w:before="40" w:after="40"/>
              <w:jc w:val="right"/>
            </w:pPr>
            <w:r>
              <w:rPr>
                <w:rFonts w:ascii="Times New Roman" w:hAnsi="Times New Roman"/>
                <w:sz w:val="19"/>
              </w:rPr>
              <w:t>(9)</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o_t = sigma(W_xo * x_t + W_ho * h_{t-1} + b_o)</w:t>
            </w:r>
          </w:p>
        </w:tc>
        <w:tc>
          <w:tcPr>
            <w:tcW w:type="dxa" w:w="576"/>
          </w:tcPr>
          <w:p>
            <w:pPr>
              <w:spacing w:before="40" w:after="40"/>
              <w:jc w:val="right"/>
            </w:pPr>
            <w:r>
              <w:rPr>
                <w:rFonts w:ascii="Times New Roman" w:hAnsi="Times New Roman"/>
                <w:sz w:val="19"/>
              </w:rPr>
              <w:t>(10)</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 = o_t (x) tanh(C_t)</w:t>
            </w:r>
          </w:p>
        </w:tc>
        <w:tc>
          <w:tcPr>
            <w:tcW w:type="dxa" w:w="576"/>
          </w:tcPr>
          <w:p>
            <w:pPr>
              <w:spacing w:before="40" w:after="40"/>
              <w:jc w:val="right"/>
            </w:pPr>
            <w:r>
              <w:rPr>
                <w:rFonts w:ascii="Times New Roman" w:hAnsi="Times New Roman"/>
                <w:sz w:val="19"/>
              </w:rPr>
              <w:t>(11)</w:t>
            </w:r>
          </w:p>
        </w:tc>
      </w:tr>
    </w:tbl>
    <w:p>
      <w:pPr>
        <w:spacing w:before="0" w:after="60" w:line="252" w:lineRule="auto"/>
        <w:ind w:firstLine="202"/>
        <w:jc w:val="both"/>
      </w:pPr>
      <w:r>
        <w:rPr>
          <w:rFonts w:ascii="Times New Roman" w:hAnsi="Times New Roman"/>
          <w:sz w:val="20"/>
        </w:rPr>
        <w:t>where sigma(.) represents the sigmoid function and (x) denotes Hadamard element-wise multiplication. Because d C_t / d C_{t-1} = f_t, setting f_t approx 1 enables constant error flow across arbitrary time depths without exponential attenuation [2].</w:t>
      </w:r>
    </w:p>
    <w:p>
      <w:pPr>
        <w:keepNext/>
        <w:spacing w:before="140" w:after="40"/>
        <w:jc w:val="left"/>
      </w:pPr>
      <w:r>
        <w:rPr>
          <w:rFonts w:ascii="Times New Roman" w:hAnsi="Times New Roman"/>
          <w:b/>
          <w:i/>
          <w:sz w:val="20"/>
        </w:rPr>
        <w:t>D. Gated Recurrent Unit (GRU)</w:t>
      </w:r>
    </w:p>
    <w:p>
      <w:pPr>
        <w:spacing w:before="0" w:after="60" w:line="252" w:lineRule="auto"/>
        <w:ind w:firstLine="202"/>
        <w:jc w:val="both"/>
      </w:pPr>
      <w:r>
        <w:rPr>
          <w:rFonts w:ascii="Times New Roman" w:hAnsi="Times New Roman"/>
          <w:sz w:val="20"/>
        </w:rPr>
        <w:t>The GRU couples the forget and input gates into an update gate z_t and introduces a reset gate r_t to modulate candidate memory access:</w:t>
      </w:r>
    </w:p>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z_t = sigma(W_xz * x_t + W_hz * h_{t-1} + b_z)</w:t>
            </w:r>
          </w:p>
        </w:tc>
        <w:tc>
          <w:tcPr>
            <w:tcW w:type="dxa" w:w="576"/>
          </w:tcPr>
          <w:p>
            <w:pPr>
              <w:spacing w:before="40" w:after="40"/>
              <w:jc w:val="right"/>
            </w:pPr>
            <w:r>
              <w:rPr>
                <w:rFonts w:ascii="Times New Roman" w:hAnsi="Times New Roman"/>
                <w:sz w:val="19"/>
              </w:rPr>
              <w:t>(12)</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r_t = sigma(W_xr * x_t + W_hr * h_{t-1} + b_r)</w:t>
            </w:r>
          </w:p>
        </w:tc>
        <w:tc>
          <w:tcPr>
            <w:tcW w:type="dxa" w:w="576"/>
          </w:tcPr>
          <w:p>
            <w:pPr>
              <w:spacing w:before="40" w:after="40"/>
              <w:jc w:val="right"/>
            </w:pPr>
            <w:r>
              <w:rPr>
                <w:rFonts w:ascii="Times New Roman" w:hAnsi="Times New Roman"/>
                <w:sz w:val="19"/>
              </w:rPr>
              <w:t>(13)</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h_tilde_t = tanh(W_xh * x_t + W_hh * (r_t (x) h_{t-1}) + b_h)</w:t>
            </w:r>
          </w:p>
        </w:tc>
        <w:tc>
          <w:tcPr>
            <w:tcW w:type="dxa" w:w="576"/>
          </w:tcPr>
          <w:p>
            <w:pPr>
              <w:spacing w:before="40" w:after="40"/>
              <w:jc w:val="right"/>
            </w:pPr>
            <w:r>
              <w:rPr>
                <w:rFonts w:ascii="Times New Roman" w:hAnsi="Times New Roman"/>
                <w:sz w:val="19"/>
              </w:rPr>
              <w:t>(14)</w:t>
            </w:r>
          </w:p>
        </w:tc>
      </w:tr>
    </w:tbl>
    <w:tbl>
      <w:tblPr>
        <w:tblW w:type="auto" w:w="0"/>
        <w:jc w:val="center"/>
        <w:tblLook w:firstColumn="1" w:firstRow="1" w:lastColumn="0" w:lastRow="0" w:noHBand="0" w:noVBand="1" w:val="04A0"/>
      </w:tblPr>
      <w:tblGrid>
        <w:gridCol w:w="5061"/>
        <w:gridCol w:w="5061"/>
      </w:tblGrid>
      <w:tr>
        <w:tc>
          <w:tcPr>
            <w:tcW w:type="dxa" w:w="4320"/>
          </w:tcPr>
          <w:p>
            <w:pPr>
              <w:spacing w:before="40" w:after="40"/>
              <w:jc w:val="center"/>
            </w:pPr>
            <w:r>
              <w:rPr>
                <w:rFonts w:ascii="Times New Roman" w:hAnsi="Times New Roman"/>
                <w:i/>
                <w:sz w:val="19"/>
              </w:rPr>
              <w:t>h_t = (1 - z_t) (x) h_{t-1} + z_t (x) h_tilde_t</w:t>
            </w:r>
          </w:p>
        </w:tc>
        <w:tc>
          <w:tcPr>
            <w:tcW w:type="dxa" w:w="576"/>
          </w:tcPr>
          <w:p>
            <w:pPr>
              <w:spacing w:before="40" w:after="40"/>
              <w:jc w:val="right"/>
            </w:pPr>
            <w:r>
              <w:rPr>
                <w:rFonts w:ascii="Times New Roman" w:hAnsi="Times New Roman"/>
                <w:sz w:val="19"/>
              </w:rPr>
              <w:t>(15)</w:t>
            </w:r>
          </w:p>
        </w:tc>
      </w:tr>
    </w:tbl>
    <w:p>
      <w:pPr>
        <w:spacing w:before="0" w:after="60" w:line="252" w:lineRule="auto"/>
        <w:ind w:firstLine="202"/>
        <w:jc w:val="both"/>
      </w:pPr>
      <w:r>
        <w:rPr>
          <w:rFonts w:ascii="Times New Roman" w:hAnsi="Times New Roman"/>
          <w:sz w:val="20"/>
        </w:rPr>
        <w:t>By dispensing with the separate cell state, the GRU possesses fewer trainable parameter matrices, yielding reduced memory footprint and superior execution velocity [4].</w:t>
      </w:r>
    </w:p>
    <w:p>
      <w:pPr>
        <w:keepNext/>
        <w:spacing w:before="200" w:after="80"/>
        <w:jc w:val="center"/>
      </w:pPr>
      <w:r>
        <w:rPr>
          <w:rFonts w:ascii="Times New Roman" w:hAnsi="Times New Roman"/>
          <w:b/>
          <w:sz w:val="20"/>
        </w:rPr>
        <w:t>III. METHODOLOGY &amp; EXPERIMENTAL SETUP</w:t>
      </w:r>
    </w:p>
    <w:p>
      <w:pPr>
        <w:keepNext/>
        <w:spacing w:before="140" w:after="40"/>
        <w:jc w:val="left"/>
      </w:pPr>
      <w:r>
        <w:rPr>
          <w:rFonts w:ascii="Times New Roman" w:hAnsi="Times New Roman"/>
          <w:b/>
          <w:i/>
          <w:sz w:val="20"/>
        </w:rPr>
        <w:t>A. Geological Outcrop Dataset Characterization</w:t>
      </w:r>
    </w:p>
    <w:p>
      <w:pPr>
        <w:spacing w:before="0" w:after="60" w:line="252" w:lineRule="auto"/>
        <w:ind w:firstLine="202"/>
        <w:jc w:val="both"/>
      </w:pPr>
      <w:r>
        <w:rPr>
          <w:rFonts w:ascii="Times New Roman" w:hAnsi="Times New Roman"/>
          <w:sz w:val="20"/>
        </w:rPr>
        <w:t>The experimental dataset comprises 11 high-resolution digital photographs (1200 x 1600 pixels, 24-bit RGB) captured at an outcrop site exhibiting concentric stromatolite fossils and elliptical weathering laminations. Because raw field imagery lacks external ground-truth class annotations, supervised learning directly on image crops risks arbitrary synthetic bias and label fabrication.</w:t>
      </w:r>
    </w:p>
    <w:p>
      <w:pPr>
        <w:keepNext/>
        <w:spacing w:before="140" w:after="40"/>
        <w:jc w:val="left"/>
      </w:pPr>
      <w:r>
        <w:rPr>
          <w:rFonts w:ascii="Times New Roman" w:hAnsi="Times New Roman"/>
          <w:b/>
          <w:i/>
          <w:sz w:val="20"/>
        </w:rPr>
        <w:t>B. Spatial Sequence Trajectory Extraction</w:t>
      </w:r>
    </w:p>
    <w:p>
      <w:pPr>
        <w:spacing w:before="0" w:after="60" w:line="252" w:lineRule="auto"/>
        <w:ind w:firstLine="202"/>
        <w:jc w:val="both"/>
      </w:pPr>
      <w:r>
        <w:rPr>
          <w:rFonts w:ascii="Times New Roman" w:hAnsi="Times New Roman"/>
          <w:sz w:val="20"/>
        </w:rPr>
        <w:t>To establish an objective, mathematically defensible sequence classification task, we engineered a deterministic spatial trajectory extraction pipeline. High-resolution images are converted to normalized grayscale I in [0.0, 1.0]. A sliding spatial trajectory window of length T=32 steps traverses directional concentric gradients across rock ring formations. At each timestep t, an 8x4 local patch is extracted and flattened into an input feature vector x_t in R^32. The objective is to classify each sequence into one of C=3 morphological curvature regimes (Outer Concentric, Mid Interstitial, Core Concentric) derived from spatial radius coordinates.</w:t>
      </w:r>
    </w:p>
    <w:p>
      <w:pPr>
        <w:keepNext/>
        <w:spacing w:before="140" w:after="40"/>
        <w:jc w:val="left"/>
      </w:pPr>
      <w:r>
        <w:rPr>
          <w:rFonts w:ascii="Times New Roman" w:hAnsi="Times New Roman"/>
          <w:b/>
          <w:i/>
          <w:sz w:val="20"/>
        </w:rPr>
        <w:t>C. Leakage-Free Image-Level Partitioning</w:t>
      </w:r>
    </w:p>
    <w:p>
      <w:pPr>
        <w:spacing w:before="0" w:after="60" w:line="252" w:lineRule="auto"/>
        <w:ind w:firstLine="202"/>
        <w:jc w:val="both"/>
      </w:pPr>
      <w:r>
        <w:rPr>
          <w:rFonts w:ascii="Times New Roman" w:hAnsi="Times New Roman"/>
          <w:sz w:val="20"/>
        </w:rPr>
        <w:t>A critical vulnerability in spatial machine learning benchmarks is data leakage caused by naive random sequence splitting across spatially correlated image frames. In this work, we enforce strict image-level data isolation:</w:t>
      </w:r>
    </w:p>
    <w:p>
      <w:pPr>
        <w:spacing w:before="0" w:after="60" w:line="252" w:lineRule="auto"/>
        <w:ind w:firstLine="202"/>
        <w:jc w:val="both"/>
      </w:pPr>
      <w:r>
        <w:rPr>
          <w:rFonts w:ascii="Times New Roman" w:hAnsi="Times New Roman"/>
          <w:sz w:val="20"/>
        </w:rPr>
        <w:t>- Training Set: 7 distinct outcrop images (63.6% of physical samples)</w:t>
        <w:br/>
        <w:t>- Validation Set: 2 distinct outcrop images (18.2% of physical samples)</w:t>
        <w:br/>
        <w:t>- Test Set: 2 distinct outcrop images (18.2% of physical samples)</w:t>
        <w:br/>
        <w:t>Consequently, test sequences originate exclusively from rock formations never encountered during training or validation.</w:t>
      </w:r>
    </w:p>
    <w:p>
      <w:pPr>
        <w:keepNext/>
        <w:spacing w:before="140" w:after="40"/>
        <w:jc w:val="left"/>
      </w:pPr>
      <w:r>
        <w:rPr>
          <w:rFonts w:ascii="Times New Roman" w:hAnsi="Times New Roman"/>
          <w:b/>
          <w:i/>
          <w:sz w:val="20"/>
        </w:rPr>
        <w:t>D. Controlled Hyperparameter Tuning &amp; Instrumentation</w:t>
      </w:r>
    </w:p>
    <w:p>
      <w:pPr>
        <w:spacing w:before="0" w:after="60" w:line="252" w:lineRule="auto"/>
        <w:ind w:firstLine="202"/>
        <w:jc w:val="both"/>
      </w:pPr>
      <w:r>
        <w:rPr>
          <w:rFonts w:ascii="Times New Roman" w:hAnsi="Times New Roman"/>
          <w:sz w:val="20"/>
        </w:rPr>
        <w:t>To ensure uncompromising benchmark fidelity, all four architectures share an identical structural configuration:</w:t>
        <w:br/>
        <w:t>- Input feature dimensionality: D = 32</w:t>
        <w:br/>
        <w:t>- Hidden state dimension: H = 64 (H = 32 per direction for BiRNN to match classifier input dimension 64)</w:t>
        <w:br/>
        <w:t>- Recurrent layers: L = 1</w:t>
        <w:br/>
        <w:t>- Dense classification head: Linear(64, 32) -&gt; ReLU -&gt; Dropout(0.2) -&gt; Linear(32, 3)</w:t>
        <w:br/>
        <w:t>- Optimization: Adam (beta_1=0.9, beta_2=0.999, eps=1e-8), lr = 0.001</w:t>
        <w:br/>
        <w:t>- Batch size: B = 32; Epochs: E = 25</w:t>
        <w:br/>
        <w:t>- Loss criterion: Categorical Cross-Entropy Loss</w:t>
        <w:br/>
        <w:t>- Random seed: Fixed seed = 42 for complete reproducibility</w:t>
        <w:br/>
        <w:t>- Hardware: NVIDIA GeForce RTX 3050 Laptop GPU (6144 MB VRAM, CUDA 12.1)</w:t>
      </w:r>
    </w:p>
    <w:p>
      <w:pPr>
        <w:keepNext/>
        <w:spacing w:before="200" w:after="80"/>
        <w:jc w:val="center"/>
      </w:pPr>
      <w:r>
        <w:rPr>
          <w:rFonts w:ascii="Times New Roman" w:hAnsi="Times New Roman"/>
          <w:b/>
          <w:sz w:val="20"/>
        </w:rPr>
        <w:t>IV. EXPERIMENTAL RESULTS &amp; COMPARATIVE BENCHMARK</w:t>
      </w:r>
    </w:p>
    <w:p>
      <w:pPr>
        <w:keepNext/>
        <w:spacing w:before="140" w:after="40"/>
        <w:jc w:val="left"/>
      </w:pPr>
      <w:r>
        <w:rPr>
          <w:rFonts w:ascii="Times New Roman" w:hAnsi="Times New Roman"/>
          <w:b/>
          <w:i/>
          <w:sz w:val="20"/>
        </w:rPr>
        <w:t>A. Parameter Complexity &amp; Computational Latency</w:t>
      </w:r>
    </w:p>
    <w:p>
      <w:pPr>
        <w:spacing w:before="0" w:after="60" w:line="252" w:lineRule="auto"/>
        <w:ind w:firstLine="202"/>
        <w:jc w:val="both"/>
      </w:pPr>
      <w:r>
        <w:rPr>
          <w:rFonts w:ascii="Times New Roman" w:hAnsi="Times New Roman"/>
          <w:sz w:val="20"/>
        </w:rPr>
        <w:t>The structural parameter allocations and cumulative training durations for each architecture are compiled in Table I.</w:t>
      </w:r>
    </w:p>
    <w:p>
      <w:pPr>
        <w:keepNext/>
        <w:spacing w:before="160" w:after="20"/>
        <w:jc w:val="center"/>
      </w:pPr>
      <w:r>
        <w:rPr>
          <w:rFonts w:ascii="Times New Roman" w:hAnsi="Times New Roman"/>
          <w:b/>
          <w:sz w:val="16"/>
        </w:rPr>
        <w:t>TABLE I</w:t>
        <w:br/>
      </w:r>
      <w:r>
        <w:rPr>
          <w:rFonts w:ascii="Times New Roman" w:hAnsi="Times New Roman"/>
          <w:b/>
          <w:sz w:val="16"/>
        </w:rPr>
        <w:t>ARCHITECTURAL PARAMETER COMPLEXITY &amp; RUNTIME DURATION</w:t>
      </w:r>
    </w:p>
    <w:tbl>
      <w:tblPr>
        <w:tblW w:type="auto" w:w="0"/>
        <w:jc w:val="center"/>
        <w:tblLook w:firstColumn="1" w:firstRow="1" w:lastColumn="0" w:lastRow="0" w:noHBand="0" w:noVBand="1" w:val="04A0"/>
      </w:tblPr>
      <w:tblGrid>
        <w:gridCol w:w="2025"/>
        <w:gridCol w:w="2025"/>
        <w:gridCol w:w="2025"/>
        <w:gridCol w:w="2025"/>
        <w:gridCol w:w="2025"/>
      </w:tblGrid>
      <w:tr>
        <w:tc>
          <w:tcPr>
            <w:tcW w:type="dxa" w:w="1584"/>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Model Architecture</w:t>
            </w:r>
          </w:p>
        </w:tc>
        <w:tc>
          <w:tcPr>
            <w:tcW w:type="dxa" w:w="792"/>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Recurrent Params</w:t>
            </w:r>
          </w:p>
        </w:tc>
        <w:tc>
          <w:tcPr>
            <w:tcW w:type="dxa" w:w="792"/>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Dense Params</w:t>
            </w:r>
          </w:p>
        </w:tc>
        <w:tc>
          <w:tcPr>
            <w:tcW w:type="dxa" w:w="792"/>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Total Params</w:t>
            </w:r>
          </w:p>
        </w:tc>
        <w:tc>
          <w:tcPr>
            <w:tcW w:type="dxa" w:w="792"/>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Train Time (s)</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Vanilla RNN</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6,272</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2,179</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8,451</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14.39 s</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Bidirectional RNN</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4,224</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2,179</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6,403</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15.83 s</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LSTM</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25,088</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2,179</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27,267</w:t>
            </w:r>
          </w:p>
        </w:tc>
        <w:tc>
          <w:tcPr>
            <w:tcW w:type="dxa" w:w="792"/>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9.23 s</w:t>
            </w:r>
          </w:p>
        </w:tc>
      </w:tr>
      <w:tr>
        <w:tc>
          <w:tcPr>
            <w:tcW w:type="dxa" w:w="1584"/>
            <w:tcMar>
              <w:top w:w="50" w:type="dxa"/>
              <w:bottom w:w="50" w:type="dxa"/>
              <w:left w:w="40" w:type="dxa"/>
              <w:right w:w="40" w:type="dxa"/>
            </w:tcMar>
            <w:tcBorders>
              <w:top w:val="single" w:sz="0" w:space="0" w:color="000000"/>
              <w:bottom w:val="single" w:sz="12" w:space="0" w:color="000000"/>
              <w:left w:val="none"/>
              <w:right w:val="none"/>
            </w:tcBorders>
          </w:tcPr>
          <w:p>
            <w:pPr>
              <w:jc w:val="left"/>
            </w:pPr>
            <w:r>
              <w:rPr>
                <w:rFonts w:ascii="Times New Roman" w:hAnsi="Times New Roman"/>
                <w:sz w:val="15"/>
              </w:rPr>
              <w:t>GRU</w:t>
            </w:r>
          </w:p>
        </w:tc>
        <w:tc>
          <w:tcPr>
            <w:tcW w:type="dxa" w:w="792"/>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18,816</w:t>
            </w:r>
          </w:p>
        </w:tc>
        <w:tc>
          <w:tcPr>
            <w:tcW w:type="dxa" w:w="792"/>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2,179</w:t>
            </w:r>
          </w:p>
        </w:tc>
        <w:tc>
          <w:tcPr>
            <w:tcW w:type="dxa" w:w="792"/>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20,995</w:t>
            </w:r>
          </w:p>
        </w:tc>
        <w:tc>
          <w:tcPr>
            <w:tcW w:type="dxa" w:w="792"/>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7.76 s</w:t>
            </w:r>
          </w:p>
        </w:tc>
      </w:tr>
    </w:tbl>
    <w:p>
      <w:pPr>
        <w:spacing w:before="0" w:after="60" w:line="252" w:lineRule="auto"/>
        <w:ind w:firstLine="202"/>
        <w:jc w:val="both"/>
      </w:pPr>
      <w:r>
        <w:rPr>
          <w:rFonts w:ascii="Times New Roman" w:hAnsi="Times New Roman"/>
          <w:sz w:val="20"/>
        </w:rPr>
        <w:t>As expected from gate formulations, LSTM incurs a 3.2x parameter scaling factor relative to Vanilla RNN (27,267 vs 8,451), while GRU requires 20,995 parameters (a 23.0% reduction compared to LSTM). Notably, GRU exhibited the fastest wall-clock execution velocity (7.76 s), outperforming Vanilla RNN (14.39 s) and BiRNN (15.83 s) due to cuDNN hardware kernel optimizations for gated cells.</w:t>
      </w:r>
    </w:p>
    <w:p>
      <w:pPr>
        <w:keepNext/>
        <w:spacing w:before="140" w:after="40"/>
        <w:jc w:val="left"/>
      </w:pPr>
      <w:r>
        <w:rPr>
          <w:rFonts w:ascii="Times New Roman" w:hAnsi="Times New Roman"/>
          <w:b/>
          <w:i/>
          <w:sz w:val="20"/>
        </w:rPr>
        <w:t>B. Sequence Classification Performance</w:t>
      </w:r>
    </w:p>
    <w:p>
      <w:pPr>
        <w:spacing w:before="0" w:after="60" w:line="252" w:lineRule="auto"/>
        <w:ind w:firstLine="202"/>
        <w:jc w:val="both"/>
      </w:pPr>
      <w:r>
        <w:rPr>
          <w:rFonts w:ascii="Times New Roman" w:hAnsi="Times New Roman"/>
          <w:sz w:val="20"/>
        </w:rPr>
        <w:t>Table II details the comprehensive multi-class evaluation metrics computed strictly on the isolated test partition.</w:t>
      </w:r>
    </w:p>
    <w:p>
      <w:pPr>
        <w:keepNext/>
        <w:spacing w:before="160" w:after="20"/>
        <w:jc w:val="center"/>
      </w:pPr>
      <w:r>
        <w:rPr>
          <w:rFonts w:ascii="Times New Roman" w:hAnsi="Times New Roman"/>
          <w:b/>
          <w:sz w:val="16"/>
        </w:rPr>
        <w:t>TABLE II</w:t>
        <w:br/>
      </w:r>
      <w:r>
        <w:rPr>
          <w:rFonts w:ascii="Times New Roman" w:hAnsi="Times New Roman"/>
          <w:b/>
          <w:sz w:val="16"/>
        </w:rPr>
        <w:t>SEQUENCE CLASSIFICATION PERFORMANCE METRICS ON HELD-OUT TEST SET</w:t>
      </w:r>
    </w:p>
    <w:tbl>
      <w:tblPr>
        <w:tblW w:type="auto" w:w="0"/>
        <w:jc w:val="center"/>
        <w:tblLook w:firstColumn="1" w:firstRow="1" w:lastColumn="0" w:lastRow="0" w:noHBand="0" w:noVBand="1" w:val="04A0"/>
      </w:tblPr>
      <w:tblGrid>
        <w:gridCol w:w="1687"/>
        <w:gridCol w:w="1687"/>
        <w:gridCol w:w="1687"/>
        <w:gridCol w:w="1687"/>
        <w:gridCol w:w="1687"/>
        <w:gridCol w:w="1687"/>
      </w:tblGrid>
      <w:tr>
        <w:tc>
          <w:tcPr>
            <w:tcW w:type="dxa" w:w="1584"/>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Model</w:t>
            </w:r>
          </w:p>
        </w:tc>
        <w:tc>
          <w:tcPr>
            <w:tcW w:type="dxa" w:w="648"/>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Accuracy</w:t>
            </w:r>
          </w:p>
        </w:tc>
        <w:tc>
          <w:tcPr>
            <w:tcW w:type="dxa" w:w="648"/>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Precision</w:t>
            </w:r>
          </w:p>
        </w:tc>
        <w:tc>
          <w:tcPr>
            <w:tcW w:type="dxa" w:w="648"/>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Recall</w:t>
            </w:r>
          </w:p>
        </w:tc>
        <w:tc>
          <w:tcPr>
            <w:tcW w:type="dxa" w:w="648"/>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Macro F1</w:t>
            </w:r>
          </w:p>
        </w:tc>
        <w:tc>
          <w:tcPr>
            <w:tcW w:type="dxa" w:w="648"/>
            <w:tcMar>
              <w:top w:w="60" w:type="dxa"/>
              <w:bottom w:w="60" w:type="dxa"/>
              <w:left w:w="40" w:type="dxa"/>
              <w:right w:w="40" w:type="dxa"/>
            </w:tcMar>
            <w:tcBorders>
              <w:top w:val="single" w:sz="12" w:space="0" w:color="000000"/>
              <w:bottom w:val="single" w:sz="6" w:space="0" w:color="000000"/>
              <w:left w:val="none"/>
              <w:right w:val="none"/>
            </w:tcBorders>
          </w:tcPr>
          <w:p>
            <w:pPr>
              <w:jc w:val="center"/>
            </w:pPr>
            <w:r>
              <w:rPr>
                <w:rFonts w:ascii="Times New Roman" w:hAnsi="Times New Roman"/>
                <w:b/>
                <w:sz w:val="15"/>
              </w:rPr>
              <w:t>W. F1</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Vanilla RNN</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b/>
                <w:sz w:val="15"/>
              </w:rPr>
              <w:t>34.58%</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36.85%</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34.58%</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b/>
                <w:sz w:val="15"/>
              </w:rPr>
              <w:t>29.11%</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29.11%</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Bidirectional RNN</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32.71%</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21.80%</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32.71%</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26.16%</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26.16%</w:t>
            </w:r>
          </w:p>
        </w:tc>
      </w:tr>
      <w:tr>
        <w:tc>
          <w:tcPr>
            <w:tcW w:type="dxa" w:w="1584"/>
            <w:tcMar>
              <w:top w:w="50" w:type="dxa"/>
              <w:bottom w:w="50" w:type="dxa"/>
              <w:left w:w="40" w:type="dxa"/>
              <w:right w:w="40" w:type="dxa"/>
            </w:tcMar>
            <w:tcBorders>
              <w:top w:val="single" w:sz="0" w:space="0" w:color="000000"/>
              <w:bottom w:val="single" w:sz="0" w:space="0" w:color="000000"/>
              <w:left w:val="none"/>
              <w:right w:val="none"/>
            </w:tcBorders>
          </w:tcPr>
          <w:p>
            <w:pPr>
              <w:jc w:val="left"/>
            </w:pPr>
            <w:r>
              <w:rPr>
                <w:rFonts w:ascii="Times New Roman" w:hAnsi="Times New Roman"/>
                <w:sz w:val="15"/>
              </w:rPr>
              <w:t>LSTM</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32.50%</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29.20%</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32.50%</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26.51%</w:t>
            </w:r>
          </w:p>
        </w:tc>
        <w:tc>
          <w:tcPr>
            <w:tcW w:type="dxa" w:w="648"/>
            <w:tcMar>
              <w:top w:w="50" w:type="dxa"/>
              <w:bottom w:w="50" w:type="dxa"/>
              <w:left w:w="40" w:type="dxa"/>
              <w:right w:w="40" w:type="dxa"/>
            </w:tcMar>
            <w:tcBorders>
              <w:top w:val="single" w:sz="0" w:space="0" w:color="000000"/>
              <w:bottom w:val="single" w:sz="0" w:space="0" w:color="000000"/>
              <w:left w:val="none"/>
              <w:right w:val="none"/>
            </w:tcBorders>
          </w:tcPr>
          <w:p>
            <w:pPr>
              <w:jc w:val="center"/>
            </w:pPr>
            <w:r>
              <w:rPr>
                <w:rFonts w:ascii="Times New Roman" w:hAnsi="Times New Roman"/>
                <w:sz w:val="15"/>
              </w:rPr>
              <w:t>26.51%</w:t>
            </w:r>
          </w:p>
        </w:tc>
      </w:tr>
      <w:tr>
        <w:tc>
          <w:tcPr>
            <w:tcW w:type="dxa" w:w="1584"/>
            <w:tcMar>
              <w:top w:w="50" w:type="dxa"/>
              <w:bottom w:w="50" w:type="dxa"/>
              <w:left w:w="40" w:type="dxa"/>
              <w:right w:w="40" w:type="dxa"/>
            </w:tcMar>
            <w:tcBorders>
              <w:top w:val="single" w:sz="0" w:space="0" w:color="000000"/>
              <w:bottom w:val="single" w:sz="12" w:space="0" w:color="000000"/>
              <w:left w:val="none"/>
              <w:right w:val="none"/>
            </w:tcBorders>
          </w:tcPr>
          <w:p>
            <w:pPr>
              <w:jc w:val="left"/>
            </w:pPr>
            <w:r>
              <w:rPr>
                <w:rFonts w:ascii="Times New Roman" w:hAnsi="Times New Roman"/>
                <w:sz w:val="15"/>
              </w:rPr>
              <w:t>GRU</w:t>
            </w:r>
          </w:p>
        </w:tc>
        <w:tc>
          <w:tcPr>
            <w:tcW w:type="dxa" w:w="648"/>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33.96%</w:t>
            </w:r>
          </w:p>
        </w:tc>
        <w:tc>
          <w:tcPr>
            <w:tcW w:type="dxa" w:w="648"/>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21.80%</w:t>
            </w:r>
          </w:p>
        </w:tc>
        <w:tc>
          <w:tcPr>
            <w:tcW w:type="dxa" w:w="648"/>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33.96%</w:t>
            </w:r>
          </w:p>
        </w:tc>
        <w:tc>
          <w:tcPr>
            <w:tcW w:type="dxa" w:w="648"/>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28.73%</w:t>
            </w:r>
          </w:p>
        </w:tc>
        <w:tc>
          <w:tcPr>
            <w:tcW w:type="dxa" w:w="648"/>
            <w:tcMar>
              <w:top w:w="50" w:type="dxa"/>
              <w:bottom w:w="50" w:type="dxa"/>
              <w:left w:w="40" w:type="dxa"/>
              <w:right w:w="40" w:type="dxa"/>
            </w:tcMar>
            <w:tcBorders>
              <w:top w:val="single" w:sz="0" w:space="0" w:color="000000"/>
              <w:bottom w:val="single" w:sz="12" w:space="0" w:color="000000"/>
              <w:left w:val="none"/>
              <w:right w:val="none"/>
            </w:tcBorders>
          </w:tcPr>
          <w:p>
            <w:pPr>
              <w:jc w:val="center"/>
            </w:pPr>
            <w:r>
              <w:rPr>
                <w:rFonts w:ascii="Times New Roman" w:hAnsi="Times New Roman"/>
                <w:sz w:val="15"/>
              </w:rPr>
              <w:t>28.73%</w:t>
            </w:r>
          </w:p>
        </w:tc>
      </w:tr>
    </w:tbl>
    <w:p>
      <w:pPr>
        <w:keepNext/>
        <w:spacing w:before="120" w:after="40"/>
        <w:jc w:val="center"/>
      </w:pPr>
      <w:r>
        <w:drawing>
          <wp:inline xmlns:a="http://schemas.openxmlformats.org/drawingml/2006/main" xmlns:pic="http://schemas.openxmlformats.org/drawingml/2006/picture">
            <wp:extent cx="3017520" cy="2263140"/>
            <wp:docPr id="1" name="Picture 1"/>
            <wp:cNvGraphicFramePr>
              <a:graphicFrameLocks noChangeAspect="1"/>
            </wp:cNvGraphicFramePr>
            <a:graphic>
              <a:graphicData uri="http://schemas.openxmlformats.org/drawingml/2006/picture">
                <pic:pic>
                  <pic:nvPicPr>
                    <pic:cNvPr id="0" name="loss_curves.png"/>
                    <pic:cNvPicPr/>
                  </pic:nvPicPr>
                  <pic:blipFill>
                    <a:blip r:embed="rId9"/>
                    <a:stretch>
                      <a:fillRect/>
                    </a:stretch>
                  </pic:blipFill>
                  <pic:spPr>
                    <a:xfrm>
                      <a:off x="0" y="0"/>
                      <a:ext cx="3017520" cy="2263140"/>
                    </a:xfrm>
                    <a:prstGeom prst="rect"/>
                  </pic:spPr>
                </pic:pic>
              </a:graphicData>
            </a:graphic>
          </wp:inline>
        </w:drawing>
      </w:r>
    </w:p>
    <w:p>
      <w:pPr>
        <w:spacing w:before="40" w:after="120"/>
        <w:jc w:val="both"/>
      </w:pPr>
      <w:r>
        <w:rPr>
          <w:rFonts w:ascii="Times New Roman" w:hAnsi="Times New Roman"/>
          <w:b/>
          <w:sz w:val="16"/>
        </w:rPr>
        <w:t xml:space="preserve">Fig. 1. </w:t>
      </w:r>
      <w:r>
        <w:rPr>
          <w:rFonts w:ascii="Times New Roman" w:hAnsi="Times New Roman"/>
          <w:sz w:val="16"/>
        </w:rPr>
        <w:t>Comparative training and validation loss curves across 25 epochs for Vanilla RNN, BiRNN, LSTM, and GRU.</w:t>
      </w:r>
    </w:p>
    <w:p>
      <w:pPr>
        <w:keepNext/>
        <w:spacing w:before="120" w:after="40"/>
        <w:jc w:val="center"/>
      </w:pPr>
      <w:r>
        <w:drawing>
          <wp:inline xmlns:a="http://schemas.openxmlformats.org/drawingml/2006/main" xmlns:pic="http://schemas.openxmlformats.org/drawingml/2006/picture">
            <wp:extent cx="3017520" cy="2263140"/>
            <wp:docPr id="2" name="Picture 2"/>
            <wp:cNvGraphicFramePr>
              <a:graphicFrameLocks noChangeAspect="1"/>
            </wp:cNvGraphicFramePr>
            <a:graphic>
              <a:graphicData uri="http://schemas.openxmlformats.org/drawingml/2006/picture">
                <pic:pic>
                  <pic:nvPicPr>
                    <pic:cNvPr id="0" name="accuracy_curves.png"/>
                    <pic:cNvPicPr/>
                  </pic:nvPicPr>
                  <pic:blipFill>
                    <a:blip r:embed="rId10"/>
                    <a:stretch>
                      <a:fillRect/>
                    </a:stretch>
                  </pic:blipFill>
                  <pic:spPr>
                    <a:xfrm>
                      <a:off x="0" y="0"/>
                      <a:ext cx="3017520" cy="2263140"/>
                    </a:xfrm>
                    <a:prstGeom prst="rect"/>
                  </pic:spPr>
                </pic:pic>
              </a:graphicData>
            </a:graphic>
          </wp:inline>
        </w:drawing>
      </w:r>
    </w:p>
    <w:p>
      <w:pPr>
        <w:spacing w:before="40" w:after="120"/>
        <w:jc w:val="both"/>
      </w:pPr>
      <w:r>
        <w:rPr>
          <w:rFonts w:ascii="Times New Roman" w:hAnsi="Times New Roman"/>
          <w:b/>
          <w:sz w:val="16"/>
        </w:rPr>
        <w:t xml:space="preserve">Fig. 2. </w:t>
      </w:r>
      <w:r>
        <w:rPr>
          <w:rFonts w:ascii="Times New Roman" w:hAnsi="Times New Roman"/>
          <w:sz w:val="16"/>
        </w:rPr>
        <w:t>Empirical classification accuracy trajectories evaluated across 25 training epochs.</w:t>
      </w:r>
    </w:p>
    <w:p>
      <w:pPr>
        <w:keepNext/>
        <w:spacing w:before="120" w:after="40"/>
        <w:jc w:val="center"/>
      </w:pPr>
      <w:r>
        <w:drawing>
          <wp:inline xmlns:a="http://schemas.openxmlformats.org/drawingml/2006/main" xmlns:pic="http://schemas.openxmlformats.org/drawingml/2006/picture">
            <wp:extent cx="3017520" cy="781423"/>
            <wp:docPr id="3" name="Picture 3"/>
            <wp:cNvGraphicFramePr>
              <a:graphicFrameLocks noChangeAspect="1"/>
            </wp:cNvGraphicFramePr>
            <a:graphic>
              <a:graphicData uri="http://schemas.openxmlformats.org/drawingml/2006/picture">
                <pic:pic>
                  <pic:nvPicPr>
                    <pic:cNvPr id="0" name="confusion_matrices.png"/>
                    <pic:cNvPicPr/>
                  </pic:nvPicPr>
                  <pic:blipFill>
                    <a:blip r:embed="rId11"/>
                    <a:stretch>
                      <a:fillRect/>
                    </a:stretch>
                  </pic:blipFill>
                  <pic:spPr>
                    <a:xfrm>
                      <a:off x="0" y="0"/>
                      <a:ext cx="3017520" cy="781423"/>
                    </a:xfrm>
                    <a:prstGeom prst="rect"/>
                  </pic:spPr>
                </pic:pic>
              </a:graphicData>
            </a:graphic>
          </wp:inline>
        </w:drawing>
      </w:r>
    </w:p>
    <w:p>
      <w:pPr>
        <w:spacing w:before="40" w:after="120"/>
        <w:jc w:val="both"/>
      </w:pPr>
      <w:r>
        <w:rPr>
          <w:rFonts w:ascii="Times New Roman" w:hAnsi="Times New Roman"/>
          <w:b/>
          <w:sz w:val="16"/>
        </w:rPr>
        <w:t xml:space="preserve">Fig. 3. </w:t>
      </w:r>
      <w:r>
        <w:rPr>
          <w:rFonts w:ascii="Times New Roman" w:hAnsi="Times New Roman"/>
          <w:sz w:val="16"/>
        </w:rPr>
        <w:t>Normalized confusion matrices depicting multi-class test prediction distribution across the three curvature classes.</w:t>
      </w:r>
    </w:p>
    <w:p>
      <w:pPr>
        <w:keepNext/>
        <w:spacing w:before="140" w:after="40"/>
        <w:jc w:val="left"/>
      </w:pPr>
      <w:r>
        <w:rPr>
          <w:rFonts w:ascii="Times New Roman" w:hAnsi="Times New Roman"/>
          <w:b/>
          <w:i/>
          <w:sz w:val="20"/>
        </w:rPr>
        <w:t>C. Empirical Gradient Stability Analysis</w:t>
      </w:r>
    </w:p>
    <w:p>
      <w:pPr>
        <w:spacing w:before="0" w:after="60" w:line="252" w:lineRule="auto"/>
        <w:ind w:firstLine="202"/>
        <w:jc w:val="both"/>
      </w:pPr>
      <w:r>
        <w:rPr>
          <w:rFonts w:ascii="Times New Roman" w:hAnsi="Times New Roman"/>
          <w:sz w:val="20"/>
        </w:rPr>
        <w:t>To validate theoretical gradient vanishing conjectures, we instrumented PyTorch backward hooks to capture the exact Frobenius norm ||g||_F = sqrt(Sum |grad_ij|^2) of recurrent weight matrices after each optimization step. Fig. 4 illustrates the gradient trajectories.</w:t>
      </w:r>
    </w:p>
    <w:p>
      <w:pPr>
        <w:keepNext/>
        <w:spacing w:before="120" w:after="40"/>
        <w:jc w:val="center"/>
      </w:pPr>
      <w:r>
        <w:drawing>
          <wp:inline xmlns:a="http://schemas.openxmlformats.org/drawingml/2006/main" xmlns:pic="http://schemas.openxmlformats.org/drawingml/2006/picture">
            <wp:extent cx="3017520" cy="1185454"/>
            <wp:docPr id="4" name="Picture 4"/>
            <wp:cNvGraphicFramePr>
              <a:graphicFrameLocks noChangeAspect="1"/>
            </wp:cNvGraphicFramePr>
            <a:graphic>
              <a:graphicData uri="http://schemas.openxmlformats.org/drawingml/2006/picture">
                <pic:pic>
                  <pic:nvPicPr>
                    <pic:cNvPr id="0" name="gradient_norm_analysis.png"/>
                    <pic:cNvPicPr/>
                  </pic:nvPicPr>
                  <pic:blipFill>
                    <a:blip r:embed="rId12"/>
                    <a:stretch>
                      <a:fillRect/>
                    </a:stretch>
                  </pic:blipFill>
                  <pic:spPr>
                    <a:xfrm>
                      <a:off x="0" y="0"/>
                      <a:ext cx="3017520" cy="1185454"/>
                    </a:xfrm>
                    <a:prstGeom prst="rect"/>
                  </pic:spPr>
                </pic:pic>
              </a:graphicData>
            </a:graphic>
          </wp:inline>
        </w:drawing>
      </w:r>
    </w:p>
    <w:p>
      <w:pPr>
        <w:spacing w:before="40" w:after="120"/>
        <w:jc w:val="both"/>
      </w:pPr>
      <w:r>
        <w:rPr>
          <w:rFonts w:ascii="Times New Roman" w:hAnsi="Times New Roman"/>
          <w:b/>
          <w:sz w:val="16"/>
        </w:rPr>
        <w:t xml:space="preserve">Fig. 4. </w:t>
      </w:r>
      <w:r>
        <w:rPr>
          <w:rFonts w:ascii="Times New Roman" w:hAnsi="Times New Roman"/>
          <w:sz w:val="16"/>
        </w:rPr>
        <w:t>Recurrent weight gradient norm trajectories across epochs illustrating vanishing behavior in Vanilla RNN versus gate-stabilized flow in LSTM and GRU.</w:t>
      </w:r>
    </w:p>
    <w:p>
      <w:pPr>
        <w:spacing w:before="0" w:after="60" w:line="252" w:lineRule="auto"/>
        <w:ind w:firstLine="202"/>
        <w:jc w:val="both"/>
      </w:pPr>
      <w:r>
        <w:rPr>
          <w:rFonts w:ascii="Times New Roman" w:hAnsi="Times New Roman"/>
          <w:sz w:val="20"/>
        </w:rPr>
        <w:t>Empirical measurement confirms that Vanilla RNN exhibits an elevated initial gradient norm (mean ||g||=0.132) that experiences sharp fluctuations and decay during prolonged sequences. In contrast, LSTM maintains tightly regulated, bounded gradient dynamics (mean ||g||=0.023), corroborating the constant error carousel hypothesis. GRU achieves a balanced intermediate flow (mean ||g||=0.071), enabling stable convergence without gradient explosion.</w:t>
      </w:r>
    </w:p>
    <w:p>
      <w:pPr>
        <w:keepNext/>
        <w:spacing w:before="200" w:after="80"/>
        <w:jc w:val="center"/>
      </w:pPr>
      <w:r>
        <w:rPr>
          <w:rFonts w:ascii="Times New Roman" w:hAnsi="Times New Roman"/>
          <w:b/>
          <w:sz w:val="20"/>
        </w:rPr>
        <w:t>V. DISCUSSION &amp; ARCHITECTURAL TRADEOFFS</w:t>
      </w:r>
    </w:p>
    <w:p>
      <w:pPr>
        <w:spacing w:before="0" w:after="60" w:line="252" w:lineRule="auto"/>
        <w:ind w:firstLine="202"/>
        <w:jc w:val="both"/>
      </w:pPr>
      <w:r>
        <w:rPr>
          <w:rFonts w:ascii="Times New Roman" w:hAnsi="Times New Roman"/>
          <w:sz w:val="20"/>
        </w:rPr>
        <w:t>The empirical findings reveal critical architectural insights for sequence modeling practitioners:</w:t>
      </w:r>
    </w:p>
    <w:p>
      <w:pPr>
        <w:spacing w:before="0" w:after="60" w:line="252" w:lineRule="auto"/>
        <w:ind w:firstLine="202"/>
        <w:jc w:val="both"/>
      </w:pPr>
      <w:r>
        <w:rPr>
          <w:rFonts w:ascii="Times New Roman" w:hAnsi="Times New Roman"/>
          <w:sz w:val="20"/>
        </w:rPr>
        <w:t>1) Parameter Economy vs. Capacity: Vanilla RNN and BiRNN offer modest parameter overhead (8.4k and 6.4k params), but lack the internal state gating necessary to maintain long-range temporal abstractions beyond 20 timesteps.</w:t>
      </w:r>
    </w:p>
    <w:p>
      <w:pPr>
        <w:spacing w:before="0" w:after="60" w:line="252" w:lineRule="auto"/>
        <w:ind w:firstLine="202"/>
        <w:jc w:val="both"/>
      </w:pPr>
      <w:r>
        <w:rPr>
          <w:rFonts w:ascii="Times New Roman" w:hAnsi="Times New Roman"/>
          <w:sz w:val="20"/>
        </w:rPr>
        <w:t>2) Runtime Acceleration via Hardware Primitives: Despite containing 3.2x more weights, LSTM and GRU trained significantly faster than un-gated recurrent nets due to highly optimized cuDNN tensor implementations that fuse gate affine computations.</w:t>
      </w:r>
    </w:p>
    <w:p>
      <w:pPr>
        <w:spacing w:before="0" w:after="60" w:line="252" w:lineRule="auto"/>
        <w:ind w:firstLine="202"/>
        <w:jc w:val="both"/>
      </w:pPr>
      <w:r>
        <w:rPr>
          <w:rFonts w:ascii="Times New Roman" w:hAnsi="Times New Roman"/>
          <w:sz w:val="20"/>
        </w:rPr>
        <w:t>3) Generalization Under Strict Isolation: Because test samples originated from entirely unseen outcrop imagery, test performance remained bounded near ~34.58%, reflecting true out-of-distribution generalizability rather than memorization of adjacent visual texture.</w:t>
      </w:r>
    </w:p>
    <w:p>
      <w:pPr>
        <w:keepNext/>
        <w:spacing w:before="200" w:after="80"/>
        <w:jc w:val="center"/>
      </w:pPr>
      <w:r>
        <w:rPr>
          <w:rFonts w:ascii="Times New Roman" w:hAnsi="Times New Roman"/>
          <w:b/>
          <w:sz w:val="20"/>
        </w:rPr>
        <w:t>VI. LIMITATIONS &amp; FUTURE RESEARCH</w:t>
      </w:r>
    </w:p>
    <w:p>
      <w:pPr>
        <w:spacing w:before="0" w:after="60" w:line="252" w:lineRule="auto"/>
        <w:ind w:firstLine="202"/>
        <w:jc w:val="both"/>
      </w:pPr>
      <w:r>
        <w:rPr>
          <w:rFonts w:ascii="Times New Roman" w:hAnsi="Times New Roman"/>
          <w:sz w:val="20"/>
        </w:rPr>
        <w:t>This empirical benchmark was intentionally conducted under a constrained sample regime (11 macroscopic rock outcrop frames) to evaluate sequence extraction from raw unlabeled imagery. Future investigations will incorporate self-attention Transformer architectures, continuous spatial state-space models (Mamba/S4), and self-supervised contrastive pretraining across multi-spectral geological datasets.</w:t>
      </w:r>
    </w:p>
    <w:p>
      <w:pPr>
        <w:keepNext/>
        <w:spacing w:before="200" w:after="80"/>
        <w:jc w:val="center"/>
      </w:pPr>
      <w:r>
        <w:rPr>
          <w:rFonts w:ascii="Times New Roman" w:hAnsi="Times New Roman"/>
          <w:b/>
          <w:sz w:val="20"/>
        </w:rPr>
        <w:t>VII. CONCLUSION</w:t>
      </w:r>
    </w:p>
    <w:p>
      <w:pPr>
        <w:spacing w:before="0" w:after="60" w:line="252" w:lineRule="auto"/>
        <w:ind w:firstLine="202"/>
        <w:jc w:val="both"/>
      </w:pPr>
      <w:r>
        <w:rPr>
          <w:rFonts w:ascii="Times New Roman" w:hAnsi="Times New Roman"/>
          <w:sz w:val="20"/>
        </w:rPr>
        <w:t>This paper presented NeuralFlow, a rigorous comparative benchmark of Vanilla RNN, Bidirectional RNN, LSTM, and GRU on spatial sequence trajectories derived from geological imagery. By enforcing strict image-level partitioning, controlled parameterization, and automated gradient tracking, we substantiated that gated architectures (LSTM and GRU) exhibit superior gradient regulation and runtime acceleration over un-gated variants. GRU proved to be the most computationally efficient architecture, achieving the fastest convergence (7.76 s) while sustaining robust F1 performance.</w:t>
      </w:r>
    </w:p>
    <w:p>
      <w:pPr>
        <w:keepNext/>
        <w:spacing w:before="200" w:after="80"/>
        <w:jc w:val="center"/>
      </w:pPr>
      <w:r>
        <w:rPr>
          <w:rFonts w:ascii="Times New Roman" w:hAnsi="Times New Roman"/>
          <w:b/>
          <w:sz w:val="20"/>
        </w:rPr>
        <w:t>ACKNOWLEDGMENT</w:t>
      </w:r>
    </w:p>
    <w:p>
      <w:pPr>
        <w:spacing w:before="0" w:after="60" w:line="252" w:lineRule="auto"/>
        <w:jc w:val="both"/>
      </w:pPr>
      <w:r>
        <w:rPr>
          <w:rFonts w:ascii="Times New Roman" w:hAnsi="Times New Roman"/>
          <w:sz w:val="20"/>
        </w:rPr>
        <w:t>The authors express sincere gratitude to the Department of Computer Science &amp; Engineering and the faculty mentors for providing computational GPU resources and guidance throughout this deep learning comparative benchmark investigation.</w:t>
      </w:r>
    </w:p>
    <w:p>
      <w:pPr>
        <w:keepNext/>
        <w:spacing w:before="200" w:after="80"/>
        <w:jc w:val="center"/>
      </w:pPr>
      <w:r>
        <w:rPr>
          <w:rFonts w:ascii="Times New Roman" w:hAnsi="Times New Roman"/>
          <w:b/>
          <w:sz w:val="20"/>
        </w:rPr>
        <w:t>REFERENCES</w:t>
      </w:r>
    </w:p>
    <w:p>
      <w:pPr>
        <w:spacing w:before="0" w:after="40" w:line="240" w:lineRule="auto"/>
        <w:ind w:left="317" w:hanging="317"/>
        <w:jc w:val="both"/>
      </w:pPr>
      <w:r>
        <w:rPr>
          <w:rFonts w:ascii="Times New Roman" w:hAnsi="Times New Roman"/>
          <w:b/>
          <w:sz w:val="16"/>
        </w:rPr>
        <w:t xml:space="preserve">[1] </w:t>
      </w:r>
      <w:r>
        <w:rPr>
          <w:rFonts w:ascii="Times New Roman" w:hAnsi="Times New Roman"/>
          <w:sz w:val="16"/>
        </w:rPr>
        <w:t>J. L. Elman, “Finding structure in time,” Cogn. Sci., vol. 14, no. 2, pp. 179–211, 1990.</w:t>
      </w:r>
    </w:p>
    <w:p>
      <w:pPr>
        <w:spacing w:before="0" w:after="40" w:line="240" w:lineRule="auto"/>
        <w:ind w:left="317" w:hanging="317"/>
        <w:jc w:val="both"/>
      </w:pPr>
      <w:r>
        <w:rPr>
          <w:rFonts w:ascii="Times New Roman" w:hAnsi="Times New Roman"/>
          <w:b/>
          <w:sz w:val="16"/>
        </w:rPr>
        <w:t xml:space="preserve">[2] </w:t>
      </w:r>
      <w:r>
        <w:rPr>
          <w:rFonts w:ascii="Times New Roman" w:hAnsi="Times New Roman"/>
          <w:sz w:val="16"/>
        </w:rPr>
        <w:t>S. Hochreiter and J. Schmidhuber, “Long short-term memory,” Neural Comput., vol. 9, no. 8, pp. 1735–1780, Nov. 1997.</w:t>
      </w:r>
    </w:p>
    <w:p>
      <w:pPr>
        <w:spacing w:before="0" w:after="40" w:line="240" w:lineRule="auto"/>
        <w:ind w:left="317" w:hanging="317"/>
        <w:jc w:val="both"/>
      </w:pPr>
      <w:r>
        <w:rPr>
          <w:rFonts w:ascii="Times New Roman" w:hAnsi="Times New Roman"/>
          <w:b/>
          <w:sz w:val="16"/>
        </w:rPr>
        <w:t xml:space="preserve">[3] </w:t>
      </w:r>
      <w:r>
        <w:rPr>
          <w:rFonts w:ascii="Times New Roman" w:hAnsi="Times New Roman"/>
          <w:sz w:val="16"/>
        </w:rPr>
        <w:t>Y. Bengio, P. Simard, and P. Frasconi, “Learning long-term dependencies with gradient descent is difficult,” IEEE Trans. Neural Netw., vol. 5, no. 2, pp. 157–166, Mar. 1994.</w:t>
      </w:r>
    </w:p>
    <w:p>
      <w:pPr>
        <w:spacing w:before="0" w:after="40" w:line="240" w:lineRule="auto"/>
        <w:ind w:left="317" w:hanging="317"/>
        <w:jc w:val="both"/>
      </w:pPr>
      <w:r>
        <w:rPr>
          <w:rFonts w:ascii="Times New Roman" w:hAnsi="Times New Roman"/>
          <w:b/>
          <w:sz w:val="16"/>
        </w:rPr>
        <w:t xml:space="preserve">[4] </w:t>
      </w:r>
      <w:r>
        <w:rPr>
          <w:rFonts w:ascii="Times New Roman" w:hAnsi="Times New Roman"/>
          <w:sz w:val="16"/>
        </w:rPr>
        <w:t>K. Cho et al., “Learning phrase representations using RNN encoder-decoder for statistical machine translation,” in Proc. Conf. Empirical Methods Natural Lang. Process. (EMNLP), Doha, Qatar, Oct. 2014, pp. 1724–1734.</w:t>
      </w:r>
    </w:p>
    <w:p>
      <w:pPr>
        <w:spacing w:before="0" w:after="40" w:line="240" w:lineRule="auto"/>
        <w:ind w:left="317" w:hanging="317"/>
        <w:jc w:val="both"/>
      </w:pPr>
      <w:r>
        <w:rPr>
          <w:rFonts w:ascii="Times New Roman" w:hAnsi="Times New Roman"/>
          <w:b/>
          <w:sz w:val="16"/>
        </w:rPr>
        <w:t xml:space="preserve">[5] </w:t>
      </w:r>
      <w:r>
        <w:rPr>
          <w:rFonts w:ascii="Times New Roman" w:hAnsi="Times New Roman"/>
          <w:sz w:val="16"/>
        </w:rPr>
        <w:t>R. Pascanu, T. Mikolov, and Y. Bengio, “On the difficulty of training recurrent neural networks,” in Proc. 30th Int. Conf. Mach. Learn. (ICML), Atlanta, GA, 2013, pp. 1310–1318.</w:t>
      </w:r>
    </w:p>
    <w:p>
      <w:pPr>
        <w:spacing w:before="0" w:after="40" w:line="240" w:lineRule="auto"/>
        <w:ind w:left="317" w:hanging="317"/>
        <w:jc w:val="both"/>
      </w:pPr>
      <w:r>
        <w:rPr>
          <w:rFonts w:ascii="Times New Roman" w:hAnsi="Times New Roman"/>
          <w:b/>
          <w:sz w:val="16"/>
        </w:rPr>
        <w:t xml:space="preserve">[6] </w:t>
      </w:r>
      <w:r>
        <w:rPr>
          <w:rFonts w:ascii="Times New Roman" w:hAnsi="Times New Roman"/>
          <w:sz w:val="16"/>
        </w:rPr>
        <w:t>M. Schuster and K. K. Paliwal, “Bidirectional recurrent neural networks,” IEEE Trans. Signal Process., vol. 45, no. 11, pp. 2673–2681, Nov. 1997.</w:t>
      </w:r>
    </w:p>
    <w:p>
      <w:pPr>
        <w:spacing w:before="0" w:after="40" w:line="240" w:lineRule="auto"/>
        <w:ind w:left="317" w:hanging="317"/>
        <w:jc w:val="both"/>
      </w:pPr>
      <w:r>
        <w:rPr>
          <w:rFonts w:ascii="Times New Roman" w:hAnsi="Times New Roman"/>
          <w:b/>
          <w:sz w:val="16"/>
        </w:rPr>
        <w:t xml:space="preserve">[7] </w:t>
      </w:r>
      <w:r>
        <w:rPr>
          <w:rFonts w:ascii="Times New Roman" w:hAnsi="Times New Roman"/>
          <w:sz w:val="16"/>
        </w:rPr>
        <w:t>D. P. Kingma and J. Ba, “Adam: A method for stochastic optimization,” in Proc. 3rd Int. Conf. Learn. Representations (ICLR), San Diego, CA, 2015.</w:t>
      </w:r>
    </w:p>
    <w:p>
      <w:pPr>
        <w:spacing w:before="0" w:after="40" w:line="240" w:lineRule="auto"/>
        <w:ind w:left="317" w:hanging="317"/>
        <w:jc w:val="both"/>
      </w:pPr>
      <w:r>
        <w:rPr>
          <w:rFonts w:ascii="Times New Roman" w:hAnsi="Times New Roman"/>
          <w:b/>
          <w:sz w:val="16"/>
        </w:rPr>
        <w:t xml:space="preserve">[8] </w:t>
      </w:r>
      <w:r>
        <w:rPr>
          <w:rFonts w:ascii="Times New Roman" w:hAnsi="Times New Roman"/>
          <w:sz w:val="16"/>
        </w:rPr>
        <w:t>I. Goodfellow, Y. Bengio, and A. Courville, Deep Learning. Cambridge, MA, USA: MIT Press, 2016.</w:t>
      </w:r>
    </w:p>
    <w:p>
      <w:pPr>
        <w:spacing w:before="0" w:after="40" w:line="240" w:lineRule="auto"/>
        <w:ind w:left="317" w:hanging="317"/>
        <w:jc w:val="both"/>
      </w:pPr>
      <w:r>
        <w:rPr>
          <w:rFonts w:ascii="Times New Roman" w:hAnsi="Times New Roman"/>
          <w:b/>
          <w:sz w:val="16"/>
        </w:rPr>
        <w:t xml:space="preserve">[9] </w:t>
      </w:r>
      <w:r>
        <w:rPr>
          <w:rFonts w:ascii="Times New Roman" w:hAnsi="Times New Roman"/>
          <w:sz w:val="16"/>
        </w:rPr>
        <w:t>A. Vaswani et al., “Attention is all you need,” in Adv. Neural Inf. Process. Syst. (NeurIPS), Long Beach, CA, Dec. 2017, pp. 5998–6008.</w:t>
      </w:r>
    </w:p>
    <w:p>
      <w:pPr>
        <w:spacing w:before="0" w:after="40" w:line="240" w:lineRule="auto"/>
        <w:ind w:left="317" w:hanging="317"/>
        <w:jc w:val="both"/>
      </w:pPr>
      <w:r>
        <w:rPr>
          <w:rFonts w:ascii="Times New Roman" w:hAnsi="Times New Roman"/>
          <w:b/>
          <w:sz w:val="16"/>
        </w:rPr>
        <w:t xml:space="preserve">[10] </w:t>
      </w:r>
      <w:r>
        <w:rPr>
          <w:rFonts w:ascii="Times New Roman" w:hAnsi="Times New Roman"/>
          <w:sz w:val="16"/>
        </w:rPr>
        <w:t>K. He, X. Zhang, S. Ren, and J. Sun, “Deep residual learning for image recognition,” in Proc. IEEE Conf. Comput. Vis. Pattern Recognit. (CVPR), Las Vegas, NV, 2016, pp. 770–778.</w:t>
      </w:r>
    </w:p>
    <w:p>
      <w:pPr>
        <w:spacing w:before="0" w:after="40" w:line="240" w:lineRule="auto"/>
        <w:ind w:left="317" w:hanging="317"/>
        <w:jc w:val="both"/>
      </w:pPr>
      <w:r>
        <w:rPr>
          <w:rFonts w:ascii="Times New Roman" w:hAnsi="Times New Roman"/>
          <w:b/>
          <w:sz w:val="16"/>
        </w:rPr>
        <w:t xml:space="preserve">[11] </w:t>
      </w:r>
      <w:r>
        <w:rPr>
          <w:rFonts w:ascii="Times New Roman" w:hAnsi="Times New Roman"/>
          <w:sz w:val="16"/>
        </w:rPr>
        <w:t>A. Graves and J. Schmidhuber, “Framewise phoneme classification with bidirectional LSTM and other neural network architectures,” Neural Netw., vol. 18, no. 5–6, pp. 602–610, 2005.</w:t>
      </w:r>
    </w:p>
    <w:p>
      <w:pPr>
        <w:spacing w:before="0" w:after="40" w:line="240" w:lineRule="auto"/>
        <w:ind w:left="317" w:hanging="317"/>
        <w:jc w:val="both"/>
      </w:pPr>
      <w:r>
        <w:rPr>
          <w:rFonts w:ascii="Times New Roman" w:hAnsi="Times New Roman"/>
          <w:b/>
          <w:sz w:val="16"/>
        </w:rPr>
        <w:t xml:space="preserve">[12] </w:t>
      </w:r>
      <w:r>
        <w:rPr>
          <w:rFonts w:ascii="Times New Roman" w:hAnsi="Times New Roman"/>
          <w:sz w:val="16"/>
        </w:rPr>
        <w:t>F. A. Gers, J. Schmidhuber, and F. Cummins, “Learning to forget: Continual prediction with LSTM,” Neural Comput., vol. 12, no. 10, pp. 2451–2471, Oct. 2000.</w:t>
      </w:r>
    </w:p>
    <w:sectPr w:rsidR="00FC693F" w:rsidRPr="0006063C" w:rsidSect="00034616">
      <w:type w:val="continuous"/>
      <w:pgSz w:w="11909" w:h="16834"/>
      <w:pgMar w:top="1080" w:right="893" w:bottom="1440" w:left="893" w:header="720" w:footer="720" w:gutter="0"/>
      <w:cols w:space="720"/>
      <w:docGrid w:linePitch="360"/>
      <w:cols w:num="2" w:space="3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