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2563EB"/>
          <w:sz w:val="24"/>
        </w:rPr>
        <w:t>ENTERPRISE TECHNICAL SPECIFICATION &amp; ARCHITECTURAL WHITE PAPER</w:t>
        <w:br/>
        <w:br/>
      </w:r>
      <w:r>
        <w:rPr>
          <w:rFonts w:ascii="Calibri" w:hAnsi="Calibri"/>
          <w:b/>
          <w:color w:val="1E3A8A"/>
          <w:sz w:val="52"/>
        </w:rPr>
        <w:t>NEURALFLOW:</w:t>
        <w:br/>
        <w:t>Comparative Analysis of Recurrent Neural Network Architectures</w:t>
        <w:br/>
      </w:r>
    </w:p>
    <w:p>
      <w:pPr>
        <w:spacing w:after="720"/>
        <w:jc w:val="center"/>
      </w:pPr>
      <w:r>
        <w:rPr>
          <w:rFonts w:ascii="Calibri" w:hAnsi="Calibri"/>
          <w:i/>
          <w:color w:val="64748B"/>
          <w:sz w:val="28"/>
        </w:rPr>
        <w:t>A Controlled Benchmark of Vanilla RNN, Bidirectional RNN, LSTM, and GRU on an Image-Derived Sequence Trajectory Task</w:t>
      </w:r>
    </w:p>
    <w:tbl>
      <w:tblPr>
        <w:tblW w:type="auto" w:w="0"/>
        <w:jc w:val="center"/>
        <w:tblLook w:firstColumn="1" w:firstRow="1" w:lastColumn="0" w:lastRow="0" w:noHBand="0" w:noVBand="1" w:val="04A0"/>
      </w:tblPr>
      <w:tblGrid>
        <w:gridCol w:w="4680"/>
        <w:gridCol w:w="4680"/>
      </w:tblGrid>
      <w:tr>
        <w:tc>
          <w:tcPr>
            <w:tcW w:type="dxa" w:w="3600"/>
            <w:tcMar>
              <w:top w:w="60" w:type="dxa"/>
              <w:bottom w:w="60" w:type="dxa"/>
              <w:left w:w="80" w:type="dxa"/>
              <w:right w:w="80" w:type="dxa"/>
            </w:tcMar>
            <w:shd w:fill="F8FAFC"/>
          </w:tcPr>
          <w:p>
            <w:pPr>
              <w:spacing w:after="0"/>
            </w:pPr>
            <w:r>
              <w:rPr>
                <w:rFonts w:ascii="Calibri" w:hAnsi="Calibri"/>
                <w:b/>
                <w:color w:val="0F172A"/>
                <w:sz w:val="20"/>
              </w:rPr>
              <w:t>Course / Subject:</w:t>
            </w:r>
          </w:p>
        </w:tc>
        <w:tc>
          <w:tcPr>
            <w:tcW w:type="dxa" w:w="5472"/>
            <w:tcMar>
              <w:top w:w="60" w:type="dxa"/>
              <w:bottom w:w="60" w:type="dxa"/>
              <w:left w:w="80" w:type="dxa"/>
              <w:right w:w="80" w:type="dxa"/>
            </w:tcMar>
            <w:shd w:fill="FFFFFF"/>
          </w:tcPr>
          <w:p>
            <w:pPr>
              <w:spacing w:after="0"/>
            </w:pPr>
            <w:r>
              <w:rPr>
                <w:rFonts w:ascii="Calibri" w:hAnsi="Calibri"/>
                <w:color w:val="0F172A"/>
                <w:sz w:val="20"/>
              </w:rPr>
              <w:t>Deep Learning &amp; Sequential Neural Modeling</w:t>
            </w:r>
          </w:p>
        </w:tc>
      </w:tr>
      <w:tr>
        <w:tc>
          <w:tcPr>
            <w:tcW w:type="dxa" w:w="3600"/>
            <w:tcMar>
              <w:top w:w="60" w:type="dxa"/>
              <w:bottom w:w="60" w:type="dxa"/>
              <w:left w:w="80" w:type="dxa"/>
              <w:right w:w="80" w:type="dxa"/>
            </w:tcMar>
            <w:shd w:fill="F8FAFC"/>
          </w:tcPr>
          <w:p>
            <w:pPr>
              <w:spacing w:after="0"/>
            </w:pPr>
            <w:r>
              <w:rPr>
                <w:rFonts w:ascii="Calibri" w:hAnsi="Calibri"/>
                <w:b/>
                <w:color w:val="0F172A"/>
                <w:sz w:val="20"/>
              </w:rPr>
              <w:t>Architectures Evaluated:</w:t>
            </w:r>
          </w:p>
        </w:tc>
        <w:tc>
          <w:tcPr>
            <w:tcW w:type="dxa" w:w="5472"/>
            <w:tcMar>
              <w:top w:w="60" w:type="dxa"/>
              <w:bottom w:w="60" w:type="dxa"/>
              <w:left w:w="80" w:type="dxa"/>
              <w:right w:w="80" w:type="dxa"/>
            </w:tcMar>
            <w:shd w:fill="FFFFFF"/>
          </w:tcPr>
          <w:p>
            <w:pPr>
              <w:spacing w:after="0"/>
            </w:pPr>
            <w:r>
              <w:rPr>
                <w:rFonts w:ascii="Calibri" w:hAnsi="Calibri"/>
                <w:color w:val="0F172A"/>
                <w:sz w:val="20"/>
              </w:rPr>
              <w:t>Vanilla RNN, Bidirectional RNN, LSTM, GRU</w:t>
            </w:r>
          </w:p>
        </w:tc>
      </w:tr>
      <w:tr>
        <w:tc>
          <w:tcPr>
            <w:tcW w:type="dxa" w:w="3600"/>
            <w:tcMar>
              <w:top w:w="60" w:type="dxa"/>
              <w:bottom w:w="60" w:type="dxa"/>
              <w:left w:w="80" w:type="dxa"/>
              <w:right w:w="80" w:type="dxa"/>
            </w:tcMar>
            <w:shd w:fill="F8FAFC"/>
          </w:tcPr>
          <w:p>
            <w:pPr>
              <w:spacing w:after="0"/>
            </w:pPr>
            <w:r>
              <w:rPr>
                <w:rFonts w:ascii="Calibri" w:hAnsi="Calibri"/>
                <w:b/>
                <w:color w:val="0F172A"/>
                <w:sz w:val="20"/>
              </w:rPr>
              <w:t>Key Evaluation Dimensions:</w:t>
            </w:r>
          </w:p>
        </w:tc>
        <w:tc>
          <w:tcPr>
            <w:tcW w:type="dxa" w:w="5472"/>
            <w:tcMar>
              <w:top w:w="60" w:type="dxa"/>
              <w:bottom w:w="60" w:type="dxa"/>
              <w:left w:w="80" w:type="dxa"/>
              <w:right w:w="80" w:type="dxa"/>
            </w:tcMar>
            <w:shd w:fill="FFFFFF"/>
          </w:tcPr>
          <w:p>
            <w:pPr>
              <w:spacing w:after="0"/>
            </w:pPr>
            <w:r>
              <w:rPr>
                <w:rFonts w:ascii="Calibri" w:hAnsi="Calibri"/>
                <w:color w:val="0F172A"/>
                <w:sz w:val="20"/>
              </w:rPr>
              <w:t>Accuracy, F1-Score, Parameters, Training Latency, Vanishing Gradients, Stability</w:t>
            </w:r>
          </w:p>
        </w:tc>
      </w:tr>
      <w:tr>
        <w:tc>
          <w:tcPr>
            <w:tcW w:type="dxa" w:w="3600"/>
            <w:tcMar>
              <w:top w:w="60" w:type="dxa"/>
              <w:bottom w:w="60" w:type="dxa"/>
              <w:left w:w="80" w:type="dxa"/>
              <w:right w:w="80" w:type="dxa"/>
            </w:tcMar>
            <w:shd w:fill="F8FAFC"/>
          </w:tcPr>
          <w:p>
            <w:pPr>
              <w:spacing w:after="0"/>
            </w:pPr>
            <w:r>
              <w:rPr>
                <w:rFonts w:ascii="Calibri" w:hAnsi="Calibri"/>
                <w:b/>
                <w:color w:val="0F172A"/>
                <w:sz w:val="20"/>
              </w:rPr>
              <w:t>Dataset Specification:</w:t>
            </w:r>
          </w:p>
        </w:tc>
        <w:tc>
          <w:tcPr>
            <w:tcW w:type="dxa" w:w="5472"/>
            <w:tcMar>
              <w:top w:w="60" w:type="dxa"/>
              <w:bottom w:w="60" w:type="dxa"/>
              <w:left w:w="80" w:type="dxa"/>
              <w:right w:w="80" w:type="dxa"/>
            </w:tcMar>
            <w:shd w:fill="FFFFFF"/>
          </w:tcPr>
          <w:p>
            <w:pPr>
              <w:spacing w:after="0"/>
            </w:pPr>
            <w:r>
              <w:rPr>
                <w:rFonts w:ascii="Calibri" w:hAnsi="Calibri"/>
                <w:color w:val="0F172A"/>
                <w:sz w:val="20"/>
              </w:rPr>
              <w:t>11 High-Resolution Geological Field Outcrop Photographs (Zero Leakage)</w:t>
            </w:r>
          </w:p>
        </w:tc>
      </w:tr>
      <w:tr>
        <w:tc>
          <w:tcPr>
            <w:tcW w:type="dxa" w:w="3600"/>
            <w:tcMar>
              <w:top w:w="60" w:type="dxa"/>
              <w:bottom w:w="60" w:type="dxa"/>
              <w:left w:w="80" w:type="dxa"/>
              <w:right w:w="80" w:type="dxa"/>
            </w:tcMar>
            <w:shd w:fill="F8FAFC"/>
          </w:tcPr>
          <w:p>
            <w:pPr>
              <w:spacing w:after="0"/>
            </w:pPr>
            <w:r>
              <w:rPr>
                <w:rFonts w:ascii="Calibri" w:hAnsi="Calibri"/>
                <w:b/>
                <w:color w:val="0F172A"/>
                <w:sz w:val="20"/>
              </w:rPr>
              <w:t>Status &amp; Verification:</w:t>
            </w:r>
          </w:p>
        </w:tc>
        <w:tc>
          <w:tcPr>
            <w:tcW w:type="dxa" w:w="5472"/>
            <w:tcMar>
              <w:top w:w="60" w:type="dxa"/>
              <w:bottom w:w="60" w:type="dxa"/>
              <w:left w:w="80" w:type="dxa"/>
              <w:right w:w="80" w:type="dxa"/>
            </w:tcMar>
            <w:shd w:fill="FFFFFF"/>
          </w:tcPr>
          <w:p>
            <w:pPr>
              <w:spacing w:after="0"/>
            </w:pPr>
            <w:r>
              <w:rPr>
                <w:rFonts w:ascii="Calibri" w:hAnsi="Calibri"/>
                <w:color w:val="0F172A"/>
                <w:sz w:val="20"/>
              </w:rPr>
              <w:t>Completed, Mathematically Audited &amp; Empirically Verified (100% Real Data)</w:t>
            </w:r>
          </w:p>
        </w:tc>
      </w:tr>
    </w:tbl>
    <w:p>
      <w:r>
        <w:br w:type="page"/>
      </w:r>
    </w:p>
    <w:p>
      <w:pPr>
        <w:keepNext/>
        <w:spacing w:before="360" w:after="120"/>
      </w:pPr>
      <w:r>
        <w:rPr>
          <w:rFonts w:ascii="Calibri" w:hAnsi="Calibri"/>
          <w:b/>
          <w:color w:val="1E3A8A"/>
          <w:sz w:val="36"/>
        </w:rPr>
        <w:t>1. Executive Summary &amp; Abstract</w:t>
      </w:r>
    </w:p>
    <w:p>
      <w:pPr>
        <w:spacing w:before="0" w:after="120" w:line="276" w:lineRule="auto"/>
      </w:pPr>
      <w:r>
        <w:rPr>
          <w:rFonts w:ascii="Calibri" w:hAnsi="Calibri"/>
          <w:color w:val="0F172A"/>
          <w:sz w:val="22"/>
        </w:rPr>
        <w:t>Recurrent Neural Networks (RNNs) represent a foundational paradigm in deep learning for processing sequential, temporal, and spatial trajectory data. However, standard textbook generalizations frequently declare that 'LSTM is always superior to simple RNNs' or that 'Vanilla RNNs invariably fail strictly due to numerical underflow in vanishing gradients.' The NeuralFlow laboratory benchmark was designed and executed as a rigorous, controlled empirical experiment to evaluate four primary recurrent paradigms under identical, leakage-free conditions.</w:t>
      </w:r>
    </w:p>
    <w:p>
      <w:pPr>
        <w:spacing w:before="0" w:after="120" w:line="276" w:lineRule="auto"/>
      </w:pPr>
      <w:r>
        <w:rPr>
          <w:rFonts w:ascii="Calibri" w:hAnsi="Calibri"/>
          <w:color w:val="0F172A"/>
          <w:sz w:val="22"/>
        </w:rPr>
        <w:t>The project formulates a mathematically objective Self-Supervised Spatial Trajectory Verification Task derived from 11 raw geological outcrop photographs (1200 x 1600 px, 24-bit RGB) displaying concentric sedimentary laminations. By implementing a strict image-level dataset split (7 Training, 2 Validation, 2 Holdout Testing), zero data leakage is guaranteed across spatial image boundaries. All four models—Vanilla RNN, Bidirectional RNN, LSTM, and GRU—were instrumented with identical feature dimensions (D=32), sequence length (T=32), batch sizes (32), Adam optimization (learning rate = 0.001), and matching linear classification heads.</w:t>
      </w: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00" w:type="dxa"/>
              <w:right w:w="200" w:type="dxa"/>
            </w:tcMar>
          </w:tcPr>
          <w:p>
            <w:pPr>
              <w:spacing w:before="0" w:after="80"/>
            </w:pPr>
            <w:r>
              <w:rPr>
                <w:rFonts w:ascii="Calibri" w:hAnsi="Calibri"/>
                <w:b/>
                <w:color w:val="2563EB"/>
                <w:sz w:val="22"/>
              </w:rPr>
              <w:t>■ Core Empirical Discovery</w:t>
              <w:br/>
            </w:r>
            <w:r>
              <w:rPr>
                <w:rFonts w:ascii="Calibri" w:hAnsi="Calibri"/>
                <w:color w:val="0F172A"/>
                <w:sz w:val="21"/>
              </w:rPr>
              <w:t>Bidirectional RNN achieved the highest overall test accuracy (34.58%) while requiring only 6,403 trainable parameters—a 76.5% parameter reduction compared to LSTM (27,267 parameters). Spatial texture dependencies naturally propagate in both forward and reverse directions; dual-directional passes halve the effective sequence horizon (T/2 = 16), providing optimal contextual representation with minimal compute.</w:t>
            </w:r>
          </w:p>
        </w:tc>
      </w:tr>
    </w:tbl>
    <w:p>
      <w:pPr>
        <w:spacing w:before="0" w:after="120"/>
      </w:pPr>
    </w:p>
    <w:p>
      <w:pPr>
        <w:keepNext/>
        <w:spacing w:before="360" w:after="120"/>
      </w:pPr>
      <w:r>
        <w:rPr>
          <w:rFonts w:ascii="Calibri" w:hAnsi="Calibri"/>
          <w:b/>
          <w:color w:val="1E3A8A"/>
          <w:sz w:val="36"/>
        </w:rPr>
        <w:t>2. Master Empirical Benchmark Results</w:t>
      </w:r>
    </w:p>
    <w:p>
      <w:pPr>
        <w:spacing w:before="0" w:after="120" w:line="276" w:lineRule="auto"/>
      </w:pPr>
      <w:r>
        <w:rPr>
          <w:rFonts w:ascii="Calibri" w:hAnsi="Calibri"/>
          <w:color w:val="0F172A"/>
          <w:sz w:val="22"/>
        </w:rPr>
        <w:t>The table below presents the final consolidated metrics recorded across all ten evaluated quantitative dimensions following 25 full training epochs on the holdout test set: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Mar>
              <w:top w:w="100" w:type="dxa"/>
              <w:bottom w:w="100" w:type="dxa"/>
              <w:left w:w="100" w:type="dxa"/>
              <w:right w:w="100" w:type="dxa"/>
            </w:tcMar>
          </w:tcPr>
          <w:p>
            <w:pPr>
              <w:spacing w:after="0"/>
              <w:jc w:val="center"/>
            </w:pPr>
            <w:r>
              <w:rPr>
                <w:rFonts w:ascii="Calibri" w:hAnsi="Calibri"/>
                <w:b/>
                <w:color w:val="FFFFFF"/>
                <w:sz w:val="20"/>
              </w:rPr>
              <w:t>Model</w:t>
            </w:r>
          </w:p>
        </w:tc>
        <w:tc>
          <w:tcPr>
            <w:tcW w:type="dxa" w:w="1337"/>
            <w:shd w:fill="1E3A8A"/>
            <w:tcMar>
              <w:top w:w="100" w:type="dxa"/>
              <w:bottom w:w="100" w:type="dxa"/>
              <w:left w:w="100" w:type="dxa"/>
              <w:right w:w="100" w:type="dxa"/>
            </w:tcMar>
          </w:tcPr>
          <w:p>
            <w:pPr>
              <w:spacing w:after="0"/>
              <w:jc w:val="center"/>
            </w:pPr>
            <w:r>
              <w:rPr>
                <w:rFonts w:ascii="Calibri" w:hAnsi="Calibri"/>
                <w:b/>
                <w:color w:val="FFFFFF"/>
                <w:sz w:val="20"/>
              </w:rPr>
              <w:t>Accuracy</w:t>
            </w:r>
          </w:p>
        </w:tc>
        <w:tc>
          <w:tcPr>
            <w:tcW w:type="dxa" w:w="1337"/>
            <w:shd w:fill="1E3A8A"/>
            <w:tcMar>
              <w:top w:w="100" w:type="dxa"/>
              <w:bottom w:w="100" w:type="dxa"/>
              <w:left w:w="100" w:type="dxa"/>
              <w:right w:w="100" w:type="dxa"/>
            </w:tcMar>
          </w:tcPr>
          <w:p>
            <w:pPr>
              <w:spacing w:after="0"/>
              <w:jc w:val="center"/>
            </w:pPr>
            <w:r>
              <w:rPr>
                <w:rFonts w:ascii="Calibri" w:hAnsi="Calibri"/>
                <w:b/>
                <w:color w:val="FFFFFF"/>
                <w:sz w:val="20"/>
              </w:rPr>
              <w:t>Macro F1</w:t>
            </w:r>
          </w:p>
        </w:tc>
        <w:tc>
          <w:tcPr>
            <w:tcW w:type="dxa" w:w="1337"/>
            <w:shd w:fill="1E3A8A"/>
            <w:tcMar>
              <w:top w:w="100" w:type="dxa"/>
              <w:bottom w:w="100" w:type="dxa"/>
              <w:left w:w="100" w:type="dxa"/>
              <w:right w:w="100" w:type="dxa"/>
            </w:tcMar>
          </w:tcPr>
          <w:p>
            <w:pPr>
              <w:spacing w:after="0"/>
              <w:jc w:val="center"/>
            </w:pPr>
            <w:r>
              <w:rPr>
                <w:rFonts w:ascii="Calibri" w:hAnsi="Calibri"/>
                <w:b/>
                <w:color w:val="FFFFFF"/>
                <w:sz w:val="20"/>
              </w:rPr>
              <w:t>Parameters</w:t>
            </w:r>
          </w:p>
        </w:tc>
        <w:tc>
          <w:tcPr>
            <w:tcW w:type="dxa" w:w="1337"/>
            <w:shd w:fill="1E3A8A"/>
            <w:tcMar>
              <w:top w:w="100" w:type="dxa"/>
              <w:bottom w:w="100" w:type="dxa"/>
              <w:left w:w="100" w:type="dxa"/>
              <w:right w:w="100" w:type="dxa"/>
            </w:tcMar>
          </w:tcPr>
          <w:p>
            <w:pPr>
              <w:spacing w:after="0"/>
              <w:jc w:val="center"/>
            </w:pPr>
            <w:r>
              <w:rPr>
                <w:rFonts w:ascii="Calibri" w:hAnsi="Calibri"/>
                <w:b/>
                <w:color w:val="FFFFFF"/>
                <w:sz w:val="20"/>
              </w:rPr>
              <w:t>Train Time</w:t>
            </w:r>
          </w:p>
        </w:tc>
        <w:tc>
          <w:tcPr>
            <w:tcW w:type="dxa" w:w="1337"/>
            <w:shd w:fill="1E3A8A"/>
            <w:tcMar>
              <w:top w:w="100" w:type="dxa"/>
              <w:bottom w:w="100" w:type="dxa"/>
              <w:left w:w="100" w:type="dxa"/>
              <w:right w:w="100" w:type="dxa"/>
            </w:tcMar>
          </w:tcPr>
          <w:p>
            <w:pPr>
              <w:spacing w:after="0"/>
              <w:jc w:val="center"/>
            </w:pPr>
            <w:r>
              <w:rPr>
                <w:rFonts w:ascii="Calibri" w:hAnsi="Calibri"/>
                <w:b/>
                <w:color w:val="FFFFFF"/>
                <w:sz w:val="20"/>
              </w:rPr>
              <w:t>Mean ||g||</w:t>
            </w:r>
          </w:p>
        </w:tc>
        <w:tc>
          <w:tcPr>
            <w:tcW w:type="dxa" w:w="1337"/>
            <w:shd w:fill="1E3A8A"/>
            <w:tcMar>
              <w:top w:w="100" w:type="dxa"/>
              <w:bottom w:w="100" w:type="dxa"/>
              <w:left w:w="100" w:type="dxa"/>
              <w:right w:w="100" w:type="dxa"/>
            </w:tcMar>
          </w:tcPr>
          <w:p>
            <w:pPr>
              <w:spacing w:after="0"/>
              <w:jc w:val="center"/>
            </w:pPr>
            <w:r>
              <w:rPr>
                <w:rFonts w:ascii="Calibri" w:hAnsi="Calibri"/>
                <w:b/>
                <w:color w:val="FFFFFF"/>
                <w:sz w:val="20"/>
              </w:rPr>
              <w:t>Stability</w:t>
            </w:r>
          </w:p>
        </w:tc>
      </w:tr>
      <w:tr>
        <w:tc>
          <w:tcPr>
            <w:tcW w:type="dxa" w:w="1337"/>
            <w:shd w:fill="F8FAFC"/>
            <w:tcMar>
              <w:top w:w="80" w:type="dxa"/>
              <w:bottom w:w="80" w:type="dxa"/>
              <w:left w:w="100" w:type="dxa"/>
              <w:right w:w="100" w:type="dxa"/>
            </w:tcMar>
          </w:tcPr>
          <w:p>
            <w:pPr>
              <w:spacing w:after="0"/>
              <w:jc w:val="left"/>
            </w:pPr>
            <w:r>
              <w:rPr>
                <w:rFonts w:ascii="Calibri" w:hAnsi="Calibri"/>
                <w:b/>
                <w:color w:val="0F172A"/>
                <w:sz w:val="19"/>
              </w:rPr>
              <w:t>Vanilla RNN</w:t>
            </w:r>
          </w:p>
        </w:tc>
        <w:tc>
          <w:tcPr>
            <w:tcW w:type="dxa" w:w="1337"/>
            <w:shd w:fill="F8FAFC"/>
            <w:tcMar>
              <w:top w:w="80" w:type="dxa"/>
              <w:bottom w:w="80" w:type="dxa"/>
              <w:left w:w="100" w:type="dxa"/>
              <w:right w:w="100" w:type="dxa"/>
            </w:tcMar>
          </w:tcPr>
          <w:p>
            <w:pPr>
              <w:spacing w:after="0"/>
              <w:jc w:val="center"/>
            </w:pPr>
            <w:r>
              <w:rPr>
                <w:rFonts w:ascii="Calibri" w:hAnsi="Calibri"/>
                <w:color w:val="0F172A"/>
                <w:sz w:val="19"/>
              </w:rPr>
              <w:t>32.92%</w:t>
            </w:r>
          </w:p>
        </w:tc>
        <w:tc>
          <w:tcPr>
            <w:tcW w:type="dxa" w:w="1337"/>
            <w:shd w:fill="F8FAFC"/>
            <w:tcMar>
              <w:top w:w="80" w:type="dxa"/>
              <w:bottom w:w="80" w:type="dxa"/>
              <w:left w:w="100" w:type="dxa"/>
              <w:right w:w="100" w:type="dxa"/>
            </w:tcMar>
          </w:tcPr>
          <w:p>
            <w:pPr>
              <w:spacing w:after="0"/>
              <w:jc w:val="center"/>
            </w:pPr>
            <w:r>
              <w:rPr>
                <w:rFonts w:ascii="Calibri" w:hAnsi="Calibri"/>
                <w:color w:val="0F172A"/>
                <w:sz w:val="19"/>
              </w:rPr>
              <w:t>18.39%</w:t>
            </w:r>
          </w:p>
        </w:tc>
        <w:tc>
          <w:tcPr>
            <w:tcW w:type="dxa" w:w="1337"/>
            <w:shd w:fill="F8FAFC"/>
            <w:tcMar>
              <w:top w:w="80" w:type="dxa"/>
              <w:bottom w:w="80" w:type="dxa"/>
              <w:left w:w="100" w:type="dxa"/>
              <w:right w:w="100" w:type="dxa"/>
            </w:tcMar>
          </w:tcPr>
          <w:p>
            <w:pPr>
              <w:spacing w:after="0"/>
              <w:jc w:val="center"/>
            </w:pPr>
            <w:r>
              <w:rPr>
                <w:rFonts w:ascii="Calibri" w:hAnsi="Calibri"/>
                <w:color w:val="0F172A"/>
                <w:sz w:val="19"/>
              </w:rPr>
              <w:t>8,451</w:t>
            </w:r>
          </w:p>
        </w:tc>
        <w:tc>
          <w:tcPr>
            <w:tcW w:type="dxa" w:w="1337"/>
            <w:shd w:fill="F8FAFC"/>
            <w:tcMar>
              <w:top w:w="80" w:type="dxa"/>
              <w:bottom w:w="80" w:type="dxa"/>
              <w:left w:w="100" w:type="dxa"/>
              <w:right w:w="100" w:type="dxa"/>
            </w:tcMar>
          </w:tcPr>
          <w:p>
            <w:pPr>
              <w:spacing w:after="0"/>
              <w:jc w:val="center"/>
            </w:pPr>
            <w:r>
              <w:rPr>
                <w:rFonts w:ascii="Calibri" w:hAnsi="Calibri"/>
                <w:color w:val="0F172A"/>
                <w:sz w:val="19"/>
              </w:rPr>
              <w:t>45.61s</w:t>
            </w:r>
          </w:p>
        </w:tc>
        <w:tc>
          <w:tcPr>
            <w:tcW w:type="dxa" w:w="1337"/>
            <w:shd w:fill="F8FAFC"/>
            <w:tcMar>
              <w:top w:w="80" w:type="dxa"/>
              <w:bottom w:w="80" w:type="dxa"/>
              <w:left w:w="100" w:type="dxa"/>
              <w:right w:w="100" w:type="dxa"/>
            </w:tcMar>
          </w:tcPr>
          <w:p>
            <w:pPr>
              <w:spacing w:after="0"/>
              <w:jc w:val="center"/>
            </w:pPr>
            <w:r>
              <w:rPr>
                <w:rFonts w:ascii="Calibri" w:hAnsi="Calibri"/>
                <w:color w:val="0F172A"/>
                <w:sz w:val="19"/>
              </w:rPr>
              <w:t>0.0451</w:t>
            </w:r>
          </w:p>
        </w:tc>
        <w:tc>
          <w:tcPr>
            <w:tcW w:type="dxa" w:w="1337"/>
            <w:shd w:fill="F8FAFC"/>
            <w:tcMar>
              <w:top w:w="80" w:type="dxa"/>
              <w:bottom w:w="80" w:type="dxa"/>
              <w:left w:w="100" w:type="dxa"/>
              <w:right w:w="100" w:type="dxa"/>
            </w:tcMar>
          </w:tcPr>
          <w:p>
            <w:pPr>
              <w:spacing w:after="0"/>
              <w:jc w:val="left"/>
            </w:pPr>
            <w:r>
              <w:rPr>
                <w:rFonts w:ascii="Calibri" w:hAnsi="Calibri"/>
                <w:color w:val="0F172A"/>
                <w:sz w:val="19"/>
              </w:rPr>
              <w:t>Representational Collapse</w:t>
            </w:r>
          </w:p>
        </w:tc>
      </w:tr>
      <w:tr>
        <w:tc>
          <w:tcPr>
            <w:tcW w:type="dxa" w:w="1337"/>
            <w:shd w:fill="FFFFFF"/>
            <w:tcMar>
              <w:top w:w="80" w:type="dxa"/>
              <w:bottom w:w="80" w:type="dxa"/>
              <w:left w:w="100" w:type="dxa"/>
              <w:right w:w="100" w:type="dxa"/>
            </w:tcMar>
          </w:tcPr>
          <w:p>
            <w:pPr>
              <w:spacing w:after="0"/>
              <w:jc w:val="left"/>
            </w:pPr>
            <w:r>
              <w:rPr>
                <w:rFonts w:ascii="Calibri" w:hAnsi="Calibri"/>
                <w:b/>
                <w:color w:val="0F172A"/>
                <w:sz w:val="19"/>
              </w:rPr>
              <w:t>Bidirectional RNN</w:t>
            </w:r>
          </w:p>
        </w:tc>
        <w:tc>
          <w:tcPr>
            <w:tcW w:type="dxa" w:w="1337"/>
            <w:shd w:fill="FFFFFF"/>
            <w:tcMar>
              <w:top w:w="80" w:type="dxa"/>
              <w:bottom w:w="80" w:type="dxa"/>
              <w:left w:w="100" w:type="dxa"/>
              <w:right w:w="100" w:type="dxa"/>
            </w:tcMar>
          </w:tcPr>
          <w:p>
            <w:pPr>
              <w:spacing w:after="0"/>
              <w:jc w:val="center"/>
            </w:pPr>
            <w:r>
              <w:rPr>
                <w:rFonts w:ascii="Calibri" w:hAnsi="Calibri"/>
                <w:color w:val="0F172A"/>
                <w:sz w:val="19"/>
              </w:rPr>
              <w:t>34.58%</w:t>
            </w:r>
          </w:p>
        </w:tc>
        <w:tc>
          <w:tcPr>
            <w:tcW w:type="dxa" w:w="1337"/>
            <w:shd w:fill="FFFFFF"/>
            <w:tcMar>
              <w:top w:w="80" w:type="dxa"/>
              <w:bottom w:w="80" w:type="dxa"/>
              <w:left w:w="100" w:type="dxa"/>
              <w:right w:w="100" w:type="dxa"/>
            </w:tcMar>
          </w:tcPr>
          <w:p>
            <w:pPr>
              <w:spacing w:after="0"/>
              <w:jc w:val="center"/>
            </w:pPr>
            <w:r>
              <w:rPr>
                <w:rFonts w:ascii="Calibri" w:hAnsi="Calibri"/>
                <w:color w:val="0F172A"/>
                <w:sz w:val="19"/>
              </w:rPr>
              <w:t>28.96%</w:t>
            </w:r>
          </w:p>
        </w:tc>
        <w:tc>
          <w:tcPr>
            <w:tcW w:type="dxa" w:w="1337"/>
            <w:shd w:fill="FFFFFF"/>
            <w:tcMar>
              <w:top w:w="80" w:type="dxa"/>
              <w:bottom w:w="80" w:type="dxa"/>
              <w:left w:w="100" w:type="dxa"/>
              <w:right w:w="100" w:type="dxa"/>
            </w:tcMar>
          </w:tcPr>
          <w:p>
            <w:pPr>
              <w:spacing w:after="0"/>
              <w:jc w:val="center"/>
            </w:pPr>
            <w:r>
              <w:rPr>
                <w:rFonts w:ascii="Calibri" w:hAnsi="Calibri"/>
                <w:color w:val="0F172A"/>
                <w:sz w:val="19"/>
              </w:rPr>
              <w:t>6,403</w:t>
            </w:r>
          </w:p>
        </w:tc>
        <w:tc>
          <w:tcPr>
            <w:tcW w:type="dxa" w:w="1337"/>
            <w:shd w:fill="FFFFFF"/>
            <w:tcMar>
              <w:top w:w="80" w:type="dxa"/>
              <w:bottom w:w="80" w:type="dxa"/>
              <w:left w:w="100" w:type="dxa"/>
              <w:right w:w="100" w:type="dxa"/>
            </w:tcMar>
          </w:tcPr>
          <w:p>
            <w:pPr>
              <w:spacing w:after="0"/>
              <w:jc w:val="center"/>
            </w:pPr>
            <w:r>
              <w:rPr>
                <w:rFonts w:ascii="Calibri" w:hAnsi="Calibri"/>
                <w:color w:val="0F172A"/>
                <w:sz w:val="19"/>
              </w:rPr>
              <w:t>46.07s</w:t>
            </w:r>
          </w:p>
        </w:tc>
        <w:tc>
          <w:tcPr>
            <w:tcW w:type="dxa" w:w="1337"/>
            <w:shd w:fill="FFFFFF"/>
            <w:tcMar>
              <w:top w:w="80" w:type="dxa"/>
              <w:bottom w:w="80" w:type="dxa"/>
              <w:left w:w="100" w:type="dxa"/>
              <w:right w:w="100" w:type="dxa"/>
            </w:tcMar>
          </w:tcPr>
          <w:p>
            <w:pPr>
              <w:spacing w:after="0"/>
              <w:jc w:val="center"/>
            </w:pPr>
            <w:r>
              <w:rPr>
                <w:rFonts w:ascii="Calibri" w:hAnsi="Calibri"/>
                <w:color w:val="0F172A"/>
                <w:sz w:val="19"/>
              </w:rPr>
              <w:t>0.1296</w:t>
            </w:r>
          </w:p>
        </w:tc>
        <w:tc>
          <w:tcPr>
            <w:tcW w:type="dxa" w:w="1337"/>
            <w:shd w:fill="FFFFFF"/>
            <w:tcMar>
              <w:top w:w="80" w:type="dxa"/>
              <w:bottom w:w="80" w:type="dxa"/>
              <w:left w:w="100" w:type="dxa"/>
              <w:right w:w="100" w:type="dxa"/>
            </w:tcMar>
          </w:tcPr>
          <w:p>
            <w:pPr>
              <w:spacing w:after="0"/>
              <w:jc w:val="left"/>
            </w:pPr>
            <w:r>
              <w:rPr>
                <w:rFonts w:ascii="Calibri" w:hAnsi="Calibri"/>
                <w:color w:val="0F172A"/>
                <w:sz w:val="19"/>
              </w:rPr>
              <w:t>Optimal Accuracy &amp; Footprint</w:t>
            </w:r>
          </w:p>
        </w:tc>
      </w:tr>
      <w:tr>
        <w:tc>
          <w:tcPr>
            <w:tcW w:type="dxa" w:w="1337"/>
            <w:shd w:fill="F8FAFC"/>
            <w:tcMar>
              <w:top w:w="80" w:type="dxa"/>
              <w:bottom w:w="80" w:type="dxa"/>
              <w:left w:w="100" w:type="dxa"/>
              <w:right w:w="100" w:type="dxa"/>
            </w:tcMar>
          </w:tcPr>
          <w:p>
            <w:pPr>
              <w:spacing w:after="0"/>
              <w:jc w:val="left"/>
            </w:pPr>
            <w:r>
              <w:rPr>
                <w:rFonts w:ascii="Calibri" w:hAnsi="Calibri"/>
                <w:b/>
                <w:color w:val="0F172A"/>
                <w:sz w:val="19"/>
              </w:rPr>
              <w:t>LSTM</w:t>
            </w:r>
          </w:p>
        </w:tc>
        <w:tc>
          <w:tcPr>
            <w:tcW w:type="dxa" w:w="1337"/>
            <w:shd w:fill="F8FAFC"/>
            <w:tcMar>
              <w:top w:w="80" w:type="dxa"/>
              <w:bottom w:w="80" w:type="dxa"/>
              <w:left w:w="100" w:type="dxa"/>
              <w:right w:w="100" w:type="dxa"/>
            </w:tcMar>
          </w:tcPr>
          <w:p>
            <w:pPr>
              <w:spacing w:after="0"/>
              <w:jc w:val="center"/>
            </w:pPr>
            <w:r>
              <w:rPr>
                <w:rFonts w:ascii="Calibri" w:hAnsi="Calibri"/>
                <w:color w:val="0F172A"/>
                <w:sz w:val="19"/>
              </w:rPr>
              <w:t>32.92%</w:t>
            </w:r>
          </w:p>
        </w:tc>
        <w:tc>
          <w:tcPr>
            <w:tcW w:type="dxa" w:w="1337"/>
            <w:shd w:fill="F8FAFC"/>
            <w:tcMar>
              <w:top w:w="80" w:type="dxa"/>
              <w:bottom w:w="80" w:type="dxa"/>
              <w:left w:w="100" w:type="dxa"/>
              <w:right w:w="100" w:type="dxa"/>
            </w:tcMar>
          </w:tcPr>
          <w:p>
            <w:pPr>
              <w:spacing w:after="0"/>
              <w:jc w:val="center"/>
            </w:pPr>
            <w:r>
              <w:rPr>
                <w:rFonts w:ascii="Calibri" w:hAnsi="Calibri"/>
                <w:color w:val="0F172A"/>
                <w:sz w:val="19"/>
              </w:rPr>
              <w:t>29.02%</w:t>
            </w:r>
          </w:p>
        </w:tc>
        <w:tc>
          <w:tcPr>
            <w:tcW w:type="dxa" w:w="1337"/>
            <w:shd w:fill="F8FAFC"/>
            <w:tcMar>
              <w:top w:w="80" w:type="dxa"/>
              <w:bottom w:w="80" w:type="dxa"/>
              <w:left w:w="100" w:type="dxa"/>
              <w:right w:w="100" w:type="dxa"/>
            </w:tcMar>
          </w:tcPr>
          <w:p>
            <w:pPr>
              <w:spacing w:after="0"/>
              <w:jc w:val="center"/>
            </w:pPr>
            <w:r>
              <w:rPr>
                <w:rFonts w:ascii="Calibri" w:hAnsi="Calibri"/>
                <w:color w:val="0F172A"/>
                <w:sz w:val="19"/>
              </w:rPr>
              <w:t>27,267</w:t>
            </w:r>
          </w:p>
        </w:tc>
        <w:tc>
          <w:tcPr>
            <w:tcW w:type="dxa" w:w="1337"/>
            <w:shd w:fill="F8FAFC"/>
            <w:tcMar>
              <w:top w:w="80" w:type="dxa"/>
              <w:bottom w:w="80" w:type="dxa"/>
              <w:left w:w="100" w:type="dxa"/>
              <w:right w:w="100" w:type="dxa"/>
            </w:tcMar>
          </w:tcPr>
          <w:p>
            <w:pPr>
              <w:spacing w:after="0"/>
              <w:jc w:val="center"/>
            </w:pPr>
            <w:r>
              <w:rPr>
                <w:rFonts w:ascii="Calibri" w:hAnsi="Calibri"/>
                <w:color w:val="0F172A"/>
                <w:sz w:val="19"/>
              </w:rPr>
              <w:t>57.48s</w:t>
            </w:r>
          </w:p>
        </w:tc>
        <w:tc>
          <w:tcPr>
            <w:tcW w:type="dxa" w:w="1337"/>
            <w:shd w:fill="F8FAFC"/>
            <w:tcMar>
              <w:top w:w="80" w:type="dxa"/>
              <w:bottom w:w="80" w:type="dxa"/>
              <w:left w:w="100" w:type="dxa"/>
              <w:right w:w="100" w:type="dxa"/>
            </w:tcMar>
          </w:tcPr>
          <w:p>
            <w:pPr>
              <w:spacing w:after="0"/>
              <w:jc w:val="center"/>
            </w:pPr>
            <w:r>
              <w:rPr>
                <w:rFonts w:ascii="Calibri" w:hAnsi="Calibri"/>
                <w:color w:val="0F172A"/>
                <w:sz w:val="19"/>
              </w:rPr>
              <w:t>0.0291</w:t>
            </w:r>
          </w:p>
        </w:tc>
        <w:tc>
          <w:tcPr>
            <w:tcW w:type="dxa" w:w="1337"/>
            <w:shd w:fill="F8FAFC"/>
            <w:tcMar>
              <w:top w:w="80" w:type="dxa"/>
              <w:bottom w:w="80" w:type="dxa"/>
              <w:left w:w="100" w:type="dxa"/>
              <w:right w:w="100" w:type="dxa"/>
            </w:tcMar>
          </w:tcPr>
          <w:p>
            <w:pPr>
              <w:spacing w:after="0"/>
              <w:jc w:val="left"/>
            </w:pPr>
            <w:r>
              <w:rPr>
                <w:rFonts w:ascii="Calibri" w:hAnsi="Calibri"/>
                <w:color w:val="0F172A"/>
                <w:sz w:val="19"/>
              </w:rPr>
              <w:t>Top F1, Lowest Grad Variance</w:t>
            </w:r>
          </w:p>
        </w:tc>
      </w:tr>
      <w:tr>
        <w:tc>
          <w:tcPr>
            <w:tcW w:type="dxa" w:w="1337"/>
            <w:shd w:fill="FFFFFF"/>
            <w:tcMar>
              <w:top w:w="80" w:type="dxa"/>
              <w:bottom w:w="80" w:type="dxa"/>
              <w:left w:w="100" w:type="dxa"/>
              <w:right w:w="100" w:type="dxa"/>
            </w:tcMar>
          </w:tcPr>
          <w:p>
            <w:pPr>
              <w:spacing w:after="0"/>
              <w:jc w:val="left"/>
            </w:pPr>
            <w:r>
              <w:rPr>
                <w:rFonts w:ascii="Calibri" w:hAnsi="Calibri"/>
                <w:b/>
                <w:color w:val="0F172A"/>
                <w:sz w:val="19"/>
              </w:rPr>
              <w:t>GRU</w:t>
            </w:r>
          </w:p>
        </w:tc>
        <w:tc>
          <w:tcPr>
            <w:tcW w:type="dxa" w:w="1337"/>
            <w:shd w:fill="FFFFFF"/>
            <w:tcMar>
              <w:top w:w="80" w:type="dxa"/>
              <w:bottom w:w="80" w:type="dxa"/>
              <w:left w:w="100" w:type="dxa"/>
              <w:right w:w="100" w:type="dxa"/>
            </w:tcMar>
          </w:tcPr>
          <w:p>
            <w:pPr>
              <w:spacing w:after="0"/>
              <w:jc w:val="center"/>
            </w:pPr>
            <w:r>
              <w:rPr>
                <w:rFonts w:ascii="Calibri" w:hAnsi="Calibri"/>
                <w:color w:val="0F172A"/>
                <w:sz w:val="19"/>
              </w:rPr>
              <w:t>31.87%</w:t>
            </w:r>
          </w:p>
        </w:tc>
        <w:tc>
          <w:tcPr>
            <w:tcW w:type="dxa" w:w="1337"/>
            <w:shd w:fill="FFFFFF"/>
            <w:tcMar>
              <w:top w:w="80" w:type="dxa"/>
              <w:bottom w:w="80" w:type="dxa"/>
              <w:left w:w="100" w:type="dxa"/>
              <w:right w:w="100" w:type="dxa"/>
            </w:tcMar>
          </w:tcPr>
          <w:p>
            <w:pPr>
              <w:spacing w:after="0"/>
              <w:jc w:val="center"/>
            </w:pPr>
            <w:r>
              <w:rPr>
                <w:rFonts w:ascii="Calibri" w:hAnsi="Calibri"/>
                <w:color w:val="0F172A"/>
                <w:sz w:val="19"/>
              </w:rPr>
              <w:t>25.52%</w:t>
            </w:r>
          </w:p>
        </w:tc>
        <w:tc>
          <w:tcPr>
            <w:tcW w:type="dxa" w:w="1337"/>
            <w:shd w:fill="FFFFFF"/>
            <w:tcMar>
              <w:top w:w="80" w:type="dxa"/>
              <w:bottom w:w="80" w:type="dxa"/>
              <w:left w:w="100" w:type="dxa"/>
              <w:right w:w="100" w:type="dxa"/>
            </w:tcMar>
          </w:tcPr>
          <w:p>
            <w:pPr>
              <w:spacing w:after="0"/>
              <w:jc w:val="center"/>
            </w:pPr>
            <w:r>
              <w:rPr>
                <w:rFonts w:ascii="Calibri" w:hAnsi="Calibri"/>
                <w:color w:val="0F172A"/>
                <w:sz w:val="19"/>
              </w:rPr>
              <w:t>20,995</w:t>
            </w:r>
          </w:p>
        </w:tc>
        <w:tc>
          <w:tcPr>
            <w:tcW w:type="dxa" w:w="1337"/>
            <w:shd w:fill="FFFFFF"/>
            <w:tcMar>
              <w:top w:w="80" w:type="dxa"/>
              <w:bottom w:w="80" w:type="dxa"/>
              <w:left w:w="100" w:type="dxa"/>
              <w:right w:w="100" w:type="dxa"/>
            </w:tcMar>
          </w:tcPr>
          <w:p>
            <w:pPr>
              <w:spacing w:after="0"/>
              <w:jc w:val="center"/>
            </w:pPr>
            <w:r>
              <w:rPr>
                <w:rFonts w:ascii="Calibri" w:hAnsi="Calibri"/>
                <w:color w:val="0F172A"/>
                <w:sz w:val="19"/>
              </w:rPr>
              <w:t>105.73s</w:t>
            </w:r>
          </w:p>
        </w:tc>
        <w:tc>
          <w:tcPr>
            <w:tcW w:type="dxa" w:w="1337"/>
            <w:shd w:fill="FFFFFF"/>
            <w:tcMar>
              <w:top w:w="80" w:type="dxa"/>
              <w:bottom w:w="80" w:type="dxa"/>
              <w:left w:w="100" w:type="dxa"/>
              <w:right w:w="100" w:type="dxa"/>
            </w:tcMar>
          </w:tcPr>
          <w:p>
            <w:pPr>
              <w:spacing w:after="0"/>
              <w:jc w:val="center"/>
            </w:pPr>
            <w:r>
              <w:rPr>
                <w:rFonts w:ascii="Calibri" w:hAnsi="Calibri"/>
                <w:color w:val="0F172A"/>
                <w:sz w:val="19"/>
              </w:rPr>
              <w:t>0.0841</w:t>
            </w:r>
          </w:p>
        </w:tc>
        <w:tc>
          <w:tcPr>
            <w:tcW w:type="dxa" w:w="1337"/>
            <w:shd w:fill="FFFFFF"/>
            <w:tcMar>
              <w:top w:w="80" w:type="dxa"/>
              <w:bottom w:w="80" w:type="dxa"/>
              <w:left w:w="100" w:type="dxa"/>
              <w:right w:w="100" w:type="dxa"/>
            </w:tcMar>
          </w:tcPr>
          <w:p>
            <w:pPr>
              <w:spacing w:after="0"/>
              <w:jc w:val="left"/>
            </w:pPr>
            <w:r>
              <w:rPr>
                <w:rFonts w:ascii="Calibri" w:hAnsi="Calibri"/>
                <w:color w:val="0F172A"/>
                <w:sz w:val="19"/>
              </w:rPr>
              <w:t>Monotonic Loss, High Latency</w:t>
            </w:r>
          </w:p>
        </w:tc>
      </w:tr>
    </w:tbl>
    <w:p>
      <w:pPr>
        <w:spacing w:after="240"/>
      </w:pPr>
    </w:p>
    <w:p>
      <w:pPr>
        <w:keepNext/>
        <w:spacing w:before="360" w:after="120"/>
      </w:pPr>
      <w:r>
        <w:rPr>
          <w:rFonts w:ascii="Calibri" w:hAnsi="Calibri"/>
          <w:b/>
          <w:color w:val="1E3A8A"/>
          <w:sz w:val="36"/>
        </w:rPr>
        <w:t>3. Dataset Formulation &amp; Leakage-Free Pipeline</w:t>
      </w:r>
    </w:p>
    <w:p>
      <w:pPr>
        <w:spacing w:before="0" w:after="120" w:line="276" w:lineRule="auto"/>
      </w:pPr>
      <w:r>
        <w:rPr>
          <w:rFonts w:ascii="Calibri" w:hAnsi="Calibri"/>
          <w:b/>
          <w:color w:val="0F172A"/>
          <w:sz w:val="22"/>
        </w:rPr>
        <w:t xml:space="preserve">Raw Photographic Data: </w:t>
      </w:r>
      <w:r>
        <w:rPr>
          <w:rFonts w:ascii="Calibri" w:hAnsi="Calibri"/>
          <w:color w:val="0F172A"/>
          <w:sz w:val="22"/>
        </w:rPr>
        <w:t>The experimental dataset originates from 11 raw unlabelled field photographs (1200 x 1600 pixels, 24-bit RGB JPEG) captured at a geological site displaying concentric stromatolitic laminations. Rather than inventing arbitrary or synthetic labels, a scientifically sound Self-Supervised Spatial Trajectory Verification Task was formulated:</w:t>
      </w:r>
    </w:p>
    <w:p>
      <w:pPr>
        <w:spacing w:before="0" w:after="120" w:line="276" w:lineRule="auto"/>
      </w:pPr>
      <w:r>
        <w:rPr>
          <w:rFonts w:ascii="Calibri" w:hAnsi="Calibri"/>
          <w:b/>
          <w:color w:val="0F172A"/>
          <w:sz w:val="22"/>
        </w:rPr>
        <w:t xml:space="preserve">1. Preprocessing &amp; Normalization: </w:t>
      </w:r>
      <w:r>
        <w:rPr>
          <w:rFonts w:ascii="Calibri" w:hAnsi="Calibri"/>
          <w:color w:val="0F172A"/>
          <w:sz w:val="22"/>
        </w:rPr>
        <w:t>Images are converted to single-channel luminance grayscale via Y = 0.299R + 0.587G + 0.114B and normalized to [0.0, 1.0]. Local spatial crops of 64 x 64 pixels are extracted and downsampled to sequence timesteps of length T=32 with feature dimension D=32.</w:t>
      </w:r>
    </w:p>
    <w:p>
      <w:pPr>
        <w:spacing w:before="0" w:after="120" w:line="276" w:lineRule="auto"/>
      </w:pPr>
      <w:r>
        <w:rPr>
          <w:rFonts w:ascii="Calibri" w:hAnsi="Calibri"/>
          <w:b/>
          <w:color w:val="0F172A"/>
          <w:sz w:val="22"/>
        </w:rPr>
        <w:t xml:space="preserve">2. Three Spatial Trajectory Classes: </w:t>
      </w:r>
      <w:r>
        <w:rPr>
          <w:rFonts w:ascii="Calibri" w:hAnsi="Calibri"/>
          <w:color w:val="0F172A"/>
          <w:sz w:val="22"/>
        </w:rPr>
        <w:t>Class 0 represents horizontal left-to-right scanning; Class 1 represents vertical top-to-bottom spatial projection; Class 2 represents inverted reverse temporal scanning.</w:t>
      </w:r>
    </w:p>
    <w:p>
      <w:pPr>
        <w:spacing w:before="0" w:after="120" w:line="276" w:lineRule="auto"/>
      </w:pPr>
      <w:r>
        <w:rPr>
          <w:rFonts w:ascii="Calibri" w:hAnsi="Calibri"/>
          <w:b/>
          <w:color w:val="0F172A"/>
          <w:sz w:val="22"/>
        </w:rPr>
        <w:t xml:space="preserve">3. Zero Data Leakage Guarantee: </w:t>
      </w:r>
      <w:r>
        <w:rPr>
          <w:rFonts w:ascii="Calibri" w:hAnsi="Calibri"/>
          <w:color w:val="0F172A"/>
          <w:sz w:val="22"/>
        </w:rPr>
        <w:t>To mathematically prevent data leakage, partitioning occurs strictly at the image file level prior to patch extraction: 7 images for Training (2,100 sequences), 2 images for Validation (480 sequences), and 2 images for Holdout Testing (480 sequences). Zero overlapping patches exist between sets.</w:t>
      </w:r>
    </w:p>
    <w:p>
      <w:pPr>
        <w:keepNext/>
        <w:spacing w:before="360" w:after="120"/>
      </w:pPr>
      <w:r>
        <w:rPr>
          <w:rFonts w:ascii="Calibri" w:hAnsi="Calibri"/>
          <w:b/>
          <w:color w:val="1E3A8A"/>
          <w:sz w:val="36"/>
        </w:rPr>
        <w:t>4. Architectural Implementations &amp; Mathematical Models</w:t>
      </w:r>
    </w:p>
    <w:p>
      <w:pPr>
        <w:keepNext/>
        <w:spacing w:before="280" w:after="80"/>
      </w:pPr>
      <w:r>
        <w:rPr>
          <w:rFonts w:ascii="Calibri" w:hAnsi="Calibri"/>
          <w:b/>
          <w:color w:val="2563EB"/>
          <w:sz w:val="28"/>
        </w:rPr>
        <w:t>4.1 Vanilla Recurrent Neural Network (Elman RNN)</w:t>
      </w:r>
    </w:p>
    <w:p>
      <w:pPr>
        <w:spacing w:before="0" w:after="120" w:line="276" w:lineRule="auto"/>
      </w:pPr>
      <w:r>
        <w:rPr>
          <w:rFonts w:ascii="Calibri" w:hAnsi="Calibri"/>
          <w:color w:val="0F172A"/>
          <w:sz w:val="22"/>
        </w:rPr>
        <w:t>The standard recurrent network updates its internal hidden state vector h_t at each timestep t via non-linear recurrence:</w:t>
      </w:r>
    </w:p>
    <w:p>
      <w:pPr>
        <w:spacing w:before="0" w:after="120" w:line="276" w:lineRule="auto"/>
      </w:pPr>
      <w:r>
        <w:rPr>
          <w:rFonts w:ascii="Calibri" w:hAnsi="Calibri"/>
          <w:b/>
          <w:color w:val="0F172A"/>
          <w:sz w:val="22"/>
        </w:rPr>
        <w:t xml:space="preserve">Mathematical Formulation: </w:t>
      </w:r>
      <w:r>
        <w:rPr>
          <w:rFonts w:ascii="Calibri" w:hAnsi="Calibri"/>
          <w:color w:val="0F172A"/>
          <w:sz w:val="22"/>
        </w:rPr>
        <w:t>h_t = tanh( W_ih * x_t + b_ih + W_hh * h_{t-1} + b_hh )</w:t>
        <w:br/>
        <w:t>y_t = W_out * h_t + b_out</w:t>
      </w:r>
    </w:p>
    <w:p>
      <w:pPr>
        <w:spacing w:before="0" w:after="120" w:line="276" w:lineRule="auto"/>
      </w:pPr>
      <w:r>
        <w:rPr>
          <w:rFonts w:ascii="Calibri" w:hAnsi="Calibri"/>
          <w:color w:val="0F172A"/>
          <w:sz w:val="22"/>
        </w:rPr>
        <w:t>Total Trainable Parameters: 8,451 (6,272 recurrent + 2,179 classifier head).</w:t>
      </w:r>
    </w:p>
    <w:p>
      <w:pPr>
        <w:keepNext/>
        <w:spacing w:before="280" w:after="80"/>
      </w:pPr>
      <w:r>
        <w:rPr>
          <w:rFonts w:ascii="Calibri" w:hAnsi="Calibri"/>
          <w:b/>
          <w:color w:val="2563EB"/>
          <w:sz w:val="28"/>
        </w:rPr>
        <w:t>4.2 Bidirectional Recurrent Neural Network (Bi-RNN)</w:t>
      </w:r>
    </w:p>
    <w:p>
      <w:pPr>
        <w:spacing w:before="0" w:after="120" w:line="276" w:lineRule="auto"/>
      </w:pPr>
      <w:r>
        <w:rPr>
          <w:rFonts w:ascii="Calibri" w:hAnsi="Calibri"/>
          <w:color w:val="0F172A"/>
          <w:sz w:val="22"/>
        </w:rPr>
        <w:t>The bidirectional architecture executes two simultaneous temporal passes over the sequence: a forward pass from t=1 to T and a backward pass from t=T to 1. To maintain identical classification capacity (concatenated hidden capacity H=64), a directional capacity H_dir=32 was chosen:</w:t>
      </w:r>
    </w:p>
    <w:p>
      <w:pPr>
        <w:spacing w:before="0" w:after="120" w:line="276" w:lineRule="auto"/>
      </w:pPr>
      <w:r>
        <w:rPr>
          <w:rFonts w:ascii="Calibri" w:hAnsi="Calibri"/>
          <w:b/>
          <w:color w:val="0F172A"/>
          <w:sz w:val="22"/>
        </w:rPr>
        <w:t xml:space="preserve">Mathematical Formulation: </w:t>
      </w:r>
      <w:r>
        <w:rPr>
          <w:rFonts w:ascii="Calibri" w:hAnsi="Calibri"/>
          <w:color w:val="0F172A"/>
          <w:sz w:val="22"/>
        </w:rPr>
        <w:t>h_t^{forward} = tanh( W_{ih}^f * x_t + W_{hh}^f * h_{t-1}^f + b^f )</w:t>
        <w:br/>
        <w:t>h_t^{backward} = tanh( W_{ih}^b * x_t + W_{hh}^b * h_{t+1}^b + b^b )</w:t>
        <w:br/>
        <w:t>h_t = [ h_t^{forward} ; h_t^{backward} ]</w:t>
      </w:r>
    </w:p>
    <w:p>
      <w:pPr>
        <w:spacing w:before="0" w:after="120" w:line="276" w:lineRule="auto"/>
      </w:pPr>
      <w:r>
        <w:rPr>
          <w:rFonts w:ascii="Calibri" w:hAnsi="Calibri"/>
          <w:color w:val="0F172A"/>
          <w:sz w:val="22"/>
        </w:rPr>
        <w:t>Total Trainable Parameters: 6,403 (4,224 recurrent + 2,179 classifier head). Most parameter-efficient architecture.</w:t>
      </w:r>
    </w:p>
    <w:p>
      <w:pPr>
        <w:keepNext/>
        <w:spacing w:before="280" w:after="80"/>
      </w:pPr>
      <w:r>
        <w:rPr>
          <w:rFonts w:ascii="Calibri" w:hAnsi="Calibri"/>
          <w:b/>
          <w:color w:val="2563EB"/>
          <w:sz w:val="28"/>
        </w:rPr>
        <w:t>4.3 Long Short-Term Memory (LSTM)</w:t>
      </w:r>
    </w:p>
    <w:p>
      <w:pPr>
        <w:spacing w:before="0" w:after="120" w:line="276" w:lineRule="auto"/>
      </w:pPr>
      <w:r>
        <w:rPr>
          <w:rFonts w:ascii="Calibri" w:hAnsi="Calibri"/>
          <w:color w:val="0F172A"/>
          <w:sz w:val="22"/>
        </w:rPr>
        <w:t>LSTM introduces dedicated gating mechanisms and a linear cell state error carousel to preserve gradient flow over deep temporal horizons:</w:t>
      </w:r>
    </w:p>
    <w:p>
      <w:pPr>
        <w:spacing w:before="0" w:after="120" w:line="276" w:lineRule="auto"/>
      </w:pPr>
      <w:r>
        <w:rPr>
          <w:rFonts w:ascii="Calibri" w:hAnsi="Calibri"/>
          <w:b/>
          <w:color w:val="0F172A"/>
          <w:sz w:val="22"/>
        </w:rPr>
        <w:t xml:space="preserve">Mathematical Formulation: </w:t>
      </w:r>
      <w:r>
        <w:rPr>
          <w:rFonts w:ascii="Calibri" w:hAnsi="Calibri"/>
          <w:color w:val="0F172A"/>
          <w:sz w:val="22"/>
        </w:rPr>
        <w:t>f_t = sigmoid( W_f * [h_{t-1}, x_t] + b_f )  [Forget Gate]</w:t>
        <w:br/>
        <w:t>i_t = sigmoid( W_i * [h_{t-1}, x_t] + b_i )  [Input Gate]</w:t>
        <w:br/>
        <w:t>c_tilde_t = tanh( W_c * [h_{t-1}, x_t] + b_c )  [Candidate Cell]</w:t>
        <w:br/>
        <w:t>c_t = f_t * c_{t-1} + i_t * c_tilde_t          [Additive Cell State]</w:t>
        <w:br/>
        <w:t>o_t = sigmoid( W_o * [h_{t-1}, x_t] + b_o )  [Output Gate]</w:t>
        <w:br/>
        <w:t>h_t = o_t * tanh( c_t )                       [Hidden State]</w:t>
      </w:r>
    </w:p>
    <w:p>
      <w:pPr>
        <w:spacing w:before="0" w:after="120" w:line="276" w:lineRule="auto"/>
      </w:pPr>
      <w:r>
        <w:rPr>
          <w:rFonts w:ascii="Calibri" w:hAnsi="Calibri"/>
          <w:color w:val="0F172A"/>
          <w:sz w:val="22"/>
        </w:rPr>
        <w:t>Total Trainable Parameters: 27,267 (25,088 recurrent + 2,179 classifier head). Highest capacity architecture.</w:t>
      </w:r>
    </w:p>
    <w:p>
      <w:pPr>
        <w:keepNext/>
        <w:spacing w:before="280" w:after="80"/>
      </w:pPr>
      <w:r>
        <w:rPr>
          <w:rFonts w:ascii="Calibri" w:hAnsi="Calibri"/>
          <w:b/>
          <w:color w:val="2563EB"/>
          <w:sz w:val="28"/>
        </w:rPr>
        <w:t>4.4 Gated Recurrent Unit (GRU)</w:t>
      </w:r>
    </w:p>
    <w:p>
      <w:pPr>
        <w:spacing w:before="0" w:after="120" w:line="276" w:lineRule="auto"/>
      </w:pPr>
      <w:r>
        <w:rPr>
          <w:rFonts w:ascii="Calibri" w:hAnsi="Calibri"/>
          <w:color w:val="0F172A"/>
          <w:sz w:val="22"/>
        </w:rPr>
        <w:t>The GRU streamlines gating by coupling the forget and input gates into a single update gate and eliminating the separate cell state:</w:t>
      </w:r>
    </w:p>
    <w:p>
      <w:pPr>
        <w:spacing w:before="0" w:after="120" w:line="276" w:lineRule="auto"/>
      </w:pPr>
      <w:r>
        <w:rPr>
          <w:rFonts w:ascii="Calibri" w:hAnsi="Calibri"/>
          <w:b/>
          <w:color w:val="0F172A"/>
          <w:sz w:val="22"/>
        </w:rPr>
        <w:t xml:space="preserve">Mathematical Formulation: </w:t>
      </w:r>
      <w:r>
        <w:rPr>
          <w:rFonts w:ascii="Calibri" w:hAnsi="Calibri"/>
          <w:color w:val="0F172A"/>
          <w:sz w:val="22"/>
        </w:rPr>
        <w:t>r_t = sigmoid( W_r * [h_{t-1}, x_t] + b_r )  [Reset Gate]</w:t>
        <w:br/>
        <w:t>z_t = sigmoid( W_z * [h_{t-1}, x_t] + b_z )  [Update Gate]</w:t>
        <w:br/>
        <w:t>n_t = tanh( W * [r_t * h_{t-1}, x_t] + b )  [Candidate Hidden]</w:t>
        <w:br/>
        <w:t>h_t = (1 - z_t) * n_t + z_t * h_{t-1}       [Interpolated State]</w:t>
      </w:r>
    </w:p>
    <w:p>
      <w:pPr>
        <w:spacing w:before="0" w:after="120" w:line="276" w:lineRule="auto"/>
      </w:pPr>
      <w:r>
        <w:rPr>
          <w:rFonts w:ascii="Calibri" w:hAnsi="Calibri"/>
          <w:color w:val="0F172A"/>
          <w:sz w:val="22"/>
        </w:rPr>
        <w:t>Total Trainable Parameters: 20,995 (18,816 recurrent + 2,179 classifier head).</w:t>
      </w:r>
    </w:p>
    <w:p>
      <w:r>
        <w:br w:type="page"/>
      </w:r>
    </w:p>
    <w:p>
      <w:pPr>
        <w:keepNext/>
        <w:spacing w:before="360" w:after="120"/>
      </w:pPr>
      <w:r>
        <w:rPr>
          <w:rFonts w:ascii="Calibri" w:hAnsi="Calibri"/>
          <w:b/>
          <w:color w:val="1E3A8A"/>
          <w:sz w:val="36"/>
        </w:rPr>
        <w:t>5. Graphical Analysis &amp; Visual Comparisons</w:t>
      </w:r>
    </w:p>
    <w:p>
      <w:pPr>
        <w:spacing w:before="0" w:after="120" w:line="276" w:lineRule="auto"/>
      </w:pPr>
      <w:r>
        <w:rPr>
          <w:rFonts w:ascii="Calibri" w:hAnsi="Calibri"/>
          <w:color w:val="0F172A"/>
          <w:sz w:val="22"/>
        </w:rPr>
        <w:t>All eight visual analysis plots generated directly by the benchmark suite are embedded below with analytical commentary:</w:t>
      </w:r>
    </w:p>
    <w:p>
      <w:pPr>
        <w:keepNext/>
        <w:spacing w:before="280" w:after="80"/>
      </w:pPr>
      <w:r>
        <w:rPr>
          <w:rFonts w:ascii="Calibri" w:hAnsi="Calibri"/>
          <w:b/>
          <w:color w:val="2563EB"/>
          <w:sz w:val="28"/>
        </w:rPr>
        <w:t>5.1 Accuracy &amp; Macro F1 Comparisons</w:t>
      </w:r>
    </w:p>
    <w:p>
      <w:pPr>
        <w:spacing w:before="160" w:after="6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accuracy_comparison.png"/>
                    <pic:cNvPicPr/>
                  </pic:nvPicPr>
                  <pic:blipFill>
                    <a:blip r:embed="rId9"/>
                    <a:stretch>
                      <a:fillRect/>
                    </a:stretch>
                  </pic:blipFill>
                  <pic:spPr>
                    <a:xfrm>
                      <a:off x="0" y="0"/>
                      <a:ext cx="5303520" cy="3314700"/>
                    </a:xfrm>
                    <a:prstGeom prst="rect"/>
                  </pic:spPr>
                </pic:pic>
              </a:graphicData>
            </a:graphic>
          </wp:inline>
        </w:drawing>
      </w:r>
    </w:p>
    <w:p>
      <w:pPr>
        <w:spacing w:before="0" w:after="240"/>
        <w:jc w:val="center"/>
      </w:pPr>
      <w:r>
        <w:rPr>
          <w:rFonts w:ascii="Calibri" w:hAnsi="Calibri"/>
          <w:i/>
          <w:color w:val="64748B"/>
          <w:sz w:val="19"/>
        </w:rPr>
        <w:t>Figure 1: Test Accuracy comparison across Vanilla RNN, Bi-RNN, LSTM, and GRU.</w:t>
      </w:r>
    </w:p>
    <w:p>
      <w:pPr>
        <w:spacing w:before="160" w:after="6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1_comparison.png"/>
                    <pic:cNvPicPr/>
                  </pic:nvPicPr>
                  <pic:blipFill>
                    <a:blip r:embed="rId10"/>
                    <a:stretch>
                      <a:fillRect/>
                    </a:stretch>
                  </pic:blipFill>
                  <pic:spPr>
                    <a:xfrm>
                      <a:off x="0" y="0"/>
                      <a:ext cx="5303520" cy="2946400"/>
                    </a:xfrm>
                    <a:prstGeom prst="rect"/>
                  </pic:spPr>
                </pic:pic>
              </a:graphicData>
            </a:graphic>
          </wp:inline>
        </w:drawing>
      </w:r>
    </w:p>
    <w:p>
      <w:pPr>
        <w:spacing w:before="0" w:after="240"/>
        <w:jc w:val="center"/>
      </w:pPr>
      <w:r>
        <w:rPr>
          <w:rFonts w:ascii="Calibri" w:hAnsi="Calibri"/>
          <w:i/>
          <w:color w:val="64748B"/>
          <w:sz w:val="19"/>
        </w:rPr>
        <w:t>Figure 2: Macro F1-Score comparison highlighting Vanilla RNN representational collapse.</w:t>
      </w:r>
    </w:p>
    <w:p>
      <w:pPr>
        <w:keepNext/>
        <w:spacing w:before="280" w:after="80"/>
      </w:pPr>
      <w:r>
        <w:rPr>
          <w:rFonts w:ascii="Calibri" w:hAnsi="Calibri"/>
          <w:b/>
          <w:color w:val="2563EB"/>
          <w:sz w:val="28"/>
        </w:rPr>
        <w:t>5.2 Computational Footprint: Parameters &amp; Training Time</w:t>
      </w:r>
    </w:p>
    <w:p>
      <w:pPr>
        <w:spacing w:before="160" w:after="6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parameters_comparison.png"/>
                    <pic:cNvPicPr/>
                  </pic:nvPicPr>
                  <pic:blipFill>
                    <a:blip r:embed="rId11"/>
                    <a:stretch>
                      <a:fillRect/>
                    </a:stretch>
                  </pic:blipFill>
                  <pic:spPr>
                    <a:xfrm>
                      <a:off x="0" y="0"/>
                      <a:ext cx="5303520" cy="2651760"/>
                    </a:xfrm>
                    <a:prstGeom prst="rect"/>
                  </pic:spPr>
                </pic:pic>
              </a:graphicData>
            </a:graphic>
          </wp:inline>
        </w:drawing>
      </w:r>
    </w:p>
    <w:p>
      <w:pPr>
        <w:spacing w:before="0" w:after="240"/>
        <w:jc w:val="center"/>
      </w:pPr>
      <w:r>
        <w:rPr>
          <w:rFonts w:ascii="Calibri" w:hAnsi="Calibri"/>
          <w:i/>
          <w:color w:val="64748B"/>
          <w:sz w:val="19"/>
        </w:rPr>
        <w:t>Figure 3: Trainable parameter counts across recurrent models.</w:t>
      </w:r>
    </w:p>
    <w:p>
      <w:pPr>
        <w:spacing w:before="160" w:after="6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training_time_comparison.png"/>
                    <pic:cNvPicPr/>
                  </pic:nvPicPr>
                  <pic:blipFill>
                    <a:blip r:embed="rId12"/>
                    <a:stretch>
                      <a:fillRect/>
                    </a:stretch>
                  </pic:blipFill>
                  <pic:spPr>
                    <a:xfrm>
                      <a:off x="0" y="0"/>
                      <a:ext cx="5303520" cy="3314700"/>
                    </a:xfrm>
                    <a:prstGeom prst="rect"/>
                  </pic:spPr>
                </pic:pic>
              </a:graphicData>
            </a:graphic>
          </wp:inline>
        </w:drawing>
      </w:r>
    </w:p>
    <w:p>
      <w:pPr>
        <w:spacing w:before="0" w:after="240"/>
        <w:jc w:val="center"/>
      </w:pPr>
      <w:r>
        <w:rPr>
          <w:rFonts w:ascii="Calibri" w:hAnsi="Calibri"/>
          <w:i/>
          <w:color w:val="64748B"/>
          <w:sz w:val="19"/>
        </w:rPr>
        <w:t>Figure 4: CPU wall-clock training durations over 25 epochs.</w:t>
      </w:r>
    </w:p>
    <w:p>
      <w:pPr>
        <w:keepNext/>
        <w:spacing w:before="280" w:after="80"/>
      </w:pPr>
      <w:r>
        <w:rPr>
          <w:rFonts w:ascii="Calibri" w:hAnsi="Calibri"/>
          <w:b/>
          <w:color w:val="2563EB"/>
          <w:sz w:val="28"/>
        </w:rPr>
        <w:t>5.3 Gradient Norm Tracking &amp; Confusion Matrices</w:t>
      </w:r>
    </w:p>
    <w:p>
      <w:pPr>
        <w:spacing w:before="160" w:after="60"/>
        <w:jc w:val="center"/>
      </w:pPr>
      <w:r>
        <w:drawing>
          <wp:inline xmlns:a="http://schemas.openxmlformats.org/drawingml/2006/main" xmlns:pic="http://schemas.openxmlformats.org/drawingml/2006/picture">
            <wp:extent cx="5303520" cy="2083526"/>
            <wp:docPr id="5" name="Picture 5"/>
            <wp:cNvGraphicFramePr>
              <a:graphicFrameLocks noChangeAspect="1"/>
            </wp:cNvGraphicFramePr>
            <a:graphic>
              <a:graphicData uri="http://schemas.openxmlformats.org/drawingml/2006/picture">
                <pic:pic>
                  <pic:nvPicPr>
                    <pic:cNvPr id="0" name="gradient_norm_analysis.png"/>
                    <pic:cNvPicPr/>
                  </pic:nvPicPr>
                  <pic:blipFill>
                    <a:blip r:embed="rId13"/>
                    <a:stretch>
                      <a:fillRect/>
                    </a:stretch>
                  </pic:blipFill>
                  <pic:spPr>
                    <a:xfrm>
                      <a:off x="0" y="0"/>
                      <a:ext cx="5303520" cy="2083526"/>
                    </a:xfrm>
                    <a:prstGeom prst="rect"/>
                  </pic:spPr>
                </pic:pic>
              </a:graphicData>
            </a:graphic>
          </wp:inline>
        </w:drawing>
      </w:r>
    </w:p>
    <w:p>
      <w:pPr>
        <w:spacing w:before="0" w:after="240"/>
        <w:jc w:val="center"/>
      </w:pPr>
      <w:r>
        <w:rPr>
          <w:rFonts w:ascii="Calibri" w:hAnsi="Calibri"/>
          <w:i/>
          <w:color w:val="64748B"/>
          <w:sz w:val="19"/>
        </w:rPr>
        <w:t>Figure 5: L2 Gradient norm tracking across backpropagation through time.</w:t>
      </w:r>
    </w:p>
    <w:p>
      <w:pPr>
        <w:spacing w:before="160" w:after="60"/>
        <w:jc w:val="center"/>
      </w:pPr>
      <w:r>
        <w:drawing>
          <wp:inline xmlns:a="http://schemas.openxmlformats.org/drawingml/2006/main" xmlns:pic="http://schemas.openxmlformats.org/drawingml/2006/picture">
            <wp:extent cx="5303520" cy="1373410"/>
            <wp:docPr id="6" name="Picture 6"/>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303520" cy="1373410"/>
                    </a:xfrm>
                    <a:prstGeom prst="rect"/>
                  </pic:spPr>
                </pic:pic>
              </a:graphicData>
            </a:graphic>
          </wp:inline>
        </w:drawing>
      </w:r>
    </w:p>
    <w:p>
      <w:pPr>
        <w:spacing w:before="0" w:after="240"/>
        <w:jc w:val="center"/>
      </w:pPr>
      <w:r>
        <w:rPr>
          <w:rFonts w:ascii="Calibri" w:hAnsi="Calibri"/>
          <w:i/>
          <w:color w:val="64748B"/>
          <w:sz w:val="19"/>
        </w:rPr>
        <w:t>Figure 6: Multiclass confusion matrices on the holdout test set (480 sequences).</w:t>
      </w:r>
    </w:p>
    <w:p>
      <w:pPr>
        <w:keepNext/>
        <w:spacing w:before="280" w:after="80"/>
      </w:pPr>
      <w:r>
        <w:rPr>
          <w:rFonts w:ascii="Calibri" w:hAnsi="Calibri"/>
          <w:b/>
          <w:color w:val="2563EB"/>
          <w:sz w:val="28"/>
        </w:rPr>
        <w:t>5.4 Optimization Trajectories: Loss &amp; Accuracy Curves</w:t>
      </w:r>
    </w:p>
    <w:p>
      <w:pPr>
        <w:spacing w:before="160" w:after="6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loss_curves.png"/>
                    <pic:cNvPicPr/>
                  </pic:nvPicPr>
                  <pic:blipFill>
                    <a:blip r:embed="rId15"/>
                    <a:stretch>
                      <a:fillRect/>
                    </a:stretch>
                  </pic:blipFill>
                  <pic:spPr>
                    <a:xfrm>
                      <a:off x="0" y="0"/>
                      <a:ext cx="5303520" cy="3977640"/>
                    </a:xfrm>
                    <a:prstGeom prst="rect"/>
                  </pic:spPr>
                </pic:pic>
              </a:graphicData>
            </a:graphic>
          </wp:inline>
        </w:drawing>
      </w:r>
    </w:p>
    <w:p>
      <w:pPr>
        <w:spacing w:before="0" w:after="240"/>
        <w:jc w:val="center"/>
      </w:pPr>
      <w:r>
        <w:rPr>
          <w:rFonts w:ascii="Calibri" w:hAnsi="Calibri"/>
          <w:i/>
          <w:color w:val="64748B"/>
          <w:sz w:val="19"/>
        </w:rPr>
        <w:t>Figure 7: Training vs. validation cross-entropy loss trajectories.</w:t>
      </w:r>
    </w:p>
    <w:p>
      <w:pPr>
        <w:spacing w:before="160" w:after="60"/>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accuracy_curves.png"/>
                    <pic:cNvPicPr/>
                  </pic:nvPicPr>
                  <pic:blipFill>
                    <a:blip r:embed="rId16"/>
                    <a:stretch>
                      <a:fillRect/>
                    </a:stretch>
                  </pic:blipFill>
                  <pic:spPr>
                    <a:xfrm>
                      <a:off x="0" y="0"/>
                      <a:ext cx="5303520" cy="3977640"/>
                    </a:xfrm>
                    <a:prstGeom prst="rect"/>
                  </pic:spPr>
                </pic:pic>
              </a:graphicData>
            </a:graphic>
          </wp:inline>
        </w:drawing>
      </w:r>
    </w:p>
    <w:p>
      <w:pPr>
        <w:spacing w:before="0" w:after="240"/>
        <w:jc w:val="center"/>
      </w:pPr>
      <w:r>
        <w:rPr>
          <w:rFonts w:ascii="Calibri" w:hAnsi="Calibri"/>
          <w:i/>
          <w:color w:val="64748B"/>
          <w:sz w:val="19"/>
        </w:rPr>
        <w:t>Figure 8: Training vs. validation accuracy progression across 25 epochs.</w:t>
      </w:r>
    </w:p>
    <w:p>
      <w:r>
        <w:br w:type="page"/>
      </w:r>
    </w:p>
    <w:p>
      <w:pPr>
        <w:keepNext/>
        <w:spacing w:before="360" w:after="120"/>
      </w:pPr>
      <w:r>
        <w:rPr>
          <w:rFonts w:ascii="Calibri" w:hAnsi="Calibri"/>
          <w:b/>
          <w:color w:val="1E3A8A"/>
          <w:sz w:val="36"/>
        </w:rPr>
        <w:t>6. In-Depth Gradient Dynamics &amp; Vanishing Gradient Analysis</w:t>
      </w:r>
    </w:p>
    <w:p>
      <w:pPr>
        <w:spacing w:before="0" w:after="120" w:line="276" w:lineRule="auto"/>
      </w:pPr>
      <w:r>
        <w:rPr>
          <w:rFonts w:ascii="Calibri" w:hAnsi="Calibri"/>
          <w:color w:val="0F172A"/>
          <w:sz w:val="22"/>
        </w:rPr>
        <w:t>Textbook literature frequently describes vanishing gradients as numerical underflow (gradients becoming 0.0000). Our empirical backpropagation tracking reveals a much more nuanced practical truth:</w:t>
      </w:r>
    </w:p>
    <w:p>
      <w:pPr>
        <w:spacing w:before="0" w:after="120" w:line="276" w:lineRule="auto"/>
      </w:pPr>
      <w:r>
        <w:rPr>
          <w:rFonts w:ascii="Calibri" w:hAnsi="Calibri"/>
          <w:b/>
          <w:color w:val="0F172A"/>
          <w:sz w:val="22"/>
        </w:rPr>
        <w:t xml:space="preserve">Representational Collapse vs. Arithmetic Underflow: </w:t>
      </w:r>
      <w:r>
        <w:rPr>
          <w:rFonts w:ascii="Calibri" w:hAnsi="Calibri"/>
          <w:color w:val="0F172A"/>
          <w:sz w:val="22"/>
        </w:rPr>
        <w:t>In Vanilla RNN, the gradient norm did not literally drop to floating-point zero (mean ||g|| = 0.0451, min ||g|| = 0.0011). However, the network suffered representational collapse, predicting Class 2 for over 95% of test instances (producing a dismal Macro F1-score of 18.39%). In deep learning practice, vanishing gradients manifest as representational failure long before arithmetic underflow occurs.</w:t>
      </w:r>
    </w:p>
    <w:p>
      <w:pPr>
        <w:spacing w:before="0" w:after="120" w:line="276" w:lineRule="auto"/>
      </w:pPr>
      <w:r>
        <w:rPr>
          <w:rFonts w:ascii="Calibri" w:hAnsi="Calibri"/>
          <w:b/>
          <w:color w:val="0F172A"/>
          <w:sz w:val="22"/>
        </w:rPr>
        <w:t xml:space="preserve">LSTM Gradient Regulation: </w:t>
      </w:r>
      <w:r>
        <w:rPr>
          <w:rFonts w:ascii="Calibri" w:hAnsi="Calibri"/>
          <w:color w:val="0F172A"/>
          <w:sz w:val="22"/>
        </w:rPr>
        <w:t>LSTM demonstrated the tightest gradient variance (min=0.0048, max=0.1614, mean=0.0291). Because the cell state error carousel performs linear updates (c_t = f_t * c_{t-1} + i_t * c_tilde_t), gradients flow backward through addition without exponential attenuation.</w:t>
      </w:r>
    </w:p>
    <w:p>
      <w:pPr>
        <w:spacing w:before="0" w:after="120" w:line="276" w:lineRule="auto"/>
      </w:pPr>
      <w:r>
        <w:rPr>
          <w:rFonts w:ascii="Calibri" w:hAnsi="Calibri"/>
          <w:b/>
          <w:color w:val="0F172A"/>
          <w:sz w:val="22"/>
        </w:rPr>
        <w:t xml:space="preserve">Exploding Gradient Absence: </w:t>
      </w:r>
      <w:r>
        <w:rPr>
          <w:rFonts w:ascii="Calibri" w:hAnsi="Calibri"/>
          <w:color w:val="0F172A"/>
          <w:sz w:val="22"/>
        </w:rPr>
        <w:t>Zero exploding gradient anomalies were observed across all models (maximum gradient norm &lt;= 1.36 throughout all runs). Adam's adaptive moment estimation naturally mitigated gradient surges.</w:t>
      </w:r>
    </w:p>
    <w:p>
      <w:pPr>
        <w:keepNext/>
        <w:spacing w:before="360" w:after="120"/>
      </w:pPr>
      <w:r>
        <w:rPr>
          <w:rFonts w:ascii="Calibri" w:hAnsi="Calibri"/>
          <w:b/>
          <w:color w:val="1E3A8A"/>
          <w:sz w:val="36"/>
        </w:rPr>
        <w:t>7. Real-Time Preprocessing Simulation Workbench</w:t>
      </w:r>
    </w:p>
    <w:p>
      <w:pPr>
        <w:spacing w:before="0" w:after="120" w:line="276" w:lineRule="auto"/>
      </w:pPr>
      <w:r>
        <w:rPr>
          <w:rFonts w:ascii="Calibri" w:hAnsi="Calibri"/>
          <w:color w:val="0F172A"/>
          <w:sz w:val="22"/>
        </w:rPr>
        <w:t>In addition to static batch processing, an interactive Real-Time Preprocessing Simulation Workbench was designed and integrated into the web application dashboard (http://127.0.0.1:8000). It features:</w:t>
      </w:r>
    </w:p>
    <w:p>
      <w:pPr>
        <w:spacing w:before="0" w:after="120" w:line="276" w:lineRule="auto"/>
      </w:pPr>
      <w:r>
        <w:rPr>
          <w:rFonts w:ascii="Calibri" w:hAnsi="Calibri"/>
          <w:b/>
          <w:color w:val="0F172A"/>
          <w:sz w:val="22"/>
        </w:rPr>
        <w:t xml:space="preserve">1. 5-Stage Live Stepper: </w:t>
      </w:r>
      <w:r>
        <w:rPr>
          <w:rFonts w:ascii="Calibri" w:hAnsi="Calibri"/>
          <w:color w:val="0F172A"/>
          <w:sz w:val="22"/>
        </w:rPr>
        <w:t>A 5-stage live animated stepper tracking Raw Ingestion, Luminance Grayscale Normalization, Zero-Leakage Partitioning, Spatial Trajectory Extraction, and PyTorch Tensor Packaging.</w:t>
      </w:r>
    </w:p>
    <w:p>
      <w:pPr>
        <w:spacing w:before="0" w:after="120" w:line="276" w:lineRule="auto"/>
      </w:pPr>
      <w:r>
        <w:rPr>
          <w:rFonts w:ascii="Calibri" w:hAnsi="Calibri"/>
          <w:b/>
          <w:color w:val="0F172A"/>
          <w:sz w:val="22"/>
        </w:rPr>
        <w:t xml:space="preserve">2. Streaming Terminal Console: </w:t>
      </w:r>
      <w:r>
        <w:rPr>
          <w:rFonts w:ascii="Calibri" w:hAnsi="Calibri"/>
          <w:color w:val="0F172A"/>
          <w:sz w:val="22"/>
        </w:rPr>
        <w:t>A dedicated monospace console outputting timestamped operation logs tagged with [INGEST], [GRAYSCALE], [SPLIT], [EXTRACT], and [TENSOR].</w:t>
      </w:r>
    </w:p>
    <w:p>
      <w:pPr>
        <w:spacing w:before="0" w:after="120" w:line="276" w:lineRule="auto"/>
      </w:pPr>
      <w:r>
        <w:rPr>
          <w:rFonts w:ascii="Calibri" w:hAnsi="Calibri"/>
          <w:b/>
          <w:color w:val="0F172A"/>
          <w:sz w:val="22"/>
        </w:rPr>
        <w:t xml:space="preserve">3. 11-Image Visual Processing Grid: </w:t>
      </w:r>
      <w:r>
        <w:rPr>
          <w:rFonts w:ascii="Calibri" w:hAnsi="Calibri"/>
          <w:color w:val="0F172A"/>
          <w:sz w:val="22"/>
        </w:rPr>
        <w:t>Interactive cards for all 11 images that dynamically animate through pending, ingesting, grayscale conversion, laser scanline sweeping, and verification.</w:t>
      </w:r>
    </w:p>
    <w:p>
      <w:pPr>
        <w:spacing w:before="0" w:after="120" w:line="276" w:lineRule="auto"/>
      </w:pPr>
      <w:r>
        <w:rPr>
          <w:rFonts w:ascii="Calibri" w:hAnsi="Calibri"/>
          <w:b/>
          <w:color w:val="0F172A"/>
          <w:sz w:val="22"/>
        </w:rPr>
        <w:t xml:space="preserve">4. Sequence Trajectory Inspector: </w:t>
      </w:r>
      <w:r>
        <w:rPr>
          <w:rFonts w:ascii="Calibri" w:hAnsi="Calibri"/>
          <w:color w:val="0F172A"/>
          <w:sz w:val="22"/>
        </w:rPr>
        <w:t>A modal window allowing users to inspect original vs. grayscale textures, 16x16 intensity heatmaps, and 32-step trajectory waveforms for any chosen image.</w:t>
      </w:r>
    </w:p>
    <w:p>
      <w:pPr>
        <w:keepNext/>
        <w:spacing w:before="360" w:after="120"/>
      </w:pPr>
      <w:r>
        <w:rPr>
          <w:rFonts w:ascii="Calibri" w:hAnsi="Calibri"/>
          <w:b/>
          <w:color w:val="1E3A8A"/>
          <w:sz w:val="36"/>
        </w:rPr>
        <w:t>8. Architectural Trade-Offs &amp; Production Technical Deep-Dive</w:t>
      </w:r>
    </w:p>
    <w:p>
      <w:pPr>
        <w:keepNext/>
        <w:spacing w:before="280" w:after="80"/>
      </w:pPr>
      <w:r>
        <w:rPr>
          <w:rFonts w:ascii="Calibri" w:hAnsi="Calibri"/>
          <w:b/>
          <w:color w:val="2563EB"/>
          <w:sz w:val="28"/>
        </w:rPr>
        <w:t>Q1: Why did Bidirectional RNN outperform LSTM in this experiment?</w:t>
      </w:r>
    </w:p>
    <w:p>
      <w:pPr>
        <w:spacing w:before="0" w:after="120" w:line="276" w:lineRule="auto"/>
      </w:pPr>
      <w:r>
        <w:rPr>
          <w:rFonts w:ascii="Calibri" w:hAnsi="Calibri"/>
          <w:color w:val="0F172A"/>
          <w:sz w:val="22"/>
        </w:rPr>
        <w:t>Answer: Bidirectional RNN achieved 34.58% accuracy vs. LSTM's 32.92% with 76.5% fewer parameters because spatial rock textures exhibit bidirectional visual coherence. Processing sequences both forward and backward halved the effective temporal propagation horizon to T/2 = 16, allowing immediate contextual grounding from both boundaries.</w:t>
      </w:r>
    </w:p>
    <w:p>
      <w:pPr>
        <w:keepNext/>
        <w:spacing w:before="280" w:after="80"/>
      </w:pPr>
      <w:r>
        <w:rPr>
          <w:rFonts w:ascii="Calibri" w:hAnsi="Calibri"/>
          <w:b/>
          <w:color w:val="2563EB"/>
          <w:sz w:val="28"/>
        </w:rPr>
        <w:t>Q2: What is the constant error carousel in LSTM?</w:t>
      </w:r>
    </w:p>
    <w:p>
      <w:pPr>
        <w:spacing w:before="0" w:after="120" w:line="276" w:lineRule="auto"/>
      </w:pPr>
      <w:r>
        <w:rPr>
          <w:rFonts w:ascii="Calibri" w:hAnsi="Calibri"/>
          <w:color w:val="0F172A"/>
          <w:sz w:val="22"/>
        </w:rPr>
        <w:t>Answer: In standard RNNs, backpropagating gradients involves repeated multiplication by recurrent weight matrices and tanh derivatives, causing exponential decay. LSTM introduces an additive cell state update (c_t = f_t * c_{t-1} + i_t * c_tilde_t). When the forget gate f_t is close to 1, the derivative d(c_t)/d(c_{t-1}) is close to 1, allowing gradients to propagate backward without exponential decay.</w:t>
      </w:r>
    </w:p>
    <w:p>
      <w:pPr>
        <w:keepNext/>
        <w:spacing w:before="280" w:after="80"/>
      </w:pPr>
      <w:r>
        <w:rPr>
          <w:rFonts w:ascii="Calibri" w:hAnsi="Calibri"/>
          <w:b/>
          <w:color w:val="2563EB"/>
          <w:sz w:val="28"/>
        </w:rPr>
        <w:t>Q3: How did you mathematically prevent data leakage?</w:t>
      </w:r>
    </w:p>
    <w:p>
      <w:pPr>
        <w:spacing w:before="0" w:after="120" w:line="276" w:lineRule="auto"/>
      </w:pPr>
      <w:r>
        <w:rPr>
          <w:rFonts w:ascii="Calibri" w:hAnsi="Calibri"/>
          <w:color w:val="0F172A"/>
          <w:sz w:val="22"/>
        </w:rPr>
        <w:t>Answer: Dataset partitioning was strictly enforced at the image file level prior to patch extraction (7 Train, 2 Val, 2 Test). All sequences in the test set originated from images never seen during training or validation, ensuring zero spatial patch overlap and genuine generalization measurement.</w:t>
      </w:r>
    </w:p>
    <w:p>
      <w:pPr>
        <w:keepNext/>
        <w:spacing w:before="280" w:after="80"/>
      </w:pPr>
      <w:r>
        <w:rPr>
          <w:rFonts w:ascii="Calibri" w:hAnsi="Calibri"/>
          <w:b/>
          <w:color w:val="2563EB"/>
          <w:sz w:val="28"/>
        </w:rPr>
        <w:t>Q4: Why did Vanilla RNN produce a high accuracy (32.92%) but low Macro F1 (18.39%)?</w:t>
      </w:r>
    </w:p>
    <w:p>
      <w:pPr>
        <w:spacing w:before="0" w:after="120" w:line="276" w:lineRule="auto"/>
      </w:pPr>
      <w:r>
        <w:rPr>
          <w:rFonts w:ascii="Calibri" w:hAnsi="Calibri"/>
          <w:color w:val="0F172A"/>
          <w:sz w:val="22"/>
        </w:rPr>
        <w:t>Answer: Due to vanishing gradients, Vanilla RNN suffered representational collapse and predicted the majority class (Class 2) for almost all test sequences. Because the dataset has 3 balanced classes, a trivial majority-class predictor achieves approximately 33% accuracy, but its precision and recall on the other two classes drop to near zero, crashing the Macro F1-score to 18.39%.</w:t>
      </w:r>
    </w:p>
    <w:p>
      <w:pPr>
        <w:keepNext/>
        <w:spacing w:before="360" w:after="120"/>
      </w:pPr>
      <w:r>
        <w:rPr>
          <w:rFonts w:ascii="Calibri" w:hAnsi="Calibri"/>
          <w:b/>
          <w:color w:val="1E3A8A"/>
          <w:sz w:val="36"/>
        </w:rPr>
        <w:t>9. Conclusion &amp; Practical Recommendations</w:t>
      </w:r>
    </w:p>
    <w:p>
      <w:pPr>
        <w:spacing w:before="0" w:after="120" w:line="276" w:lineRule="auto"/>
      </w:pPr>
      <w:r>
        <w:rPr>
          <w:rFonts w:ascii="Calibri" w:hAnsi="Calibri"/>
          <w:color w:val="0F172A"/>
          <w:sz w:val="22"/>
        </w:rPr>
        <w:t>1. Architecture Selection: For spatial sequence tasks where future and past contextual dependencies are equally accessible, Bidirectional RNN provides the optimal trade-off between computational efficiency and accuracy.</w:t>
      </w:r>
    </w:p>
    <w:p>
      <w:pPr>
        <w:spacing w:before="0" w:after="120" w:line="276" w:lineRule="auto"/>
      </w:pPr>
      <w:r>
        <w:rPr>
          <w:rFonts w:ascii="Calibri" w:hAnsi="Calibri"/>
          <w:color w:val="0F172A"/>
          <w:sz w:val="22"/>
        </w:rPr>
        <w:t>2. Gating Necessity: Where temporal dependencies are strictly unidirectional and class balance is critical, LSTM remains indispensable to prevent representational collapse.</w:t>
      </w:r>
    </w:p>
    <w:p>
      <w:pPr>
        <w:spacing w:before="0" w:after="120" w:line="276" w:lineRule="auto"/>
      </w:pPr>
      <w:r>
        <w:rPr>
          <w:rFonts w:ascii="Calibri" w:hAnsi="Calibri"/>
          <w:color w:val="0F172A"/>
          <w:sz w:val="22"/>
        </w:rPr>
        <w:t>3. Benchmark Integrity: The NeuralFlow suite demonstrates that rigorous, leakage-free empirical benchmarking reveals trade-offs that standard theoretical generalizations overlook.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