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Member Registration Tracker: Executive Narrative</w:t>
      </w:r>
    </w:p>
    <w:p>
      <w:r>
        <w:rPr>
          <w:i/>
        </w:rPr>
        <w:t>Audience: business leaders and marketing leadership. Status: prototype using synthetic data.</w:t>
      </w:r>
    </w:p>
    <w:p>
      <w:pPr>
        <w:pStyle w:val="Heading1"/>
      </w:pPr>
      <w:r>
        <w:rPr>
          <w:color w:val="1F4E79"/>
        </w:rPr>
        <w:t>The business purpose</w:t>
      </w:r>
    </w:p>
    <w:p>
      <w:r>
        <w:t>Digital engagement is central to the health care app. Members who have not finished registration cannot use its benefits, so every registration we win is a member we can help. The Member Registration Tracker exists to turn registration data into action: it shows where registrations stand, finds the members who still need to register, and gives marketing a direct way to reach them.</w:t>
      </w:r>
    </w:p>
    <w:p>
      <w:pPr>
        <w:pStyle w:val="Heading1"/>
      </w:pPr>
      <w:r>
        <w:rPr>
          <w:color w:val="1F4E79"/>
        </w:rPr>
        <w:t>Who uses it and how</w:t>
      </w:r>
    </w:p>
    <w:p>
      <w:r>
        <w:t>The primary user is the marketing team. Each month they review how registrations are moving, compare months with one another, and decide where to focus their effort. The tool supports that work in three ways:</w:t>
      </w:r>
    </w:p>
    <w:p>
      <w:pPr>
        <w:pStyle w:val="ListBullet"/>
      </w:pPr>
      <w:r>
        <w:t>Track registrations month over month. Option 1 shows daily and monthly patterns for any month, with low and high registration days flagged so unusual activity stands out.</w:t>
      </w:r>
    </w:p>
    <w:p>
      <w:pPr>
        <w:pStyle w:val="ListBullet"/>
      </w:pPr>
      <w:r>
        <w:t>Drive registrations through outreach. Option 2 lets a marketer find a member by member ID or SSN and send a registration reminder or welcome message, using one of three ready templates.</w:t>
      </w:r>
    </w:p>
    <w:p>
      <w:pPr>
        <w:pStyle w:val="ListBullet"/>
      </w:pPr>
      <w:r>
        <w:t>Report on the results. Option 3 produces five reports, each downloadable as CSV, covering members who have not registered, daily stats, the six-month trend, registration status by month, and relationship code.</w:t>
      </w:r>
    </w:p>
    <w:p>
      <w:pPr>
        <w:pStyle w:val="Heading1"/>
      </w:pPr>
      <w:r>
        <w:rPr>
          <w:color w:val="1F4E79"/>
        </w:rPr>
        <w:t>Month-over-month view</w:t>
      </w:r>
    </w:p>
    <w:p>
      <w:r>
        <w:t>The figures below come from the current synthetic dataset of one million records. They show the shape of the view the marketing team would use. They are not real member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BFA"/>
          </w:tcPr>
          <w:p>
            <w:r>
              <w:rPr>
                <w:b/>
              </w:rPr>
              <w:t>Month</w:t>
            </w:r>
          </w:p>
        </w:tc>
        <w:tc>
          <w:tcPr>
            <w:tcW w:type="dxa" w:w="2160"/>
            <w:shd w:val="clear" w:color="auto" w:fill="DCEBFA"/>
          </w:tcPr>
          <w:p>
            <w:r>
              <w:rPr>
                <w:b/>
              </w:rPr>
              <w:t>Total records</w:t>
            </w:r>
          </w:p>
        </w:tc>
        <w:tc>
          <w:tcPr>
            <w:tcW w:type="dxa" w:w="2160"/>
            <w:shd w:val="clear" w:color="auto" w:fill="DCEBFA"/>
          </w:tcPr>
          <w:p>
            <w:r>
              <w:rPr>
                <w:b/>
              </w:rPr>
              <w:t>Not registered (N)</w:t>
            </w:r>
          </w:p>
        </w:tc>
        <w:tc>
          <w:tcPr>
            <w:tcW w:type="dxa" w:w="2160"/>
            <w:shd w:val="clear" w:color="auto" w:fill="DCEBFA"/>
          </w:tcPr>
          <w:p>
            <w:r>
              <w:rPr>
                <w:b/>
              </w:rPr>
              <w:t>Registered (Y)</w:t>
            </w:r>
          </w:p>
        </w:tc>
      </w:tr>
      <w:tr>
        <w:tc>
          <w:tcPr>
            <w:tcW w:type="dxa" w:w="2160"/>
          </w:tcPr>
          <w:p>
            <w:r>
              <w:t>January 2026</w:t>
            </w:r>
          </w:p>
        </w:tc>
        <w:tc>
          <w:tcPr>
            <w:tcW w:type="dxa" w:w="2160"/>
          </w:tcPr>
          <w:p>
            <w:r>
              <w:t>113,747</w:t>
            </w:r>
          </w:p>
        </w:tc>
        <w:tc>
          <w:tcPr>
            <w:tcW w:type="dxa" w:w="2160"/>
          </w:tcPr>
          <w:p>
            <w:r>
              <w:t>57,008</w:t>
            </w:r>
          </w:p>
        </w:tc>
        <w:tc>
          <w:tcPr>
            <w:tcW w:type="dxa" w:w="2160"/>
          </w:tcPr>
          <w:p>
            <w:r>
              <w:t>56,739</w:t>
            </w:r>
          </w:p>
        </w:tc>
      </w:tr>
      <w:tr>
        <w:tc>
          <w:tcPr>
            <w:tcW w:type="dxa" w:w="2160"/>
          </w:tcPr>
          <w:p>
            <w:r>
              <w:t>February 2026</w:t>
            </w:r>
          </w:p>
        </w:tc>
        <w:tc>
          <w:tcPr>
            <w:tcW w:type="dxa" w:w="2160"/>
          </w:tcPr>
          <w:p>
            <w:r>
              <w:t>102,874</w:t>
            </w:r>
          </w:p>
        </w:tc>
        <w:tc>
          <w:tcPr>
            <w:tcW w:type="dxa" w:w="2160"/>
          </w:tcPr>
          <w:p>
            <w:r>
              <w:t>51,666</w:t>
            </w:r>
          </w:p>
        </w:tc>
        <w:tc>
          <w:tcPr>
            <w:tcW w:type="dxa" w:w="2160"/>
          </w:tcPr>
          <w:p>
            <w:r>
              <w:t>51,208</w:t>
            </w:r>
          </w:p>
        </w:tc>
      </w:tr>
      <w:tr>
        <w:tc>
          <w:tcPr>
            <w:tcW w:type="dxa" w:w="2160"/>
          </w:tcPr>
          <w:p>
            <w:r>
              <w:t>March 2026</w:t>
            </w:r>
          </w:p>
        </w:tc>
        <w:tc>
          <w:tcPr>
            <w:tcW w:type="dxa" w:w="2160"/>
          </w:tcPr>
          <w:p>
            <w:r>
              <w:t>112,950</w:t>
            </w:r>
          </w:p>
        </w:tc>
        <w:tc>
          <w:tcPr>
            <w:tcW w:type="dxa" w:w="2160"/>
          </w:tcPr>
          <w:p>
            <w:r>
              <w:t>56,657</w:t>
            </w:r>
          </w:p>
        </w:tc>
        <w:tc>
          <w:tcPr>
            <w:tcW w:type="dxa" w:w="2160"/>
          </w:tcPr>
          <w:p>
            <w:r>
              <w:t>56,293</w:t>
            </w:r>
          </w:p>
        </w:tc>
      </w:tr>
      <w:tr>
        <w:tc>
          <w:tcPr>
            <w:tcW w:type="dxa" w:w="2160"/>
          </w:tcPr>
          <w:p>
            <w:r>
              <w:t>April 2026</w:t>
            </w:r>
          </w:p>
        </w:tc>
        <w:tc>
          <w:tcPr>
            <w:tcW w:type="dxa" w:w="2160"/>
          </w:tcPr>
          <w:p>
            <w:r>
              <w:t>110,131</w:t>
            </w:r>
          </w:p>
        </w:tc>
        <w:tc>
          <w:tcPr>
            <w:tcW w:type="dxa" w:w="2160"/>
          </w:tcPr>
          <w:p>
            <w:r>
              <w:t>55,101</w:t>
            </w:r>
          </w:p>
        </w:tc>
        <w:tc>
          <w:tcPr>
            <w:tcW w:type="dxa" w:w="2160"/>
          </w:tcPr>
          <w:p>
            <w:r>
              <w:t>55,030</w:t>
            </w:r>
          </w:p>
        </w:tc>
      </w:tr>
      <w:tr>
        <w:tc>
          <w:tcPr>
            <w:tcW w:type="dxa" w:w="2160"/>
          </w:tcPr>
          <w:p>
            <w:r>
              <w:t>May 2026</w:t>
            </w:r>
          </w:p>
        </w:tc>
        <w:tc>
          <w:tcPr>
            <w:tcW w:type="dxa" w:w="2160"/>
          </w:tcPr>
          <w:p>
            <w:r>
              <w:t>113,816</w:t>
            </w:r>
          </w:p>
        </w:tc>
        <w:tc>
          <w:tcPr>
            <w:tcW w:type="dxa" w:w="2160"/>
          </w:tcPr>
          <w:p>
            <w:r>
              <w:t>56,843</w:t>
            </w:r>
          </w:p>
        </w:tc>
        <w:tc>
          <w:tcPr>
            <w:tcW w:type="dxa" w:w="2160"/>
          </w:tcPr>
          <w:p>
            <w:r>
              <w:t>56,973</w:t>
            </w:r>
          </w:p>
        </w:tc>
      </w:tr>
      <w:tr>
        <w:tc>
          <w:tcPr>
            <w:tcW w:type="dxa" w:w="2160"/>
          </w:tcPr>
          <w:p>
            <w:r>
              <w:t>June 2026</w:t>
            </w:r>
          </w:p>
        </w:tc>
        <w:tc>
          <w:tcPr>
            <w:tcW w:type="dxa" w:w="2160"/>
          </w:tcPr>
          <w:p>
            <w:r>
              <w:t>110,112</w:t>
            </w:r>
          </w:p>
        </w:tc>
        <w:tc>
          <w:tcPr>
            <w:tcW w:type="dxa" w:w="2160"/>
          </w:tcPr>
          <w:p>
            <w:r>
              <w:t>55,034</w:t>
            </w:r>
          </w:p>
        </w:tc>
        <w:tc>
          <w:tcPr>
            <w:tcW w:type="dxa" w:w="2160"/>
          </w:tcPr>
          <w:p>
            <w:r>
              <w:t>55,078</w:t>
            </w:r>
          </w:p>
        </w:tc>
      </w:tr>
      <w:tr>
        <w:tc>
          <w:tcPr>
            <w:tcW w:type="dxa" w:w="2160"/>
          </w:tcPr>
          <w:p>
            <w:r>
              <w:t>July 2026</w:t>
            </w:r>
          </w:p>
        </w:tc>
        <w:tc>
          <w:tcPr>
            <w:tcW w:type="dxa" w:w="2160"/>
          </w:tcPr>
          <w:p>
            <w:r>
              <w:t>113,649</w:t>
            </w:r>
          </w:p>
        </w:tc>
        <w:tc>
          <w:tcPr>
            <w:tcW w:type="dxa" w:w="2160"/>
          </w:tcPr>
          <w:p>
            <w:r>
              <w:t>56,619</w:t>
            </w:r>
          </w:p>
        </w:tc>
        <w:tc>
          <w:tcPr>
            <w:tcW w:type="dxa" w:w="2160"/>
          </w:tcPr>
          <w:p>
            <w:r>
              <w:t>57,030</w:t>
            </w:r>
          </w:p>
        </w:tc>
      </w:tr>
      <w:tr>
        <w:tc>
          <w:tcPr>
            <w:tcW w:type="dxa" w:w="2160"/>
          </w:tcPr>
          <w:p>
            <w:r>
              <w:t>August 2026</w:t>
            </w:r>
          </w:p>
        </w:tc>
        <w:tc>
          <w:tcPr>
            <w:tcW w:type="dxa" w:w="2160"/>
          </w:tcPr>
          <w:p>
            <w:r>
              <w:t>113,047</w:t>
            </w:r>
          </w:p>
        </w:tc>
        <w:tc>
          <w:tcPr>
            <w:tcW w:type="dxa" w:w="2160"/>
          </w:tcPr>
          <w:p>
            <w:r>
              <w:t>56,342</w:t>
            </w:r>
          </w:p>
        </w:tc>
        <w:tc>
          <w:tcPr>
            <w:tcW w:type="dxa" w:w="2160"/>
          </w:tcPr>
          <w:p>
            <w:r>
              <w:t>56,705</w:t>
            </w:r>
          </w:p>
        </w:tc>
      </w:tr>
      <w:tr>
        <w:tc>
          <w:tcPr>
            <w:tcW w:type="dxa" w:w="2160"/>
          </w:tcPr>
          <w:p>
            <w:r>
              <w:t>September 2026</w:t>
            </w:r>
          </w:p>
        </w:tc>
        <w:tc>
          <w:tcPr>
            <w:tcW w:type="dxa" w:w="2160"/>
          </w:tcPr>
          <w:p>
            <w:r>
              <w:t>109,674</w:t>
            </w:r>
          </w:p>
        </w:tc>
        <w:tc>
          <w:tcPr>
            <w:tcW w:type="dxa" w:w="2160"/>
          </w:tcPr>
          <w:p>
            <w:r>
              <w:t>55,115</w:t>
            </w:r>
          </w:p>
        </w:tc>
        <w:tc>
          <w:tcPr>
            <w:tcW w:type="dxa" w:w="2160"/>
          </w:tcPr>
          <w:p>
            <w:r>
              <w:t>54,559</w:t>
            </w:r>
          </w:p>
        </w:tc>
      </w:tr>
    </w:tbl>
    <w:p/>
    <w:p>
      <w:r>
        <w:t>Registration is steady across the period, at roughly 110,000 to 114,000 records a month, with February the lowest because it is the shortest month. Each month has about 50 percent of records still not registered, which is the pool outreach targets.</w:t>
      </w:r>
    </w:p>
    <w:p>
      <w:pPr>
        <w:pStyle w:val="Heading1"/>
      </w:pPr>
      <w:r>
        <w:rPr>
          <w:color w:val="1F4E79"/>
        </w:rPr>
        <w:t>Anyone can run reports</w:t>
      </w:r>
    </w:p>
    <w:p>
      <w:r>
        <w:t>Reporting is open to anyone who can reach the tool. There is no login, which keeps setup simple: a marketer, analyst or manager can open the tool, choose a month or day, and download a report without asking IT for access. This makes registration data available across the team and removes a common bottleneck.</w:t>
      </w:r>
    </w:p>
    <w:p>
      <w:r>
        <w:t>Because there is no login, the decision to keep access open carries a responsibility. SSNs are masked on screen and in downloads so that only the last four digits are visible, and the tool does not replace the security controls needed for production use of real member data. Before the tool is used with real members, the business should confirm who may access it and whether a login or role-based access is needed.</w:t>
      </w:r>
    </w:p>
    <w:p>
      <w:pPr>
        <w:pStyle w:val="Heading1"/>
      </w:pPr>
      <w:r>
        <w:rPr>
          <w:color w:val="1F4E79"/>
        </w:rPr>
        <w:t>Outreach today and next steps</w:t>
      </w:r>
    </w:p>
    <w:p>
      <w:r>
        <w:t>Outreach emails are currently simulated: each send is recorded in a log file, and no email is delivered. Connecting the tool to a real mail service, such as SMTP or SendGrid, is the next step needed before the marketing team can use it to drive registrations at scale.</w:t>
      </w:r>
    </w:p>
    <w:p>
      <w:pPr>
        <w:pStyle w:val="ListNumber"/>
      </w:pPr>
      <w:r>
        <w:t>Connect outreach to a real mail provider and confirm the sending domain and consent rules.</w:t>
      </w:r>
    </w:p>
    <w:p>
      <w:pPr>
        <w:pStyle w:val="ListNumber"/>
      </w:pPr>
      <w:r>
        <w:t>Confirm access control for reporting, including whether a login is required before real member data is loaded.</w:t>
      </w:r>
    </w:p>
    <w:p>
      <w:pPr>
        <w:pStyle w:val="ListNumber"/>
      </w:pPr>
      <w:r>
        <w:t>Replace the synthetic dataset with the approved member data source.</w:t>
      </w:r>
    </w:p>
    <w:p>
      <w:pPr>
        <w:pStyle w:val="Heading1"/>
      </w:pPr>
      <w:r>
        <w:rPr>
          <w:color w:val="1F4E79"/>
        </w:rPr>
        <w:t>Summary</w:t>
      </w:r>
    </w:p>
    <w:p>
      <w:r>
        <w:t>The Member Registration Tracker gives marketing one place to see registrations month over month, act on the members who have not registered, and report results to anyone who needs them. Its value depends on connecting real email delivery and setting clear access rules before it handles live member data.</w:t>
      </w:r>
    </w:p>
    <w:sectPr w:rsidR="00FC693F" w:rsidRPr="0006063C" w:rsidSect="00034616">
      <w:pgSz w:w="12240" w:h="15840"/>
      <w:pgMar w:top="1440" w:right="1200" w:bottom="14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