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Century" w:cs="Century" w:eastAsia="Century" w:hAnsi="Century"/>
          <w:b w:val="1"/>
          <w:bCs w:val="1"/>
          <w:sz w:val="28"/>
          <w:szCs w:val="28"/>
        </w:rPr>
      </w:pPr>
      <w:bookmarkStart w:colFirst="0" w:colLast="0" w:name="_jwkf1i8g20gc" w:id="0"/>
      <w:bookmarkEnd w:id="0"/>
      <w:r w:rsidDel="00000000" w:rsidR="00000000" w:rsidRPr="00000000">
        <w:rPr>
          <w:rFonts w:ascii="Century" w:cs="Century" w:eastAsia="Century" w:hAnsi="Century"/>
          <w:b w:val="1"/>
          <w:bCs w:val="1"/>
          <w:sz w:val="28"/>
          <w:szCs w:val="28"/>
          <w:rtl w:val="0"/>
        </w:rPr>
        <w:t xml:space="preserve">Part A – Template Comparison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entury" w:cs="Century" w:eastAsia="Century" w:hAnsi="Century"/>
          <w:sz w:val="24"/>
          <w:szCs w:val="24"/>
        </w:rPr>
      </w:pP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For this assignment, I reviewed the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IC Project Plan &amp; Scope Example Template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 as an external reference and compared it with the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ASU Project Scope Template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 provided in class.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entury" w:cs="Century" w:eastAsia="Century" w:hAnsi="Century"/>
          <w:sz w:val="24"/>
          <w:szCs w:val="24"/>
        </w:rPr>
      </w:pP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IC template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 takes a broader, more corporate approach. It combines both project planning and scope definition elements into one document, including detailed sections for deliverables, objectives, risks, change control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 procedures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governance structure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. These additional fields make it particularly useful for larger organizations that require integrated risk tracking and visibility into decision-making.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entury" w:cs="Century" w:eastAsia="Century" w:hAnsi="Century"/>
          <w:sz w:val="24"/>
          <w:szCs w:val="24"/>
        </w:rPr>
      </w:pP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In contrast, the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ASU template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 focuses specifically on defining the project scope and maintaining clarity for academic or smaller-scale projects. It contains concise areas for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in-scope/out-of-scope items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success criteria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assumptions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constraints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, and a well-structured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roles and responsibilities table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. It also provides an </w:t>
      </w:r>
      <w:r w:rsidDel="00000000" w:rsidR="00000000" w:rsidRPr="00000000">
        <w:rPr>
          <w:rFonts w:ascii="Century" w:cs="Century" w:eastAsia="Century" w:hAnsi="Century"/>
          <w:b w:val="1"/>
          <w:bCs w:val="1"/>
          <w:sz w:val="24"/>
          <w:szCs w:val="24"/>
          <w:rtl w:val="0"/>
        </w:rPr>
        <w:t xml:space="preserve">Approach</w:t>
      </w: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 section that emphasizes meeting cadence and status reporting; features often omitted in professional templates but ideal for coursework and student project coordination.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entury" w:cs="Century" w:eastAsia="Century" w:hAnsi="Century"/>
          <w:sz w:val="24"/>
          <w:szCs w:val="24"/>
        </w:rPr>
      </w:pPr>
      <w:r w:rsidDel="00000000" w:rsidR="00000000" w:rsidRPr="00000000">
        <w:rPr>
          <w:rFonts w:ascii="Century" w:cs="Century" w:eastAsia="Century" w:hAnsi="Century"/>
          <w:sz w:val="24"/>
          <w:szCs w:val="24"/>
          <w:rtl w:val="0"/>
        </w:rPr>
        <w:t xml:space="preserve">Overall, the IC template is more comprehensive and professional for enterprise use, while the ASU template is simpler, more instructional, and better aligned with educational project management needs.</w:t>
      </w:r>
    </w:p>
    <w:p w:rsidR="00000000" w:rsidDel="00000000" w:rsidP="00000000" w:rsidRDefault="00000000" w:rsidRPr="00000000" w14:paraId="00000006">
      <w:pPr>
        <w:rPr>
          <w:rFonts w:ascii="Century" w:cs="Century" w:eastAsia="Century" w:hAnsi="Century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