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Century" w:cs="Century" w:eastAsia="Century" w:hAnsi="Century"/>
          <w:b w:val="1"/>
          <w:sz w:val="34"/>
          <w:szCs w:val="34"/>
        </w:rPr>
      </w:pPr>
      <w:bookmarkStart w:colFirst="0" w:colLast="0" w:name="_uhnpu8y8eqf0" w:id="0"/>
      <w:bookmarkEnd w:id="0"/>
      <w:r w:rsidDel="00000000" w:rsidR="00000000" w:rsidRPr="00000000">
        <w:rPr>
          <w:rFonts w:ascii="Century" w:cs="Century" w:eastAsia="Century" w:hAnsi="Century"/>
          <w:b w:val="1"/>
          <w:sz w:val="34"/>
          <w:szCs w:val="34"/>
          <w:rtl w:val="0"/>
        </w:rPr>
        <w:t xml:space="preserve">Module1Activity2 – Interaction Design</w:t>
      </w:r>
    </w:p>
    <w:p w:rsidR="00000000" w:rsidDel="00000000" w:rsidP="00000000" w:rsidRDefault="00000000" w:rsidRPr="00000000" w14:paraId="00000002">
      <w:pPr>
        <w:pStyle w:val="Heading3"/>
        <w:keepNext w:val="0"/>
        <w:keepLines w:val="0"/>
        <w:spacing w:before="280" w:lineRule="auto"/>
        <w:rPr>
          <w:rFonts w:ascii="Century" w:cs="Century" w:eastAsia="Century" w:hAnsi="Century"/>
          <w:b w:val="1"/>
          <w:color w:val="000000"/>
          <w:sz w:val="26"/>
          <w:szCs w:val="26"/>
        </w:rPr>
      </w:pPr>
      <w:bookmarkStart w:colFirst="0" w:colLast="0" w:name="_da0ci7pd7ivx" w:id="1"/>
      <w:bookmarkEnd w:id="1"/>
      <w:r w:rsidDel="00000000" w:rsidR="00000000" w:rsidRPr="00000000">
        <w:rPr>
          <w:rFonts w:ascii="Century" w:cs="Century" w:eastAsia="Century" w:hAnsi="Century"/>
          <w:b w:val="1"/>
          <w:color w:val="000000"/>
          <w:sz w:val="26"/>
          <w:szCs w:val="26"/>
          <w:rtl w:val="0"/>
        </w:rPr>
        <w:t xml:space="preserve">1. Hub Task Flow — Nike.com</w:t>
      </w:r>
    </w:p>
    <w:p w:rsidR="00000000" w:rsidDel="00000000" w:rsidP="00000000" w:rsidRDefault="00000000" w:rsidRPr="00000000" w14:paraId="00000003">
      <w:pPr>
        <w:spacing w:after="240" w:before="240" w:lineRule="auto"/>
        <w:rPr>
          <w:rFonts w:ascii="Century" w:cs="Century" w:eastAsia="Century" w:hAnsi="Century"/>
        </w:rPr>
      </w:pPr>
      <w:r w:rsidDel="00000000" w:rsidR="00000000" w:rsidRPr="00000000">
        <w:rPr>
          <w:rFonts w:ascii="Century" w:cs="Century" w:eastAsia="Century" w:hAnsi="Century"/>
          <w:b w:val="1"/>
          <w:rtl w:val="0"/>
        </w:rPr>
        <w:t xml:space="preserve">1. URL &amp; Screens:</w:t>
        <w:br w:type="textWrapping"/>
      </w:r>
      <w:hyperlink r:id="rId6">
        <w:r w:rsidDel="00000000" w:rsidR="00000000" w:rsidRPr="00000000">
          <w:rPr>
            <w:rFonts w:ascii="Century" w:cs="Century" w:eastAsia="Century" w:hAnsi="Century"/>
            <w:rtl w:val="0"/>
          </w:rPr>
          <w:t xml:space="preserve"> </w:t>
        </w:r>
      </w:hyperlink>
      <w:hyperlink r:id="rId7">
        <w:r w:rsidDel="00000000" w:rsidR="00000000" w:rsidRPr="00000000">
          <w:rPr>
            <w:rFonts w:ascii="Century" w:cs="Century" w:eastAsia="Century" w:hAnsi="Century"/>
            <w:color w:val="1155cc"/>
            <w:u w:val="single"/>
            <w:rtl w:val="0"/>
          </w:rPr>
          <w:t xml:space="preserve">https://www.nike.com</w:t>
          <w:br w:type="textWrapping"/>
        </w:r>
      </w:hyperlink>
      <w:r w:rsidDel="00000000" w:rsidR="00000000" w:rsidRPr="00000000">
        <w:rPr>
          <w:rFonts w:ascii="Century" w:cs="Century" w:eastAsia="Century" w:hAnsi="Century"/>
          <w:rtl w:val="0"/>
        </w:rPr>
        <w:t xml:space="preserve"> Approx. 3–5 screens depending on product categories explored.</w:t>
      </w:r>
    </w:p>
    <w:p w:rsidR="00000000" w:rsidDel="00000000" w:rsidP="00000000" w:rsidRDefault="00000000" w:rsidRPr="00000000" w14:paraId="00000004">
      <w:pPr>
        <w:spacing w:after="240" w:before="240" w:lineRule="auto"/>
        <w:rPr>
          <w:rFonts w:ascii="Century" w:cs="Century" w:eastAsia="Century" w:hAnsi="Century"/>
        </w:rPr>
      </w:pPr>
      <w:r w:rsidDel="00000000" w:rsidR="00000000" w:rsidRPr="00000000">
        <w:rPr>
          <w:rFonts w:ascii="Century" w:cs="Century" w:eastAsia="Century" w:hAnsi="Century"/>
          <w:b w:val="1"/>
          <w:rtl w:val="0"/>
        </w:rPr>
        <w:t xml:space="preserve">2. Pattern Description:</w:t>
        <w:br w:type="textWrapping"/>
      </w:r>
      <w:r w:rsidDel="00000000" w:rsidR="00000000" w:rsidRPr="00000000">
        <w:rPr>
          <w:rFonts w:ascii="Century" w:cs="Century" w:eastAsia="Century" w:hAnsi="Century"/>
          <w:rtl w:val="0"/>
        </w:rPr>
        <w:t xml:space="preserve"> Nike uses a </w:t>
      </w:r>
      <w:r w:rsidDel="00000000" w:rsidR="00000000" w:rsidRPr="00000000">
        <w:rPr>
          <w:rFonts w:ascii="Century" w:cs="Century" w:eastAsia="Century" w:hAnsi="Century"/>
          <w:b w:val="1"/>
          <w:rtl w:val="0"/>
        </w:rPr>
        <w:t xml:space="preserve">hub task flow</w:t>
      </w:r>
      <w:r w:rsidDel="00000000" w:rsidR="00000000" w:rsidRPr="00000000">
        <w:rPr>
          <w:rFonts w:ascii="Century" w:cs="Century" w:eastAsia="Century" w:hAnsi="Century"/>
          <w:rtl w:val="0"/>
        </w:rPr>
        <w:t xml:space="preserve">, where the homepage acts as a central hub. Users select a category (e.g., Men, Women, Kids), then view product lists and details before returning to the homepage or menu to explore further.</w:t>
      </w:r>
    </w:p>
    <w:p w:rsidR="00000000" w:rsidDel="00000000" w:rsidP="00000000" w:rsidRDefault="00000000" w:rsidRPr="00000000" w14:paraId="00000005">
      <w:pPr>
        <w:spacing w:after="240" w:before="240" w:lineRule="auto"/>
        <w:rPr>
          <w:rFonts w:ascii="Century" w:cs="Century" w:eastAsia="Century" w:hAnsi="Century"/>
        </w:rPr>
      </w:pPr>
      <w:r w:rsidDel="00000000" w:rsidR="00000000" w:rsidRPr="00000000">
        <w:rPr>
          <w:rFonts w:ascii="Century" w:cs="Century" w:eastAsia="Century" w:hAnsi="Century"/>
          <w:b w:val="1"/>
          <w:rtl w:val="0"/>
        </w:rPr>
        <w:t xml:space="preserve">3. User Goal(s):</w:t>
        <w:br w:type="textWrapping"/>
      </w:r>
      <w:r w:rsidDel="00000000" w:rsidR="00000000" w:rsidRPr="00000000">
        <w:rPr>
          <w:rFonts w:ascii="Century" w:cs="Century" w:eastAsia="Century" w:hAnsi="Century"/>
          <w:rtl w:val="0"/>
        </w:rPr>
        <w:t xml:space="preserve"> To browse and purchase products by navigating between categories and product pages.</w:t>
      </w:r>
    </w:p>
    <w:p w:rsidR="00000000" w:rsidDel="00000000" w:rsidP="00000000" w:rsidRDefault="00000000" w:rsidRPr="00000000" w14:paraId="00000006">
      <w:pPr>
        <w:spacing w:after="240" w:before="240" w:lineRule="auto"/>
        <w:rPr>
          <w:rFonts w:ascii="Century" w:cs="Century" w:eastAsia="Century" w:hAnsi="Century"/>
        </w:rPr>
      </w:pPr>
      <w:r w:rsidDel="00000000" w:rsidR="00000000" w:rsidRPr="00000000">
        <w:rPr>
          <w:rFonts w:ascii="Century" w:cs="Century" w:eastAsia="Century" w:hAnsi="Century"/>
          <w:b w:val="1"/>
          <w:rtl w:val="0"/>
        </w:rPr>
        <w:t xml:space="preserve">4. Critical Analysis:</w:t>
        <w:br w:type="textWrapping"/>
      </w:r>
      <w:r w:rsidDel="00000000" w:rsidR="00000000" w:rsidRPr="00000000">
        <w:rPr>
          <w:rFonts w:ascii="Century" w:cs="Century" w:eastAsia="Century" w:hAnsi="Century"/>
          <w:rtl w:val="0"/>
        </w:rPr>
        <w:t xml:space="preserve"> This flow is appropriate for an e-commerce site because it allows flexible exploration and comparison of items without forcing a linear path. However, the large number of menu items can make the homepage visually overwhelming for new users.</w:t>
      </w:r>
    </w:p>
    <w:p w:rsidR="00000000" w:rsidDel="00000000" w:rsidP="00000000" w:rsidRDefault="00000000" w:rsidRPr="00000000" w14:paraId="00000007">
      <w:pPr>
        <w:spacing w:after="240" w:before="240" w:lineRule="auto"/>
        <w:rPr>
          <w:rFonts w:ascii="Century" w:cs="Century" w:eastAsia="Century" w:hAnsi="Century"/>
        </w:rPr>
      </w:pPr>
      <w:r w:rsidDel="00000000" w:rsidR="00000000" w:rsidRPr="00000000">
        <w:rPr>
          <w:rFonts w:ascii="Century" w:cs="Century" w:eastAsia="Century" w:hAnsi="Century"/>
          <w:b w:val="1"/>
          <w:rtl w:val="0"/>
        </w:rPr>
        <w:t xml:space="preserve">5. Suggested Improvements:</w:t>
        <w:br w:type="textWrapping"/>
      </w:r>
      <w:r w:rsidDel="00000000" w:rsidR="00000000" w:rsidRPr="00000000">
        <w:rPr>
          <w:rFonts w:ascii="Century" w:cs="Century" w:eastAsia="Century" w:hAnsi="Century"/>
          <w:rtl w:val="0"/>
        </w:rPr>
        <w:t xml:space="preserve"> Improve the clarity of the top navigation bar by reducing dropdown clutter or grouping similar items together for a cleaner hub experience.</w:t>
      </w:r>
    </w:p>
    <w:p w:rsidR="00000000" w:rsidDel="00000000" w:rsidP="00000000" w:rsidRDefault="00000000" w:rsidRPr="00000000" w14:paraId="00000008">
      <w:pPr>
        <w:rPr>
          <w:rFonts w:ascii="Century" w:cs="Century" w:eastAsia="Century" w:hAnsi="Century"/>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rFonts w:ascii="Century" w:cs="Century" w:eastAsia="Century" w:hAnsi="Century"/>
          <w:b w:val="1"/>
          <w:color w:val="000000"/>
          <w:sz w:val="26"/>
          <w:szCs w:val="26"/>
        </w:rPr>
      </w:pPr>
      <w:bookmarkStart w:colFirst="0" w:colLast="0" w:name="_ca5h8s957aax" w:id="2"/>
      <w:bookmarkEnd w:id="2"/>
      <w:r w:rsidDel="00000000" w:rsidR="00000000" w:rsidRPr="00000000">
        <w:rPr>
          <w:rFonts w:ascii="Century" w:cs="Century" w:eastAsia="Century" w:hAnsi="Century"/>
          <w:b w:val="1"/>
          <w:color w:val="000000"/>
          <w:sz w:val="26"/>
          <w:szCs w:val="26"/>
          <w:rtl w:val="0"/>
        </w:rPr>
        <w:t xml:space="preserve"> 2. Wizard or Guide Task Flow — TurboTax</w:t>
      </w:r>
    </w:p>
    <w:p w:rsidR="00000000" w:rsidDel="00000000" w:rsidP="00000000" w:rsidRDefault="00000000" w:rsidRPr="00000000" w14:paraId="0000000A">
      <w:pPr>
        <w:spacing w:after="240" w:before="240" w:lineRule="auto"/>
        <w:rPr>
          <w:rFonts w:ascii="Century" w:cs="Century" w:eastAsia="Century" w:hAnsi="Century"/>
        </w:rPr>
      </w:pPr>
      <w:r w:rsidDel="00000000" w:rsidR="00000000" w:rsidRPr="00000000">
        <w:rPr>
          <w:rFonts w:ascii="Century" w:cs="Century" w:eastAsia="Century" w:hAnsi="Century"/>
          <w:b w:val="1"/>
          <w:rtl w:val="0"/>
        </w:rPr>
        <w:t xml:space="preserve">1. URL &amp; Screens:</w:t>
        <w:br w:type="textWrapping"/>
      </w:r>
      <w:hyperlink r:id="rId8">
        <w:r w:rsidDel="00000000" w:rsidR="00000000" w:rsidRPr="00000000">
          <w:rPr>
            <w:rFonts w:ascii="Century" w:cs="Century" w:eastAsia="Century" w:hAnsi="Century"/>
            <w:rtl w:val="0"/>
          </w:rPr>
          <w:t xml:space="preserve"> </w:t>
        </w:r>
      </w:hyperlink>
      <w:hyperlink r:id="rId9">
        <w:r w:rsidDel="00000000" w:rsidR="00000000" w:rsidRPr="00000000">
          <w:rPr>
            <w:rFonts w:ascii="Century" w:cs="Century" w:eastAsia="Century" w:hAnsi="Century"/>
            <w:color w:val="1155cc"/>
            <w:u w:val="single"/>
            <w:rtl w:val="0"/>
          </w:rPr>
          <w:t xml:space="preserve">https://turbotax.intuit.com</w:t>
          <w:br w:type="textWrapping"/>
        </w:r>
      </w:hyperlink>
      <w:r w:rsidDel="00000000" w:rsidR="00000000" w:rsidRPr="00000000">
        <w:rPr>
          <w:rFonts w:ascii="Century" w:cs="Century" w:eastAsia="Century" w:hAnsi="Century"/>
          <w:rtl w:val="0"/>
        </w:rPr>
        <w:t xml:space="preserve"> Roughly 10–15 screens, depending on complexity of return.</w:t>
      </w:r>
    </w:p>
    <w:p w:rsidR="00000000" w:rsidDel="00000000" w:rsidP="00000000" w:rsidRDefault="00000000" w:rsidRPr="00000000" w14:paraId="0000000B">
      <w:pPr>
        <w:spacing w:after="240" w:before="240" w:lineRule="auto"/>
        <w:rPr>
          <w:rFonts w:ascii="Century" w:cs="Century" w:eastAsia="Century" w:hAnsi="Century"/>
        </w:rPr>
      </w:pPr>
      <w:r w:rsidDel="00000000" w:rsidR="00000000" w:rsidRPr="00000000">
        <w:rPr>
          <w:rFonts w:ascii="Century" w:cs="Century" w:eastAsia="Century" w:hAnsi="Century"/>
          <w:b w:val="1"/>
          <w:rtl w:val="0"/>
        </w:rPr>
        <w:t xml:space="preserve">2. Pattern Description:</w:t>
        <w:br w:type="textWrapping"/>
      </w:r>
      <w:r w:rsidDel="00000000" w:rsidR="00000000" w:rsidRPr="00000000">
        <w:rPr>
          <w:rFonts w:ascii="Century" w:cs="Century" w:eastAsia="Century" w:hAnsi="Century"/>
          <w:rtl w:val="0"/>
        </w:rPr>
        <w:t xml:space="preserve"> TurboTax uses a </w:t>
      </w:r>
      <w:r w:rsidDel="00000000" w:rsidR="00000000" w:rsidRPr="00000000">
        <w:rPr>
          <w:rFonts w:ascii="Century" w:cs="Century" w:eastAsia="Century" w:hAnsi="Century"/>
          <w:b w:val="1"/>
          <w:rtl w:val="0"/>
        </w:rPr>
        <w:t xml:space="preserve">wizard task flow</w:t>
      </w:r>
      <w:r w:rsidDel="00000000" w:rsidR="00000000" w:rsidRPr="00000000">
        <w:rPr>
          <w:rFonts w:ascii="Century" w:cs="Century" w:eastAsia="Century" w:hAnsi="Century"/>
          <w:rtl w:val="0"/>
        </w:rPr>
        <w:t xml:space="preserve"> to guide users through filing their tax returns. The process is broken into linear steps: personal info → income → deductions → tax summary → e-file. Navigation is controlled, and users proceed one step at a time.</w:t>
      </w:r>
    </w:p>
    <w:p w:rsidR="00000000" w:rsidDel="00000000" w:rsidP="00000000" w:rsidRDefault="00000000" w:rsidRPr="00000000" w14:paraId="0000000C">
      <w:pPr>
        <w:spacing w:after="240" w:before="240" w:lineRule="auto"/>
        <w:rPr>
          <w:rFonts w:ascii="Century" w:cs="Century" w:eastAsia="Century" w:hAnsi="Century"/>
        </w:rPr>
      </w:pPr>
      <w:r w:rsidDel="00000000" w:rsidR="00000000" w:rsidRPr="00000000">
        <w:rPr>
          <w:rFonts w:ascii="Century" w:cs="Century" w:eastAsia="Century" w:hAnsi="Century"/>
          <w:b w:val="1"/>
          <w:rtl w:val="0"/>
        </w:rPr>
        <w:t xml:space="preserve">3. User Goal(s):</w:t>
        <w:br w:type="textWrapping"/>
      </w:r>
      <w:r w:rsidDel="00000000" w:rsidR="00000000" w:rsidRPr="00000000">
        <w:rPr>
          <w:rFonts w:ascii="Century" w:cs="Century" w:eastAsia="Century" w:hAnsi="Century"/>
          <w:rtl w:val="0"/>
        </w:rPr>
        <w:t xml:space="preserve"> To successfully complete and file a tax return by entering all necessary information correctly and in order.</w:t>
      </w:r>
    </w:p>
    <w:p w:rsidR="00000000" w:rsidDel="00000000" w:rsidP="00000000" w:rsidRDefault="00000000" w:rsidRPr="00000000" w14:paraId="0000000D">
      <w:pPr>
        <w:spacing w:after="240" w:before="240" w:lineRule="auto"/>
        <w:rPr>
          <w:rFonts w:ascii="Century" w:cs="Century" w:eastAsia="Century" w:hAnsi="Century"/>
        </w:rPr>
      </w:pPr>
      <w:r w:rsidDel="00000000" w:rsidR="00000000" w:rsidRPr="00000000">
        <w:rPr>
          <w:rFonts w:ascii="Century" w:cs="Century" w:eastAsia="Century" w:hAnsi="Century"/>
          <w:b w:val="1"/>
          <w:rtl w:val="0"/>
        </w:rPr>
        <w:t xml:space="preserve">4. Critical Analysis:</w:t>
        <w:br w:type="textWrapping"/>
      </w:r>
      <w:r w:rsidDel="00000000" w:rsidR="00000000" w:rsidRPr="00000000">
        <w:rPr>
          <w:rFonts w:ascii="Century" w:cs="Century" w:eastAsia="Century" w:hAnsi="Century"/>
          <w:rtl w:val="0"/>
        </w:rPr>
        <w:t xml:space="preserve"> This flow is highly appropriate for the task, since taxes require structured, accurate data entry. The linear process ensures no steps are skipped. However, users with complex cases may find the pace slow or restrictive if they need to jump between sections.</w:t>
      </w:r>
    </w:p>
    <w:p w:rsidR="00000000" w:rsidDel="00000000" w:rsidP="00000000" w:rsidRDefault="00000000" w:rsidRPr="00000000" w14:paraId="0000000E">
      <w:pPr>
        <w:spacing w:after="240" w:before="240" w:lineRule="auto"/>
        <w:rPr>
          <w:rFonts w:ascii="Century" w:cs="Century" w:eastAsia="Century" w:hAnsi="Century"/>
        </w:rPr>
      </w:pPr>
      <w:r w:rsidDel="00000000" w:rsidR="00000000" w:rsidRPr="00000000">
        <w:rPr>
          <w:rFonts w:ascii="Century" w:cs="Century" w:eastAsia="Century" w:hAnsi="Century"/>
          <w:b w:val="1"/>
          <w:rtl w:val="0"/>
        </w:rPr>
        <w:t xml:space="preserve">5. Suggested Improvements:</w:t>
        <w:br w:type="textWrapping"/>
      </w:r>
      <w:r w:rsidDel="00000000" w:rsidR="00000000" w:rsidRPr="00000000">
        <w:rPr>
          <w:rFonts w:ascii="Century" w:cs="Century" w:eastAsia="Century" w:hAnsi="Century"/>
          <w:rtl w:val="0"/>
        </w:rPr>
        <w:t xml:space="preserve"> Allow an optional “expert mode” with a summary view for experienced users who want to jump between steps without losing progress.</w:t>
      </w:r>
    </w:p>
    <w:p w:rsidR="00000000" w:rsidDel="00000000" w:rsidP="00000000" w:rsidRDefault="00000000" w:rsidRPr="00000000" w14:paraId="0000000F">
      <w:pPr>
        <w:rPr>
          <w:rFonts w:ascii="Century" w:cs="Century" w:eastAsia="Century" w:hAnsi="Century"/>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rFonts w:ascii="Century" w:cs="Century" w:eastAsia="Century" w:hAnsi="Century"/>
          <w:b w:val="1"/>
          <w:color w:val="000000"/>
          <w:sz w:val="26"/>
          <w:szCs w:val="26"/>
        </w:rPr>
      </w:pPr>
      <w:bookmarkStart w:colFirst="0" w:colLast="0" w:name="_m45mt7hurs48" w:id="3"/>
      <w:bookmarkEnd w:id="3"/>
      <w:r w:rsidDel="00000000" w:rsidR="00000000" w:rsidRPr="00000000">
        <w:rPr>
          <w:rFonts w:ascii="Century" w:cs="Century" w:eastAsia="Century" w:hAnsi="Century"/>
          <w:b w:val="1"/>
          <w:color w:val="000000"/>
          <w:sz w:val="26"/>
          <w:szCs w:val="26"/>
          <w:rtl w:val="0"/>
        </w:rPr>
        <w:t xml:space="preserve">3. Progressive Disclosure — Apple Support</w:t>
      </w:r>
    </w:p>
    <w:p w:rsidR="00000000" w:rsidDel="00000000" w:rsidP="00000000" w:rsidRDefault="00000000" w:rsidRPr="00000000" w14:paraId="00000011">
      <w:pPr>
        <w:spacing w:after="240" w:before="240" w:lineRule="auto"/>
        <w:rPr>
          <w:rFonts w:ascii="Century" w:cs="Century" w:eastAsia="Century" w:hAnsi="Century"/>
        </w:rPr>
      </w:pPr>
      <w:r w:rsidDel="00000000" w:rsidR="00000000" w:rsidRPr="00000000">
        <w:rPr>
          <w:rFonts w:ascii="Century" w:cs="Century" w:eastAsia="Century" w:hAnsi="Century"/>
          <w:b w:val="1"/>
          <w:rtl w:val="0"/>
        </w:rPr>
        <w:t xml:space="preserve">1. URL &amp; Screens:</w:t>
        <w:br w:type="textWrapping"/>
      </w:r>
      <w:hyperlink r:id="rId10">
        <w:r w:rsidDel="00000000" w:rsidR="00000000" w:rsidRPr="00000000">
          <w:rPr>
            <w:rFonts w:ascii="Century" w:cs="Century" w:eastAsia="Century" w:hAnsi="Century"/>
            <w:rtl w:val="0"/>
          </w:rPr>
          <w:t xml:space="preserve"> </w:t>
        </w:r>
      </w:hyperlink>
      <w:hyperlink r:id="rId11">
        <w:r w:rsidDel="00000000" w:rsidR="00000000" w:rsidRPr="00000000">
          <w:rPr>
            <w:rFonts w:ascii="Century" w:cs="Century" w:eastAsia="Century" w:hAnsi="Century"/>
            <w:color w:val="1155cc"/>
            <w:u w:val="single"/>
            <w:rtl w:val="0"/>
          </w:rPr>
          <w:t xml:space="preserve">https://support.apple.com</w:t>
          <w:br w:type="textWrapping"/>
        </w:r>
      </w:hyperlink>
      <w:r w:rsidDel="00000000" w:rsidR="00000000" w:rsidRPr="00000000">
        <w:rPr>
          <w:rFonts w:ascii="Century" w:cs="Century" w:eastAsia="Century" w:hAnsi="Century"/>
          <w:rtl w:val="0"/>
        </w:rPr>
        <w:t xml:space="preserve"> Typically 3–6 screens, depending on the issue selected.</w:t>
      </w:r>
    </w:p>
    <w:p w:rsidR="00000000" w:rsidDel="00000000" w:rsidP="00000000" w:rsidRDefault="00000000" w:rsidRPr="00000000" w14:paraId="00000012">
      <w:pPr>
        <w:spacing w:after="240" w:before="240" w:lineRule="auto"/>
        <w:rPr>
          <w:rFonts w:ascii="Century" w:cs="Century" w:eastAsia="Century" w:hAnsi="Century"/>
        </w:rPr>
      </w:pPr>
      <w:r w:rsidDel="00000000" w:rsidR="00000000" w:rsidRPr="00000000">
        <w:rPr>
          <w:rFonts w:ascii="Century" w:cs="Century" w:eastAsia="Century" w:hAnsi="Century"/>
          <w:b w:val="1"/>
          <w:rtl w:val="0"/>
        </w:rPr>
        <w:t xml:space="preserve">2. Pattern Description:</w:t>
        <w:br w:type="textWrapping"/>
      </w:r>
      <w:r w:rsidDel="00000000" w:rsidR="00000000" w:rsidRPr="00000000">
        <w:rPr>
          <w:rFonts w:ascii="Century" w:cs="Century" w:eastAsia="Century" w:hAnsi="Century"/>
          <w:rtl w:val="0"/>
        </w:rPr>
        <w:t xml:space="preserve"> Apple uses </w:t>
      </w:r>
      <w:r w:rsidDel="00000000" w:rsidR="00000000" w:rsidRPr="00000000">
        <w:rPr>
          <w:rFonts w:ascii="Century" w:cs="Century" w:eastAsia="Century" w:hAnsi="Century"/>
          <w:b w:val="1"/>
          <w:rtl w:val="0"/>
        </w:rPr>
        <w:t xml:space="preserve">progressive disclosure</w:t>
      </w:r>
      <w:r w:rsidDel="00000000" w:rsidR="00000000" w:rsidRPr="00000000">
        <w:rPr>
          <w:rFonts w:ascii="Century" w:cs="Century" w:eastAsia="Century" w:hAnsi="Century"/>
          <w:rtl w:val="0"/>
        </w:rPr>
        <w:t xml:space="preserve"> to guide users through troubleshooting. The user first selects a product (e.g., iPhone), then chooses a category (e.g., Model, Pro/Pro Max), and only then sees relevant guides or contact options.</w:t>
      </w:r>
    </w:p>
    <w:p w:rsidR="00000000" w:rsidDel="00000000" w:rsidP="00000000" w:rsidRDefault="00000000" w:rsidRPr="00000000" w14:paraId="00000013">
      <w:pPr>
        <w:spacing w:after="240" w:before="240" w:lineRule="auto"/>
        <w:rPr>
          <w:rFonts w:ascii="Century" w:cs="Century" w:eastAsia="Century" w:hAnsi="Century"/>
        </w:rPr>
      </w:pPr>
      <w:r w:rsidDel="00000000" w:rsidR="00000000" w:rsidRPr="00000000">
        <w:rPr>
          <w:rFonts w:ascii="Century" w:cs="Century" w:eastAsia="Century" w:hAnsi="Century"/>
          <w:b w:val="1"/>
          <w:rtl w:val="0"/>
        </w:rPr>
        <w:t xml:space="preserve">3. User Goal(s):</w:t>
        <w:br w:type="textWrapping"/>
      </w:r>
      <w:r w:rsidDel="00000000" w:rsidR="00000000" w:rsidRPr="00000000">
        <w:rPr>
          <w:rFonts w:ascii="Century" w:cs="Century" w:eastAsia="Century" w:hAnsi="Century"/>
          <w:rtl w:val="0"/>
        </w:rPr>
        <w:t xml:space="preserve"> To find a solution to their technical issue with minimal confusion or wasted time.</w:t>
      </w:r>
    </w:p>
    <w:p w:rsidR="00000000" w:rsidDel="00000000" w:rsidP="00000000" w:rsidRDefault="00000000" w:rsidRPr="00000000" w14:paraId="00000014">
      <w:pPr>
        <w:spacing w:after="240" w:before="240" w:lineRule="auto"/>
        <w:rPr>
          <w:rFonts w:ascii="Century" w:cs="Century" w:eastAsia="Century" w:hAnsi="Century"/>
        </w:rPr>
      </w:pPr>
      <w:r w:rsidDel="00000000" w:rsidR="00000000" w:rsidRPr="00000000">
        <w:rPr>
          <w:rFonts w:ascii="Century" w:cs="Century" w:eastAsia="Century" w:hAnsi="Century"/>
          <w:b w:val="1"/>
          <w:rtl w:val="0"/>
        </w:rPr>
        <w:t xml:space="preserve">4. Critical Analysis:</w:t>
        <w:br w:type="textWrapping"/>
      </w:r>
      <w:r w:rsidDel="00000000" w:rsidR="00000000" w:rsidRPr="00000000">
        <w:rPr>
          <w:rFonts w:ascii="Century" w:cs="Century" w:eastAsia="Century" w:hAnsi="Century"/>
          <w:rtl w:val="0"/>
        </w:rPr>
        <w:t xml:space="preserve"> This flow is appropriate because it prevents the user from being overwhelmed by technical support details all at once. However, sometimes it takes multiple clicks to reach the actual fix, which can frustrate advanced users.</w:t>
      </w:r>
    </w:p>
    <w:p w:rsidR="00000000" w:rsidDel="00000000" w:rsidP="00000000" w:rsidRDefault="00000000" w:rsidRPr="00000000" w14:paraId="00000015">
      <w:pPr>
        <w:spacing w:after="240" w:before="240" w:lineRule="auto"/>
        <w:rPr>
          <w:rFonts w:ascii="Century" w:cs="Century" w:eastAsia="Century" w:hAnsi="Century"/>
        </w:rPr>
      </w:pPr>
      <w:r w:rsidDel="00000000" w:rsidR="00000000" w:rsidRPr="00000000">
        <w:rPr>
          <w:rFonts w:ascii="Century" w:cs="Century" w:eastAsia="Century" w:hAnsi="Century"/>
          <w:b w:val="1"/>
          <w:rtl w:val="0"/>
        </w:rPr>
        <w:t xml:space="preserve">5. Suggested Improvements:</w:t>
        <w:br w:type="textWrapping"/>
      </w:r>
      <w:r w:rsidDel="00000000" w:rsidR="00000000" w:rsidRPr="00000000">
        <w:rPr>
          <w:rFonts w:ascii="Century" w:cs="Century" w:eastAsia="Century" w:hAnsi="Century"/>
          <w:rtl w:val="0"/>
        </w:rPr>
        <w:t xml:space="preserve"> Add a quick-search or “advanced help” toggle for experienced users who want to jump directly to technical guides or forum discussions.</w:t>
      </w:r>
    </w:p>
    <w:p w:rsidR="00000000" w:rsidDel="00000000" w:rsidP="00000000" w:rsidRDefault="00000000" w:rsidRPr="00000000" w14:paraId="00000016">
      <w:pPr>
        <w:rPr>
          <w:rFonts w:ascii="Century" w:cs="Century" w:eastAsia="Century" w:hAnsi="Century"/>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upport.apple.com" TargetMode="External"/><Relationship Id="rId10" Type="http://schemas.openxmlformats.org/officeDocument/2006/relationships/hyperlink" Target="https://support.apple.com" TargetMode="External"/><Relationship Id="rId9" Type="http://schemas.openxmlformats.org/officeDocument/2006/relationships/hyperlink" Target="https://turbotax.intuit.com" TargetMode="External"/><Relationship Id="rId5" Type="http://schemas.openxmlformats.org/officeDocument/2006/relationships/styles" Target="styles.xml"/><Relationship Id="rId6" Type="http://schemas.openxmlformats.org/officeDocument/2006/relationships/hyperlink" Target="https://www.nike.com" TargetMode="External"/><Relationship Id="rId7" Type="http://schemas.openxmlformats.org/officeDocument/2006/relationships/hyperlink" Target="https://www.nike.com" TargetMode="External"/><Relationship Id="rId8" Type="http://schemas.openxmlformats.org/officeDocument/2006/relationships/hyperlink" Target="https://turbotax.intu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