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451" w:rsidRPr="00BF7181" w:rsidRDefault="005D6C1D" w:rsidP="00BF7181">
      <w:pPr>
        <w:rPr>
          <w:b/>
          <w:sz w:val="28"/>
          <w:szCs w:val="28"/>
        </w:rPr>
      </w:pPr>
      <w:r w:rsidRPr="00BF7181">
        <w:rPr>
          <w:b/>
          <w:sz w:val="28"/>
          <w:szCs w:val="28"/>
        </w:rPr>
        <w:t>Smart Hospitals: Cyber Security and Resilience</w:t>
      </w:r>
    </w:p>
    <w:p w:rsidR="00BF7181" w:rsidRDefault="00BF7181">
      <w:pPr>
        <w:rPr>
          <w:rFonts w:ascii="Arial" w:hAnsi="Arial" w:cs="Arial"/>
        </w:rPr>
      </w:pPr>
    </w:p>
    <w:p w:rsidR="00FB0B3C" w:rsidRPr="008D16E7" w:rsidRDefault="005D6C1D">
      <w:pPr>
        <w:rPr>
          <w:rFonts w:ascii="Arial" w:hAnsi="Arial" w:cs="Arial"/>
        </w:rPr>
      </w:pPr>
      <w:r w:rsidRPr="008D16E7">
        <w:rPr>
          <w:rFonts w:ascii="Arial" w:hAnsi="Arial" w:cs="Arial"/>
        </w:rPr>
        <w:t>Module: 5CS018 – Cybersecurity Architecture and Operations</w:t>
      </w:r>
    </w:p>
    <w:p w:rsidR="00FB0B3C" w:rsidRPr="008D16E7" w:rsidRDefault="005D6C1D">
      <w:pPr>
        <w:rPr>
          <w:rFonts w:ascii="Arial" w:hAnsi="Arial" w:cs="Arial"/>
        </w:rPr>
      </w:pPr>
      <w:r w:rsidRPr="008D16E7">
        <w:rPr>
          <w:rFonts w:ascii="Arial" w:hAnsi="Arial" w:cs="Arial"/>
        </w:rPr>
        <w:t>Assessment: Individual Report</w:t>
      </w:r>
    </w:p>
    <w:p w:rsidR="00FB0B3C" w:rsidRPr="008D16E7" w:rsidRDefault="005D6C1D">
      <w:pPr>
        <w:rPr>
          <w:rFonts w:ascii="Arial" w:hAnsi="Arial" w:cs="Arial"/>
        </w:rPr>
      </w:pPr>
      <w:r w:rsidRPr="008D16E7">
        <w:rPr>
          <w:rFonts w:ascii="Arial" w:hAnsi="Arial" w:cs="Arial"/>
        </w:rPr>
        <w:t>Student Name:</w:t>
      </w:r>
      <w:r w:rsidR="008D16E7">
        <w:rPr>
          <w:rFonts w:ascii="Arial" w:hAnsi="Arial" w:cs="Arial"/>
        </w:rPr>
        <w:t xml:space="preserve"> </w:t>
      </w:r>
      <w:proofErr w:type="spellStart"/>
      <w:r w:rsidR="008D16E7">
        <w:rPr>
          <w:rFonts w:ascii="Arial" w:hAnsi="Arial" w:cs="Arial"/>
        </w:rPr>
        <w:t>Chetan</w:t>
      </w:r>
      <w:proofErr w:type="spellEnd"/>
      <w:r w:rsidR="008D16E7">
        <w:rPr>
          <w:rFonts w:ascii="Arial" w:hAnsi="Arial" w:cs="Arial"/>
        </w:rPr>
        <w:t xml:space="preserve"> Singh</w:t>
      </w:r>
      <w:r w:rsidRPr="008D16E7">
        <w:rPr>
          <w:rFonts w:ascii="Arial" w:hAnsi="Arial" w:cs="Arial"/>
        </w:rPr>
        <w:t xml:space="preserve"> </w:t>
      </w:r>
    </w:p>
    <w:p w:rsidR="00FB0B3C" w:rsidRPr="008D16E7" w:rsidRDefault="008D16E7">
      <w:pPr>
        <w:rPr>
          <w:rFonts w:ascii="Arial" w:hAnsi="Arial" w:cs="Arial"/>
        </w:rPr>
      </w:pPr>
      <w:r>
        <w:rPr>
          <w:rFonts w:ascii="Arial" w:hAnsi="Arial" w:cs="Arial"/>
        </w:rPr>
        <w:t>Student Number: 2505959</w:t>
      </w:r>
    </w:p>
    <w:p w:rsidR="00FB0B3C" w:rsidRPr="008D16E7" w:rsidRDefault="008D16E7">
      <w:pPr>
        <w:rPr>
          <w:rFonts w:ascii="Arial" w:hAnsi="Arial" w:cs="Arial"/>
        </w:rPr>
      </w:pPr>
      <w:r>
        <w:rPr>
          <w:rFonts w:ascii="Arial" w:hAnsi="Arial" w:cs="Arial"/>
        </w:rPr>
        <w:t>Submission Date:</w:t>
      </w:r>
      <w:r w:rsidR="005D6C1D" w:rsidRPr="008D16E7">
        <w:rPr>
          <w:rFonts w:ascii="Arial" w:hAnsi="Arial" w:cs="Arial"/>
        </w:rPr>
        <w:t xml:space="preserve"> February 2026</w:t>
      </w:r>
    </w:p>
    <w:p w:rsidR="00E143C0" w:rsidRDefault="00E143C0" w:rsidP="00E143C0">
      <w:pPr>
        <w:pStyle w:val="Heading1"/>
        <w:spacing w:before="300" w:after="150"/>
        <w:rPr>
          <w:rFonts w:ascii="Arial" w:eastAsiaTheme="minorEastAsia" w:hAnsi="Arial" w:cs="Arial"/>
          <w:b w:val="0"/>
          <w:bCs w:val="0"/>
          <w:color w:val="auto"/>
          <w:sz w:val="22"/>
          <w:szCs w:val="22"/>
        </w:rPr>
      </w:pP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Executive Summary</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This report presents a comprehensive analysis of cybersecurity and resilience within smart hospital environments. The healthcare sector has experienced significant transformation through the adoption of interconnected digital systems, including Electronic Health Records, medical Internet of Things devices, patient portals, and clinical decision-support systems. While these technological advancements have enhanced operational efficiency and patient care quality, they have simultaneously introduced substantial cyber risks that require systematic assessment and mitigation.</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analysis employs established risk assessment and resilience methodologies, including STRIDE threat modeling, DREAD risk prioritization, attack tree analysis, Business Impact Analysis, and Business Continuity Planning frameworks. The findings indicate that information disclosure and service availability represent the most critical risk categories in smart hospital contexts. The report examines appropriate mitigation controls, recovery objectives, and ethical safeguards necessary to strengthen organizational resilience and ensure continued delivery of safe patient care.</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1. Introduction</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Smart hospitals represent an evolution in healthcare delivery where clinical services, patient management, and operational processes are fundamentally supported by digital technologies and networked systems. These environments incorporate Electronic Health Records systems, connected medical devices, laboratory information systems, mobile health applications, and cloud-based data storage solutions. Given the sensitive nature of health information and the life-critical dependency on system availability, cybersecurity and resilience constitute essential requirements rather than supplementary considerations.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 xml:space="preserve">The healthcare sector faces unique cybersecurity challenges due to the convergence of patient safety concerns, regulatory compliance requirements, and the inherent complexity of interconnected medical systems. This report examines the smart hospital scenario </w:t>
      </w:r>
      <w:r w:rsidRPr="00BF7181">
        <w:rPr>
          <w:rFonts w:ascii="Arial" w:hAnsi="Arial" w:cs="Arial"/>
          <w:color w:val="000000"/>
          <w:sz w:val="22"/>
          <w:szCs w:val="22"/>
        </w:rPr>
        <w:lastRenderedPageBreak/>
        <w:t>through systematic analysis of cyber threats, risk evaluation, continuity requirements, and legal and ethical considerations. The analysis aligns with contemporary cybersecurity frameworks and healthcare-specific regulatory requirements to provide actionable insights for improving organizational resilience.</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2. Smart Hospital System Overview</w:t>
      </w:r>
    </w:p>
    <w:p w:rsidR="00E143C0" w:rsidRPr="00BF7181" w:rsidRDefault="00E143C0" w:rsidP="005D6C1D">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smart hospital system examined in this analysis comprises several interconnected components that collectively support clinical operations and patient care delivery. The Electronic Health Record system serves as the central repository for patient medical information, providing clinicians with access to comprehensive patient histories, treatment plans, and diagnostic results. Patient web and mobile portals enable individuals to access their health information, schedule appointments, and communicate with healthcare providers.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Network-connected medical devices, commonly referred to as the Internet of Medical Things, include monitoring equipment, infusion pumps, diagnostic instruments, and imaging systems that generate and transmit patient data in real-time. Laboratory and diagnostic systems process clinical specimens and deliver results to clinicians through integrated information systems. Identity and access management systems, incorporating single sign-on and multi-factor authentication capabilities, control user access to sensitive systems and data. Cloud-based backup and disaster recovery infrastructure provides redundancy and supports business continuity objectives.</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These components are interconnected through secure hospital networks and controlled internet connectivity, enabling real-time information access for authorized clinicians and patients. The interconnected nature of these systems, while enabling improved care coordination and operational efficiency, creates an expanded attack surface that requires comprehensive security controls and continuous monitoring.</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3. Risk Assessment</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A structured risk assessment was conducted utilizing STRIDE threat modeling, DREAD risk prioritization, and attack tree analysis methodologies. This multi-faceted approach enables comprehensive identification of threats, vulnerabilities, potential impacts, and appropriate mitigation strategies specific to the smart hospital environment.</w:t>
      </w:r>
    </w:p>
    <w:p w:rsidR="00E143C0" w:rsidRDefault="00E143C0" w:rsidP="00E143C0">
      <w:pPr>
        <w:pStyle w:val="Heading2"/>
        <w:spacing w:before="270" w:after="120"/>
        <w:rPr>
          <w:rFonts w:ascii="Arial" w:hAnsi="Arial" w:cs="Arial"/>
          <w:color w:val="000000"/>
          <w:sz w:val="28"/>
          <w:szCs w:val="28"/>
        </w:rPr>
      </w:pPr>
      <w:r>
        <w:rPr>
          <w:rFonts w:ascii="Arial" w:hAnsi="Arial" w:cs="Arial"/>
          <w:color w:val="000000"/>
          <w:sz w:val="28"/>
          <w:szCs w:val="28"/>
        </w:rPr>
        <w:t>3.1 STRIDE Threat Analysis</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The STRIDE framework was applied to systematically identify threats across six categories: Spoofing, Tampering, Repudiation, Information Disclosure, Denial of Service, and Elevation of Privilege. This analysis reveals several critical vulnerabilities within the smart hospital infrastructure</w:t>
      </w:r>
      <w:r>
        <w:rPr>
          <w:rFonts w:ascii="Arial" w:hAnsi="Arial" w:cs="Arial"/>
          <w:color w:val="000000"/>
          <w:sz w:val="27"/>
          <w:szCs w:val="27"/>
        </w:rPr>
        <w:t>.</w:t>
      </w:r>
    </w:p>
    <w:tbl>
      <w:tblPr>
        <w:tblW w:w="9648" w:type="dxa"/>
        <w:tblCellMar>
          <w:top w:w="15" w:type="dxa"/>
          <w:left w:w="15" w:type="dxa"/>
          <w:bottom w:w="15" w:type="dxa"/>
          <w:right w:w="15" w:type="dxa"/>
        </w:tblCellMar>
        <w:tblLook w:val="04A0" w:firstRow="1" w:lastRow="0" w:firstColumn="1" w:lastColumn="0" w:noHBand="0" w:noVBand="1"/>
      </w:tblPr>
      <w:tblGrid>
        <w:gridCol w:w="1944"/>
        <w:gridCol w:w="2772"/>
        <w:gridCol w:w="2836"/>
        <w:gridCol w:w="2096"/>
      </w:tblGrid>
      <w:tr w:rsidR="00E143C0" w:rsidTr="00E143C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lastRenderedPageBreak/>
              <w:t>STRIDE Category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Vulnerability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Pr="005D6C1D" w:rsidRDefault="00E143C0" w:rsidP="005D6C1D">
            <w:pPr>
              <w:pStyle w:val="NoSpacing"/>
              <w:rPr>
                <w:b/>
              </w:rPr>
            </w:pPr>
            <w:r w:rsidRPr="005D6C1D">
              <w:rPr>
                <w:rFonts w:ascii="Arial" w:hAnsi="Arial" w:cs="Arial"/>
                <w:b/>
              </w:rPr>
              <w:t>Threat</w:t>
            </w:r>
            <w:r w:rsidRPr="005D6C1D">
              <w:rPr>
                <w:b/>
              </w:rPr>
              <w:t xml:space="preserv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Impact</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Spoofing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Weak authentication mechanisms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Session hijacking of clinician accounts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Loss of confidentiality</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Tampering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Lack of data integrity checks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Modification of laboratory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Patient safety risk</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Repudiation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Editable audit logs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Denial of clinical actions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Accountability failure</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Information Disclosure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Poor encryption practices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Leak of patient health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Legal and trust damage</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Denial of Service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No rate limiting controls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Portal outage during emergencies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Service disruption</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Elevation of Privilege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Poor access control 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Patient gains administrative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System compromise</w:t>
            </w:r>
          </w:p>
        </w:tc>
      </w:tr>
    </w:tbl>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Spoofing threats arise from weak authentication mechanisms that allow malicious actors to impersonate legitimate users, particularly clinicians with elevated privileges. Tampering vulnerabilities exist where insufficient data integrity checks enable unauthorized modification of critical information such as laboratory results or medication orders. Repudiation risks stem from editable audit logs that undermine accountability for clinical actions. Information disclosure represents a critical concern due to inadequate encryption practices that could expose sensitive patient health data. Denial of service vulnerabilities result from absent rate limiting controls that could enable attackers to disrupt service availability during critical periods. Elevation of privilege threats emerge from poorly implemented access controls that could allow unauthorized users to gain administrative capabilities.</w:t>
      </w:r>
    </w:p>
    <w:p w:rsidR="00E143C0" w:rsidRDefault="00E143C0" w:rsidP="00E143C0">
      <w:pPr>
        <w:pStyle w:val="Heading2"/>
        <w:spacing w:before="270" w:after="120"/>
        <w:rPr>
          <w:rFonts w:ascii="Arial" w:hAnsi="Arial" w:cs="Arial"/>
          <w:color w:val="000000"/>
          <w:sz w:val="28"/>
          <w:szCs w:val="28"/>
        </w:rPr>
      </w:pPr>
      <w:r>
        <w:rPr>
          <w:rFonts w:ascii="Arial" w:hAnsi="Arial" w:cs="Arial"/>
          <w:color w:val="000000"/>
          <w:sz w:val="28"/>
          <w:szCs w:val="28"/>
        </w:rPr>
        <w:lastRenderedPageBreak/>
        <w:t>3.2 DREAD Risk Rating</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DREAD methodology was employed to prioritize identified risks based on five criteria: Damage potential, Reproducibility, Exploitability, Affected users, and Discoverability. This quantitative approach enables systematic prioritization of security investments and mitigation efforts.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Information disclosure and denial of service threats were rated as high to critical risks. Information disclosure incidents carry substantial damage potential due to regulatory penalties under data protection legislation, reputational harm, and loss of patient trust. These threats demonstrate high reproducibility and exploitability, particularly given the prevalence of social engineering attacks and unpatched vulnerabilities in healthcare environments. The affected user base encompasses all patients whose data is stored within the system, amplifying the overall risk rating.</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Denial of service attacks present critical risks due to their potential to disrupt life-critical systems and compromise patient safety. The exploitability of such attacks has increased with the availability of distributed denial of service tools, while the impact extends across all system users and dependent clinical processes. The combination of high damage potential and broad user impact justifies the critical risk classification for both information disclosure and denial of service threat categories.</w:t>
      </w:r>
    </w:p>
    <w:p w:rsidR="00E143C0" w:rsidRDefault="00E143C0" w:rsidP="00E143C0">
      <w:pPr>
        <w:pStyle w:val="Heading2"/>
        <w:spacing w:before="270" w:after="120"/>
        <w:rPr>
          <w:rFonts w:ascii="Arial" w:hAnsi="Arial" w:cs="Arial"/>
          <w:color w:val="000000"/>
          <w:sz w:val="28"/>
          <w:szCs w:val="28"/>
        </w:rPr>
      </w:pPr>
      <w:r>
        <w:rPr>
          <w:rFonts w:ascii="Arial" w:hAnsi="Arial" w:cs="Arial"/>
          <w:color w:val="000000"/>
          <w:sz w:val="28"/>
          <w:szCs w:val="28"/>
        </w:rPr>
        <w:t>3.3 Attack Tree Overview</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An attack tree was developed with the root objective of gaining unauthorized access to patient data. This hierarchical model decomposes the attacker's goal into constituent attack paths, enabling visualization of potential threat scenarios and identification of critical control points.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Primary attack paths identified include phishing campaigns targeting staff credentials, exploitation of unpatched system vulnerabilities, and insider threat scenarios. Phishing attacks leverage social engineering techniques to compromise legitimate user credentials, providing attackers with authorized access to sensitive systems. Unpatched vulnerabilities in operating systems, applications, or medical devices create exploitable weaknesses that can be leveraged for unauthorized access. Insider threats, whether malicious or inadvertent, represent a significant attack vector given the privileged access required for clinical roles.</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The attack tree analysis facilitated prioritization of defensive controls based on their effectiveness in disrupting multiple attack paths. Controls addressing credential protection, vulnerability management, and insider threat detection were identified as high-priority investments due to their impact across multiple attack scenarios.</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4. Business Continuity and Resilience</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 xml:space="preserve">Business continuity planning ensures that critical hospital services remain operational during cyber incidents or system failures. The ability to maintain essential clinical functions </w:t>
      </w:r>
      <w:r w:rsidRPr="00BF7181">
        <w:rPr>
          <w:rFonts w:ascii="Arial" w:hAnsi="Arial" w:cs="Arial"/>
          <w:color w:val="000000"/>
          <w:sz w:val="22"/>
          <w:szCs w:val="22"/>
        </w:rPr>
        <w:lastRenderedPageBreak/>
        <w:t>during disruptions directly impacts patient safety and care quality, making resilience a fundamental requirement for smart hospital environments.</w:t>
      </w:r>
    </w:p>
    <w:p w:rsidR="00E143C0" w:rsidRDefault="00E143C0" w:rsidP="00E143C0">
      <w:pPr>
        <w:pStyle w:val="Heading2"/>
        <w:spacing w:before="270" w:after="120"/>
        <w:rPr>
          <w:rFonts w:ascii="Arial" w:hAnsi="Arial" w:cs="Arial"/>
          <w:color w:val="000000"/>
          <w:sz w:val="28"/>
          <w:szCs w:val="28"/>
        </w:rPr>
      </w:pPr>
      <w:r>
        <w:rPr>
          <w:rFonts w:ascii="Arial" w:hAnsi="Arial" w:cs="Arial"/>
          <w:color w:val="000000"/>
          <w:sz w:val="28"/>
          <w:szCs w:val="28"/>
        </w:rPr>
        <w:t>4.1 Business Impact Analysis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A Business Impact Analysis was conducted to identify critical functions and establish recovery objectives. This analysis considered the operational, financial, and safety implications of service disruptions across various hospital functions.</w:t>
      </w:r>
    </w:p>
    <w:tbl>
      <w:tblPr>
        <w:tblW w:w="9648" w:type="dxa"/>
        <w:tblCellMar>
          <w:top w:w="15" w:type="dxa"/>
          <w:left w:w="15" w:type="dxa"/>
          <w:bottom w:w="15" w:type="dxa"/>
          <w:right w:w="15" w:type="dxa"/>
        </w:tblCellMar>
        <w:tblLook w:val="04A0" w:firstRow="1" w:lastRow="0" w:firstColumn="1" w:lastColumn="0" w:noHBand="0" w:noVBand="1"/>
      </w:tblPr>
      <w:tblGrid>
        <w:gridCol w:w="2254"/>
        <w:gridCol w:w="2230"/>
        <w:gridCol w:w="1952"/>
        <w:gridCol w:w="1969"/>
        <w:gridCol w:w="1243"/>
      </w:tblGrid>
      <w:tr w:rsidR="00E143C0" w:rsidTr="00E143C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Operation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Maximum Tolerable Downtime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Recovery Time Objective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Recovery Point Objective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E143C0" w:rsidRDefault="00E143C0">
            <w:pPr>
              <w:spacing w:before="225" w:after="225"/>
              <w:rPr>
                <w:rFonts w:ascii="Arial" w:hAnsi="Arial" w:cs="Arial"/>
                <w:b/>
                <w:bCs/>
                <w:color w:val="000000"/>
              </w:rPr>
            </w:pPr>
            <w:r>
              <w:rPr>
                <w:rFonts w:ascii="Arial" w:hAnsi="Arial" w:cs="Arial"/>
                <w:b/>
                <w:bCs/>
                <w:color w:val="000000"/>
              </w:rPr>
              <w:t>Critica</w:t>
            </w:r>
            <w:bookmarkStart w:id="0" w:name="_GoBack"/>
            <w:bookmarkEnd w:id="0"/>
            <w:r>
              <w:rPr>
                <w:rFonts w:ascii="Arial" w:hAnsi="Arial" w:cs="Arial"/>
                <w:b/>
                <w:bCs/>
                <w:color w:val="000000"/>
              </w:rPr>
              <w:t>lity</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Urgent Laboratory Reporting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1 Hour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30 Minutes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Very High</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EHR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2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1 Hour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High</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Patient Authentication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2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15 Minutes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High</w:t>
            </w:r>
          </w:p>
        </w:tc>
      </w:tr>
      <w:tr w:rsidR="00E143C0" w:rsidTr="00E143C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Clinical Messaging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12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6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1 Hour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143C0" w:rsidRDefault="00E143C0">
            <w:pPr>
              <w:spacing w:before="225" w:after="225"/>
              <w:rPr>
                <w:rFonts w:ascii="Arial" w:hAnsi="Arial" w:cs="Arial"/>
                <w:color w:val="000000"/>
              </w:rPr>
            </w:pPr>
            <w:r>
              <w:rPr>
                <w:rFonts w:ascii="Arial" w:hAnsi="Arial" w:cs="Arial"/>
                <w:color w:val="000000"/>
              </w:rPr>
              <w:t>Medium</w:t>
            </w:r>
          </w:p>
        </w:tc>
      </w:tr>
    </w:tbl>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Urgent laboratory reporting was classified as very high criticality with a maximum tolerable downtime of one hour and a recovery time objective of thirty minutes. The zero recovery point objective reflects the requirement that no laboratory data can be lost during service disruptions, as such loss could compromise patient safety through delayed or incorrect diagnoses.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Electronic Health Record access was designated as high criticality given its central role in clinical decision-making. The two-hour maximum tolerable downtime acknowledges that clinicians can operate using alternative information sources for limited periods, while the one-hour recovery time objective ensures timely restoration of full functionality. The zero recovery point objective prevents loss of patient data entered prior to service disruption.</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 xml:space="preserve">Patient authentication services support access to patient portals and self-service functions. The four-hour maximum tolerable downtime reflects the lower immediate safety impact compared to clinical systems, while the two-hour recovery time objective balances </w:t>
      </w:r>
      <w:r w:rsidRPr="00BF7181">
        <w:rPr>
          <w:rFonts w:ascii="Arial" w:hAnsi="Arial" w:cs="Arial"/>
          <w:color w:val="000000"/>
          <w:sz w:val="22"/>
          <w:szCs w:val="22"/>
        </w:rPr>
        <w:lastRenderedPageBreak/>
        <w:t>user experience with technical feasibility. A fifteen-minute recovery point objective allows for some data loss in non-critical patient-initiated transactions.</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Clinical messaging systems facilitate communication between healthcare professionals but can be supplemented by alternative communication methods during disruptions. The twelve-hour maximum tolerable downtime and six-hour recovery time objective reflect this lower criticality, while the one-hour recovery point objective acknowledges that some message loss may be acceptable given alternative communication channels.</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5. Legal and Ethical Considerations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Smart hospitals process special category health data, necessitating strict legal and ethical safeguards. Under the United Kingdom General Data Protection Regulation and the Data Protection Act 2018, health data must be processed lawfully, securely, and in accordance with data minimization principles. Healthcare organizations serve as data controllers with legal obligations to implement appropriate technical and organizational measures to ensure data security and protect individual rights.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legal framework requires that health data processing be based on valid lawful bases, with explicit consent or legitimate interests typically cited in healthcare contexts. Organizations must implement privacy by design principles, conduct data protection impact assessments for high-risk processing activities, and maintain comprehensive records of processing activities. Breach notification requirements mandate that significant data breaches be reported to supervisory authorities within seventy-two hours and affected individuals be notified when the breach poses high risk to their rights and freedoms.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Ethical considerations extend beyond legal compliance to encompass broader principles of patient confidentiality, transparency, autonomy, and non-maleficence. Patient confidentiality requires that health information be protected from unauthorized access and disclosure, with access limited to individuals with legitimate clinical or administrative needs. Transparency obligations require that patients be informed about how their data is collected, used, and protected, enabling informed decision-making about their care and data sharing preferences.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principle of autonomy recognizes patients' rights to control their health information and make decisions about its use. This extends to rights of access, rectification, erasure, and data portability under data protection legislation. Non-maleficence requires that cybersecurity failures do not lead to patient harm, whether through compromised data integrity affecting clinical decisions or service disruptions impacting care delivery.</w:t>
      </w:r>
    </w:p>
    <w:p w:rsidR="00E143C0" w:rsidRDefault="00E143C0" w:rsidP="00E143C0">
      <w:pPr>
        <w:pStyle w:val="NormalWeb"/>
        <w:spacing w:after="150" w:afterAutospacing="0"/>
        <w:jc w:val="both"/>
        <w:rPr>
          <w:rFonts w:ascii="Arial" w:hAnsi="Arial" w:cs="Arial"/>
          <w:color w:val="000000"/>
          <w:sz w:val="27"/>
          <w:szCs w:val="27"/>
        </w:rPr>
      </w:pPr>
      <w:r w:rsidRPr="00BF7181">
        <w:rPr>
          <w:rFonts w:ascii="Arial" w:hAnsi="Arial" w:cs="Arial"/>
          <w:color w:val="000000"/>
          <w:sz w:val="22"/>
          <w:szCs w:val="22"/>
        </w:rPr>
        <w:t>Implementation of these legal and ethical requirements necessitates strong audit controls that provide comprehensive logging of data access and system activities. Encryption of data at rest and in transit protects against unauthorized disclosure. Clear governance structures establish accountability for data protection compliance and cybersecurity resilience. Regular privacy and security training ensures that staff understand their obligations and can recognize potential threats. These measures collectively maintain public trust in healthcare organizations and their ability to protect sensitive health information.</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lastRenderedPageBreak/>
        <w:t>6. Conclusion</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This analysis demonstrates that cybersecurity and resilience constitute fundamental requirements for smart hospital operations rather than supplementary considerations. The systematic risk assessment conducted using STRIDE, DREAD, and attack tree methodologies reveals that information disclosure and service availability represent the most critical risk categories requiring priority attention and investment.</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The Business Impact Analysis establishes clear recovery objectives for critical functions, with urgent laboratory reporting and Electronic Health Record access identified as highest priority services requiring rapid restoration following disruptions. These recovery objectives must be supported by appropriate technical controls, redundant systems, and well-tested recovery procedures to ensure organizational resilience.</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Legal and ethical considerations under United Kingdom data protection legislation and professional healthcare ethics require robust safeguards for patient health information and service availability. Organizations must implement comprehensive security controls, maintain transparent governance structures, and ensure staff competency in recognizing and responding to cyber threats.</w:t>
      </w:r>
    </w:p>
    <w:p w:rsidR="00E143C0" w:rsidRPr="00BF7181" w:rsidRDefault="00E143C0" w:rsidP="00E143C0">
      <w:pPr>
        <w:pStyle w:val="NormalWeb"/>
        <w:spacing w:after="150" w:afterAutospacing="0"/>
        <w:jc w:val="both"/>
        <w:rPr>
          <w:rFonts w:ascii="Arial" w:hAnsi="Arial" w:cs="Arial"/>
          <w:color w:val="000000"/>
          <w:sz w:val="22"/>
          <w:szCs w:val="22"/>
        </w:rPr>
      </w:pPr>
      <w:r w:rsidRPr="00BF7181">
        <w:rPr>
          <w:rFonts w:ascii="Arial" w:hAnsi="Arial" w:cs="Arial"/>
          <w:color w:val="000000"/>
          <w:sz w:val="22"/>
          <w:szCs w:val="22"/>
        </w:rPr>
        <w:t>Future work should focus on continuous monitoring of threats and vulnerabilities, regular staff training on evolving attack techniques, and periodic testing of recovery plans through tabletop exercises and technical simulations. The dynamic nature of cyber threats requires that healthcare organizations maintain adaptive security programs capable of responding to emerging risks while maintaining focus on core objectives of patient safety and care quality.</w:t>
      </w:r>
    </w:p>
    <w:p w:rsidR="00E143C0" w:rsidRDefault="00E143C0" w:rsidP="00E143C0">
      <w:pPr>
        <w:pStyle w:val="Heading1"/>
        <w:spacing w:before="300" w:after="150"/>
        <w:rPr>
          <w:rFonts w:ascii="Arial" w:hAnsi="Arial" w:cs="Arial"/>
          <w:color w:val="000000"/>
          <w:sz w:val="32"/>
          <w:szCs w:val="32"/>
        </w:rPr>
      </w:pPr>
      <w:r>
        <w:rPr>
          <w:rFonts w:ascii="Arial" w:hAnsi="Arial" w:cs="Arial"/>
          <w:color w:val="000000"/>
          <w:sz w:val="32"/>
          <w:szCs w:val="32"/>
        </w:rPr>
        <w:t>7. References</w:t>
      </w:r>
    </w:p>
    <w:p w:rsidR="003A3BA7" w:rsidRDefault="003A3BA7" w:rsidP="003A3BA7">
      <w:pPr>
        <w:rPr>
          <w:rFonts w:ascii="Arial" w:hAnsi="Arial" w:cs="Arial"/>
        </w:rPr>
      </w:pPr>
      <w:hyperlink r:id="rId6" w:history="1">
        <w:r w:rsidRPr="00CA46A5">
          <w:rPr>
            <w:rStyle w:val="Hyperlink"/>
            <w:rFonts w:ascii="Arial" w:hAnsi="Arial" w:cs="Arial"/>
          </w:rPr>
          <w:t>https://www.enisa.europa.eu/publications/cyber-hygiene-in-the-health-sector</w:t>
        </w:r>
      </w:hyperlink>
    </w:p>
    <w:p w:rsidR="003A3BA7" w:rsidRDefault="003A3BA7" w:rsidP="003A3BA7">
      <w:pPr>
        <w:rPr>
          <w:rFonts w:ascii="Arial" w:hAnsi="Arial" w:cs="Arial"/>
        </w:rPr>
      </w:pPr>
      <w:hyperlink r:id="rId7" w:history="1">
        <w:r w:rsidRPr="00CA46A5">
          <w:rPr>
            <w:rStyle w:val="Hyperlink"/>
            <w:rFonts w:ascii="Arial" w:hAnsi="Arial" w:cs="Arial"/>
          </w:rPr>
          <w:t>https://digital.nhs.uk/cyber-and-data-security/guidance-and-assurance/data-security-and-protection-toolkit-assessment-guides</w:t>
        </w:r>
      </w:hyperlink>
    </w:p>
    <w:p w:rsidR="003A3BA7" w:rsidRPr="003A3BA7" w:rsidRDefault="003A3BA7" w:rsidP="00E143C0">
      <w:pPr>
        <w:pStyle w:val="NormalWeb"/>
        <w:spacing w:after="150" w:afterAutospacing="0"/>
        <w:jc w:val="both"/>
        <w:rPr>
          <w:rFonts w:ascii="Arial" w:hAnsi="Arial" w:cs="Arial"/>
          <w:color w:val="000000"/>
          <w:sz w:val="22"/>
          <w:szCs w:val="22"/>
        </w:rPr>
      </w:pPr>
      <w:hyperlink r:id="rId8" w:history="1">
        <w:r w:rsidRPr="003A3BA7">
          <w:rPr>
            <w:rStyle w:val="Hyperlink"/>
            <w:rFonts w:ascii="Arial" w:hAnsi="Arial" w:cs="Arial"/>
            <w:sz w:val="22"/>
            <w:szCs w:val="22"/>
          </w:rPr>
          <w:t>https://www.gov.uk/government/publications/cyber-security-and-resilience-bill-policy-statement/cyber-security-and-resilience-bill-policy-statement</w:t>
        </w:r>
      </w:hyperlink>
    </w:p>
    <w:p w:rsidR="003A3BA7" w:rsidRDefault="003A3BA7" w:rsidP="00E143C0">
      <w:pPr>
        <w:pStyle w:val="NormalWeb"/>
        <w:spacing w:after="150" w:afterAutospacing="0"/>
        <w:jc w:val="both"/>
        <w:rPr>
          <w:rFonts w:ascii="Arial" w:hAnsi="Arial" w:cs="Arial"/>
          <w:color w:val="000000"/>
          <w:sz w:val="27"/>
          <w:szCs w:val="27"/>
        </w:rPr>
      </w:pPr>
    </w:p>
    <w:p w:rsidR="00E143C0" w:rsidRDefault="00E143C0" w:rsidP="00E143C0">
      <w:pPr>
        <w:pStyle w:val="NormalWeb"/>
        <w:spacing w:after="150" w:afterAutospacing="0"/>
        <w:jc w:val="both"/>
        <w:rPr>
          <w:rFonts w:ascii="Arial" w:hAnsi="Arial" w:cs="Arial"/>
          <w:color w:val="000000"/>
          <w:sz w:val="27"/>
          <w:szCs w:val="27"/>
        </w:rPr>
      </w:pPr>
      <w:r>
        <w:rPr>
          <w:rFonts w:ascii="Arial" w:hAnsi="Arial" w:cs="Arial"/>
          <w:color w:val="000000"/>
          <w:sz w:val="27"/>
          <w:szCs w:val="27"/>
        </w:rPr>
        <w:t>.</w:t>
      </w:r>
    </w:p>
    <w:p w:rsidR="003A3BA7" w:rsidRPr="008D16E7" w:rsidRDefault="003A3BA7">
      <w:pPr>
        <w:rPr>
          <w:rFonts w:ascii="Arial" w:hAnsi="Arial" w:cs="Arial"/>
        </w:rPr>
      </w:pPr>
    </w:p>
    <w:sectPr w:rsidR="003A3BA7" w:rsidRPr="008D16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A3BA7"/>
    <w:rsid w:val="005D6C1D"/>
    <w:rsid w:val="006D5907"/>
    <w:rsid w:val="008D16E7"/>
    <w:rsid w:val="00AA1D8D"/>
    <w:rsid w:val="00B02451"/>
    <w:rsid w:val="00B47730"/>
    <w:rsid w:val="00BF7181"/>
    <w:rsid w:val="00CB0664"/>
    <w:rsid w:val="00E143C0"/>
    <w:rsid w:val="00FB0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07D1D"/>
  <w14:defaultImageDpi w14:val="300"/>
  <w15:docId w15:val="{59E5AB2A-43BF-4B4E-88E9-CF4AE045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43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3B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5247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cyber-security-and-resilience-bill-policy-statement/cyber-security-and-resilience-bill-policy-statement" TargetMode="External"/><Relationship Id="rId3" Type="http://schemas.openxmlformats.org/officeDocument/2006/relationships/styles" Target="styles.xml"/><Relationship Id="rId7" Type="http://schemas.openxmlformats.org/officeDocument/2006/relationships/hyperlink" Target="https://digital.nhs.uk/cyber-and-data-security/guidance-and-assurance/data-security-and-protection-toolkit-assessment-gui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nisa.europa.eu/publications/cyber-hygiene-in-the-health-secto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C870D-E1F0-479D-91CC-65FF6EB0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2026-01-20T02:36:00Z</dcterms:created>
  <dcterms:modified xsi:type="dcterms:W3CDTF">2026-01-20T02:39:00Z</dcterms:modified>
  <cp:category/>
</cp:coreProperties>
</file>