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exact"/>
      </w:pPr>
      <w:r>
        <w:rPr>
          <w:rFonts w:ascii="Cambria" w:cs="Cambria" w:eastAsia="Cambria" w:hAnsi="Cambria"/>
          <w:b/>
          <w:bCs/>
          <w:color w:val="1A1A1A"/>
          <w:sz w:val="30"/>
          <w:szCs w:val="30"/>
        </w:rPr>
        <w:t xml:space="preserve">MRM-Bench: Two-Page Research Pilot Plan</w:t>
      </w:r>
    </w:p>
    <w:p>
      <w:pPr>
        <w:spacing w:after="10" w:line="260" w:lineRule="exact"/>
      </w:pPr>
      <w:r>
        <w:rPr>
          <w:rFonts w:ascii="Cambria" w:cs="Cambria" w:eastAsia="Cambria" w:hAnsi="Cambria"/>
          <w:i/>
          <w:iCs/>
          <w:color w:val="1A1A1A"/>
          <w:sz w:val="22"/>
          <w:szCs w:val="22"/>
        </w:rPr>
        <w:t xml:space="preserve">Assumption-Grounded Executable Verification of Credit Risk Models Using LLM Agents</w:t>
      </w:r>
    </w:p>
    <w:p>
      <w:pPr>
        <w:pBdr>
          <w:bottom w:val="single" w:color="808080" w:sz="6" w:space="3"/>
        </w:pBdr>
        <w:spacing w:after="60" w:line="210" w:lineRule="exact"/>
      </w:pPr>
      <w:r>
        <w:rPr>
          <w:rFonts w:ascii="Cambria" w:cs="Cambria" w:eastAsia="Cambria" w:hAnsi="Cambria"/>
          <w:color w:val="1A1A1A"/>
          <w:sz w:val="18"/>
          <w:szCs w:val="18"/>
        </w:rPr>
        <w:t xml:space="preserve">Dushyant Pratap Singh  |  M.S. Data Science, University of North Texas  |  Research advisor: Dr. Chih-Hao Ku  |  October 2026</w:t>
      </w:r>
    </w:p>
    <w:p>
      <w:pPr>
        <w:spacing w:after="30" w:before="0" w:line="240" w:lineRule="exact"/>
        <w:jc w:val="both"/>
      </w:pPr>
      <w:r>
        <w:rPr>
          <w:rFonts w:ascii="Cambria" w:cs="Cambria" w:eastAsia="Cambria" w:hAnsi="Cambria"/>
          <w:color w:val="1A1A1A"/>
          <w:sz w:val="21"/>
          <w:szCs w:val="21"/>
        </w:rPr>
        <w:t xml:space="preserve">This pilot examines the reliability of AI-assisted verification of financial risk models; it is not an operational mortgage-approval system. MRM-Bench pairs deliberately faulty credit-risk model code with similar-looking valid code, each with an independently defensible answer key, to test whether an AI validation agent can detect genuine mathematical and implementation errors while reporting fewer false defects.</w:t>
      </w:r>
    </w:p>
    <w:p>
      <w:pPr>
        <w:pBdr>
          <w:left w:val="single" w:color="808080" w:sz="12" w:space="6"/>
        </w:pBdr>
        <w:spacing w:after="20" w:before="0" w:line="240" w:lineRule="exact"/>
        <w:ind w:left="140"/>
        <w:jc w:val="left"/>
      </w:pPr>
      <w:r>
        <w:rPr>
          <w:rFonts w:ascii="Cambria" w:cs="Cambria" w:eastAsia="Cambria" w:hAnsi="Cambria"/>
          <w:b/>
          <w:bCs/>
          <w:color w:val="1A1A1A"/>
          <w:sz w:val="21"/>
          <w:szCs w:val="21"/>
        </w:rPr>
        <w:t xml:space="preserve">Research question:</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“At matched defect-detection recall, can assumption-applicability checks and independent verification reduce false-positive findings?”</w:t>
      </w:r>
    </w:p>
    <w:p>
      <w:pPr>
        <w:pStyle w:val="Heading1"/>
        <w:keepNext/>
        <w:spacing w:after="20" w:before="40" w:line="260" w:lineRule="exact"/>
      </w:pPr>
      <w:r>
        <w:rPr>
          <w:rFonts w:ascii="Cambria" w:cs="Cambria" w:eastAsia="Cambria" w:hAnsi="Cambria"/>
          <w:b/>
          <w:bCs/>
          <w:color w:val="1A1A1A"/>
          <w:sz w:val="22"/>
          <w:szCs w:val="22"/>
        </w:rPr>
        <w:t xml:space="preserve">1. Dataset and feasibility (completed)</w:t>
      </w:r>
    </w:p>
    <w:p>
      <w:pPr>
        <w:spacing w:after="20" w:before="0" w:line="240" w:lineRule="exact"/>
        <w:jc w:val="both"/>
      </w:pPr>
      <w:r>
        <w:rPr>
          <w:rFonts w:ascii="Cambria" w:cs="Cambria" w:eastAsia="Cambria" w:hAnsi="Cambria"/>
          <w:color w:val="1A1A1A"/>
          <w:sz w:val="21"/>
          <w:szCs w:val="21"/>
        </w:rPr>
        <w:t xml:space="preserve">I downloaded the Freddie Mac Single-Family Loan-Level Dataset 2015 sample vintage (Release 47, July 2026) with its user guide, file layout (data dictionary) and headers. It has 50,000 fixed-rate loans (31 origination fields) and 3,467,166 monthly records (35 fields) for January 2015–March 2026; loan IDs match across files and no loan-month repeats. Key fields are credit score, original DTI and LTV, loan amount, interest rate, reporting period, delinquency status and zero-balance (termination) code. Documented “Not Available” codes become missing (FICO 9999; LTV, CLTV, DTI, MI 999; units, borrowers 99); DTI is 999 for 4,020 loans, 4,017 of them carrying the HARP (Relief Refinance) flag. Calendar coverage supports every planned horizon (each December 2015–2024 window, 12 months or shorter, ends before the March 2026 cutoff), but individual loans can still have incomplete follow-up (early exit or a gap; Section 2). Loan-level records stay on my machine; benchmark tests use synthetic data only.</w:t>
      </w:r>
    </w:p>
    <w:p>
      <w:pPr>
        <w:pStyle w:val="Heading1"/>
        <w:keepNext/>
        <w:spacing w:after="20" w:before="40" w:line="260" w:lineRule="exact"/>
      </w:pPr>
      <w:r>
        <w:rPr>
          <w:rFonts w:ascii="Cambria" w:cs="Cambria" w:eastAsia="Cambria" w:hAnsi="Cambria"/>
          <w:b/>
          <w:bCs/>
          <w:color w:val="1A1A1A"/>
          <w:sz w:val="22"/>
          <w:szCs w:val="22"/>
        </w:rPr>
        <w:t xml:space="preserve">2. Prediction date and 12-month outcome (implemented; awaiting your approval)</w:t>
      </w:r>
    </w:p>
    <w:p>
      <w:pPr>
        <w:spacing w:after="10" w:before="0" w:line="240" w:lineRule="exact"/>
        <w:jc w:val="both"/>
      </w:pPr>
      <w:r>
        <w:rPr>
          <w:rFonts w:ascii="Cambria" w:cs="Cambria" w:eastAsia="Cambria" w:hAnsi="Cambria"/>
          <w:color w:val="1A1A1A"/>
          <w:sz w:val="21"/>
          <w:szCs w:val="21"/>
        </w:rPr>
        <w:t xml:space="preserve">The prediction date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 is the end of each December, 2015–2024. Features use only records dated ≤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 the window is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+1 …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+12. Eligible loans have a record at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 no zero-balance code and status 00–02 (under 90 days past due).</w:t>
      </w:r>
    </w:p>
    <w:p>
      <w:pPr>
        <w:pStyle w:val="ListParagraph"/>
        <w:numPr>
          <w:ilvl w:val="0"/>
          <w:numId w:val="2"/>
        </w:numPr>
        <w:spacing w:after="10" w:before="0" w:line="240" w:lineRule="exact"/>
        <w:jc w:val="both"/>
      </w:pPr>
      <w:r>
        <w:rPr>
          <w:rFonts w:ascii="Cambria" w:cs="Cambria" w:eastAsia="Cambria" w:hAnsi="Cambria"/>
          <w:b/>
          <w:bCs/>
          <w:color w:val="1A1A1A"/>
          <w:sz w:val="21"/>
          <w:szCs w:val="21"/>
        </w:rPr>
        <w:t xml:space="preserve">Event (y = 1):</w:t>
      </w:r>
      <w:r>
        <w:rPr>
          <w:rFonts w:ascii="Cambria" w:cs="Cambria" w:eastAsia="Cambria" w:hAnsi="Cambria"/>
          <w:color w:val="1A1A1A"/>
          <w:sz w:val="21"/>
          <w:szCs w:val="21"/>
        </w:rPr>
        <w:t xml:space="preserve"> any window month with numeric status ≥ 03 or status RA, even if the loan later terminates.</w:t>
      </w:r>
    </w:p>
    <w:p>
      <w:pPr>
        <w:pStyle w:val="ListParagraph"/>
        <w:numPr>
          <w:ilvl w:val="0"/>
          <w:numId w:val="2"/>
        </w:numPr>
        <w:spacing w:after="10" w:before="0" w:line="240" w:lineRule="exact"/>
        <w:jc w:val="both"/>
      </w:pPr>
      <w:r>
        <w:rPr>
          <w:rFonts w:ascii="Cambria" w:cs="Cambria" w:eastAsia="Cambria" w:hAnsi="Cambria"/>
          <w:b/>
          <w:bCs/>
          <w:color w:val="1A1A1A"/>
          <w:sz w:val="21"/>
          <w:szCs w:val="21"/>
        </w:rPr>
        <w:t xml:space="preserve">Non-event (y = 0):</w:t>
      </w:r>
      <w:r>
        <w:rPr>
          <w:rFonts w:ascii="Cambria" w:cs="Cambria" w:eastAsia="Cambria" w:hAnsi="Cambria"/>
          <w:color w:val="1A1A1A"/>
          <w:sz w:val="21"/>
          <w:szCs w:val="21"/>
        </w:rPr>
        <w:t xml:space="preserve"> no event, and the loan has a record at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+12 or later (see the follow-up check).</w:t>
      </w:r>
    </w:p>
    <w:p>
      <w:pPr>
        <w:pStyle w:val="ListParagraph"/>
        <w:numPr>
          <w:ilvl w:val="0"/>
          <w:numId w:val="2"/>
        </w:numPr>
        <w:spacing w:after="10" w:before="0" w:line="240" w:lineRule="exact"/>
        <w:jc w:val="both"/>
      </w:pPr>
      <w:r>
        <w:rPr>
          <w:rFonts w:ascii="Cambria" w:cs="Cambria" w:eastAsia="Cambria" w:hAnsi="Cambria"/>
          <w:b/>
          <w:bCs/>
          <w:color w:val="1A1A1A"/>
          <w:sz w:val="21"/>
          <w:szCs w:val="21"/>
        </w:rPr>
        <w:t xml:space="preserve">Censored (counted, excluded from fitting and evaluation):</w:t>
      </w:r>
      <w:r>
        <w:rPr>
          <w:rFonts w:ascii="Cambria" w:cs="Cambria" w:eastAsia="Cambria" w:hAnsi="Cambria"/>
          <w:color w:val="1A1A1A"/>
          <w:sz w:val="21"/>
          <w:szCs w:val="21"/>
        </w:rPr>
        <w:t xml:space="preserve"> no event, and the loan’s records end before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+12 through prepayment (01), another termination (02 third-party sale, 03 short sale or charge-off, 09 REO disposition, 15/16 loan sales, 96 defect) or the end of its data. Prepaid loans are never treated as negatives.</w:t>
      </w:r>
    </w:p>
    <w:p>
      <w:pPr>
        <w:spacing w:after="20" w:before="20" w:line="240" w:lineRule="exact"/>
        <w:jc w:val="both"/>
      </w:pPr>
      <w:r>
        <w:rPr>
          <w:rFonts w:ascii="Cambria" w:cs="Cambria" w:eastAsia="Cambria" w:hAnsi="Cambria"/>
          <w:color w:val="1A1A1A"/>
          <w:sz w:val="21"/>
          <w:szCs w:val="21"/>
        </w:rPr>
        <w:t xml:space="preserve">Numeric status ≥ 03 measures 90+ days past due; RA marks REO acquisition and is not a day count, so the implemented target is a composite. They nearly coincide: 2,489 of the 2,490 snapshot events have a numeric 90+ month, and the one RA-only event is a December 2016 training row. All 118 credit-related exits (codes 02, 03, 09) had a 90+ or RA month first, so none is censored. Prepayment censors 6.5–26.9% of at-risk loans per snapshot, hence a sensitivity check. This is a 12-month 90+ DPD research label, not a regulatory default definition.</w:t>
      </w:r>
    </w:p>
    <w:p>
      <w:pPr>
        <w:spacing w:after="20" w:before="0" w:line="240" w:lineRule="exact"/>
        <w:jc w:val="both"/>
      </w:pPr>
      <w:r>
        <w:rPr>
          <w:rFonts w:ascii="Cambria" w:cs="Cambria" w:eastAsia="Cambria" w:hAnsi="Cambria"/>
          <w:b/>
          <w:bCs/>
          <w:color w:val="1A1A1A"/>
          <w:sz w:val="21"/>
          <w:szCs w:val="21"/>
        </w:rPr>
        <w:t xml:space="preserve">Follow-up check (validation item).</w:t>
      </w:r>
      <w:r>
        <w:rPr>
          <w:rFonts w:ascii="Cambria" w:cs="Cambria" w:eastAsia="Cambria" w:hAnsi="Cambria"/>
          <w:color w:val="1A1A1A"/>
          <w:sz w:val="21"/>
          <w:szCs w:val="21"/>
        </w:rPr>
        <w:t xml:space="preserve"> The non-event rule tests the last record, not every window month. Exactly one of 237,720 non-event rows (December 2015, training) has a gap: its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+12 record is missing, though the loan is current (00) before and after. No status is unknown (no XX; RA is the only non-numeric code), and zero-balance codes appear only on final records. Requiring all 12 months would censor that row (training 101,842 rows, 462 events; test and stress unchanged); the code and reported results are unchanged pending decision 2.</w:t>
      </w:r>
    </w:p>
    <w:p>
      <w:pPr>
        <w:pStyle w:val="Heading1"/>
        <w:keepNext/>
        <w:spacing w:after="20" w:before="40" w:line="260" w:lineRule="exact"/>
      </w:pPr>
      <w:r>
        <w:rPr>
          <w:rFonts w:ascii="Cambria" w:cs="Cambria" w:eastAsia="Cambria" w:hAnsi="Cambria"/>
          <w:b/>
          <w:bCs/>
          <w:color w:val="1A1A1A"/>
          <w:sz w:val="22"/>
          <w:szCs w:val="22"/>
        </w:rPr>
        <w:t xml:space="preserve">3. Clean logistic regression baseline (completed; converged official results)</w:t>
      </w:r>
    </w:p>
    <w:p>
      <w:pPr>
        <w:spacing w:after="30" w:before="0" w:line="240" w:lineRule="exact"/>
        <w:jc w:val="both"/>
      </w:pPr>
      <w:r>
        <w:rPr>
          <w:rFonts w:ascii="Cambria" w:cs="Cambria" w:eastAsia="Cambria" w:hAnsi="Cambria"/>
          <w:color w:val="1A1A1A"/>
          <w:sz w:val="21"/>
          <w:szCs w:val="21"/>
        </w:rPr>
        <w:t xml:space="preserve">I fitted one L2-regularized logistic regression (scikit-learn, C = 1, no class weights), </w:t>
      </w:r>
      <w:r>
        <w:rPr>
          <w:rFonts w:ascii="Cambria" w:cs="Cambria" w:eastAsia="Cambria" w:hAnsi="Cambria"/>
          <w:i/>
          <w:iCs/>
          <w:color w:val="1A1A1A"/>
          <w:sz w:val="21"/>
          <w:szCs w:val="21"/>
        </w:rPr>
        <w:t xml:space="preserve">p</w:t>
      </w:r>
      <w:r>
        <w:rPr>
          <w:rFonts w:ascii="Cambria" w:cs="Cambria" w:eastAsia="Cambria" w:hAnsi="Cambria"/>
          <w:color w:val="1A1A1A"/>
          <w:sz w:val="21"/>
          <w:szCs w:val="21"/>
        </w:rPr>
        <w:t xml:space="preserve"> = 1/(1 + </w:t>
      </w:r>
      <w:r>
        <w:rPr>
          <w:rFonts w:ascii="Cambria" w:cs="Cambria" w:eastAsia="Cambria" w:hAnsi="Cambria"/>
          <w:i/>
          <w:iCs/>
          <w:color w:val="1A1A1A"/>
          <w:sz w:val="21"/>
          <w:szCs w:val="21"/>
        </w:rPr>
        <w:t xml:space="preserve">e</w:t>
      </w:r>
      <w:r>
        <w:rPr>
          <w:rFonts w:ascii="Cambria" w:cs="Cambria" w:eastAsia="Cambria" w:hAnsi="Cambria"/>
          <w:color w:val="1A1A1A"/>
          <w:sz w:val="21"/>
          <w:szCs w:val="21"/>
          <w:vertAlign w:val="superscript"/>
        </w:rPr>
        <w:t xml:space="preserve">−z</w:t>
      </w:r>
      <w:r>
        <w:rPr>
          <w:rFonts w:ascii="Cambria" w:cs="Cambria" w:eastAsia="Cambria" w:hAnsi="Cambria"/>
          <w:color w:val="1A1A1A"/>
          <w:sz w:val="21"/>
          <w:szCs w:val="21"/>
        </w:rPr>
        <w:t xml:space="preserve">) with </w:t>
      </w:r>
      <w:r>
        <w:rPr>
          <w:rFonts w:ascii="Cambria" w:cs="Cambria" w:eastAsia="Cambria" w:hAnsi="Cambria"/>
          <w:i/>
          <w:iCs/>
          <w:color w:val="1A1A1A"/>
          <w:sz w:val="21"/>
          <w:szCs w:val="21"/>
        </w:rPr>
        <w:t xml:space="preserve">z</w:t>
      </w:r>
      <w:r>
        <w:rPr>
          <w:rFonts w:ascii="Cambria" w:cs="Cambria" w:eastAsia="Cambria" w:hAnsi="Cambria"/>
          <w:color w:val="1A1A1A"/>
          <w:sz w:val="21"/>
          <w:szCs w:val="21"/>
        </w:rPr>
        <w:t xml:space="preserve"> = </w:t>
      </w:r>
      <w:r>
        <w:rPr>
          <w:rFonts w:ascii="Cambria" w:cs="Cambria" w:eastAsia="Cambria" w:hAnsi="Cambria"/>
          <w:i/>
          <w:iCs/>
          <w:color w:val="1A1A1A"/>
          <w:sz w:val="21"/>
          <w:szCs w:val="21"/>
        </w:rPr>
        <w:t xml:space="preserve">b</w:t>
      </w:r>
      <w:r>
        <w:rPr>
          <w:rFonts w:ascii="Cambria" w:cs="Cambria" w:eastAsia="Cambria" w:hAnsi="Cambria"/>
          <w:color w:val="1A1A1A"/>
          <w:sz w:val="21"/>
          <w:szCs w:val="21"/>
          <w:vertAlign w:val="subscript"/>
        </w:rPr>
        <w:t xml:space="preserve">0</w:t>
      </w:r>
      <w:r>
        <w:rPr>
          <w:rFonts w:ascii="Cambria" w:cs="Cambria" w:eastAsia="Cambria" w:hAnsi="Cambria"/>
          <w:color w:val="1A1A1A"/>
          <w:sz w:val="21"/>
          <w:szCs w:val="21"/>
        </w:rPr>
        <w:t xml:space="preserve"> + </w:t>
      </w:r>
      <w:r>
        <w:rPr>
          <w:rFonts w:ascii="Cambria" w:cs="Cambria" w:eastAsia="Cambria" w:hAnsi="Cambria"/>
          <w:b/>
          <w:bCs/>
          <w:color w:val="1A1A1A"/>
          <w:sz w:val="21"/>
          <w:szCs w:val="21"/>
        </w:rPr>
        <w:t xml:space="preserve">x</w:t>
      </w:r>
      <w:r>
        <w:rPr>
          <w:rFonts w:ascii="Cambria" w:cs="Cambria" w:eastAsia="Cambria" w:hAnsi="Cambria"/>
          <w:color w:val="1A1A1A"/>
          <w:sz w:val="21"/>
          <w:szCs w:val="21"/>
        </w:rPr>
        <w:t xml:space="preserve">′</w:t>
      </w:r>
      <w:r>
        <w:rPr>
          <w:rFonts w:ascii="Cambria" w:cs="Cambria" w:eastAsia="Cambria" w:hAnsi="Cambria"/>
          <w:b/>
          <w:bCs/>
          <w:color w:val="1A1A1A"/>
          <w:sz w:val="21"/>
          <w:szCs w:val="21"/>
        </w:rPr>
        <w:t xml:space="preserve">b</w:t>
      </w:r>
      <w:r>
        <w:rPr>
          <w:rFonts w:ascii="Cambria" w:cs="Cambria" w:eastAsia="Cambria" w:hAnsi="Cambria"/>
          <w:color w:val="1A1A1A"/>
          <w:sz w:val="21"/>
          <w:szCs w:val="21"/>
        </w:rPr>
        <w:t xml:space="preserve">, on 23 inputs: origination fields (e.g., FICO, LTV, DTI plus a missing-DTI flag, rate, log loan amount) and summaries known at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 (status, loan age, worst status and 30+ months in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−11 …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 prior 90+, modification, disaster and assistance flags). Median imputation, scaling and encoding are fitted on training rows only. </w:t>
      </w:r>
      <w:r>
        <w:rPr>
          <w:rFonts w:ascii="Cambria" w:cs="Cambria" w:eastAsia="Cambria" w:hAnsi="Cambria"/>
          <w:i/>
          <w:iCs/>
          <w:color w:val="1A1A1A"/>
          <w:sz w:val="21"/>
          <w:szCs w:val="21"/>
        </w:rPr>
        <w:t xml:space="preserve">Chronological split:</w:t>
      </w:r>
      <w:r>
        <w:rPr>
          <w:rFonts w:ascii="Cambria" w:cs="Cambria" w:eastAsia="Cambria" w:hAnsi="Cambria"/>
          <w:color w:val="1A1A1A"/>
          <w:sz w:val="21"/>
          <w:szCs w:val="21"/>
        </w:rPr>
        <w:t xml:space="preserve"> train on December 2015–2018 and test on December 2021–2024; the COVID-19 forbearance windows of December 2019–2020 form a stress set never used for fitting. </w:t>
      </w:r>
      <w:r>
        <w:rPr>
          <w:rFonts w:ascii="Cambria" w:cs="Cambria" w:eastAsia="Cambria" w:hAnsi="Cambria"/>
          <w:i/>
          <w:iCs/>
          <w:color w:val="1A1A1A"/>
          <w:sz w:val="21"/>
          <w:szCs w:val="21"/>
        </w:rPr>
        <w:t xml:space="preserve">Loan-disjoint split:</w:t>
      </w:r>
      <w:r>
        <w:rPr>
          <w:rFonts w:ascii="Cambria" w:cs="Cambria" w:eastAsia="Cambria" w:hAnsi="Cambria"/>
          <w:color w:val="1A1A1A"/>
          <w:sz w:val="21"/>
          <w:szCs w:val="21"/>
        </w:rPr>
        <w:t xml:space="preserve"> SHA-256(loan ID) mod 100 &lt; 70 fixes each loan’s pool across all years, and test and stress use only the other loans, so no loan is in both training and test (asserted in code). A future-invariance test with a mutation check (4/4 pass) shows no feature reads data after </w:t>
      </w:r>
      <w:r>
        <w:rPr>
          <w:rFonts w:ascii="Cambria" w:cs="Cambria" w:eastAsia="Cambria" w:hAnsi="Cambria"/>
          <w:i/>
          <w:iCs/>
          <w:color w:val="1A1A1A"/>
          <w:sz w:val="21"/>
          <w:szCs w:val="21"/>
        </w:rPr>
        <w:t xml:space="preserve">t</w:t>
      </w:r>
      <w:r>
        <w:rPr>
          <w:rFonts w:ascii="Cambria" w:cs="Cambria" w:eastAsia="Cambria" w:hAnsi="Cambria"/>
          <w:color w:val="1A1A1A"/>
          <w:sz w:val="21"/>
          <w:szCs w:val="21"/>
        </w:rPr>
        <w:t xml:space="preserve">.</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0"/>
        <w:gridCol w:w="1100"/>
        <w:gridCol w:w="850"/>
        <w:gridCol w:w="850"/>
        <w:gridCol w:w="1100"/>
        <w:gridCol w:w="1100"/>
        <w:gridCol w:w="1880"/>
        <w:gridCol w:w="850"/>
        <w:gridCol w:w="1744"/>
      </w:tblGrid>
      <w:tr>
        <w:trPr>
          <w:cantSplit/>
          <w:tblHeader/>
        </w:trPr>
        <w:tc>
          <w:tcPr>
            <w:tcW w:type="dxa" w:w="75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left"/>
            </w:pPr>
            <w:r>
              <w:rPr>
                <w:rFonts w:ascii="Cambria" w:cs="Cambria" w:eastAsia="Cambria" w:hAnsi="Cambria"/>
                <w:b/>
                <w:bCs/>
                <w:color w:val="1A1A1A"/>
                <w:sz w:val="18"/>
                <w:szCs w:val="18"/>
              </w:rPr>
              <w:t xml:space="preserve">Set</w:t>
            </w:r>
          </w:p>
        </w:tc>
        <w:tc>
          <w:tcPr>
            <w:tcW w:type="dxa" w:w="110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left"/>
            </w:pPr>
            <w:r>
              <w:rPr>
                <w:rFonts w:ascii="Cambria" w:cs="Cambria" w:eastAsia="Cambria" w:hAnsi="Cambria"/>
                <w:b/>
                <w:bCs/>
                <w:color w:val="1A1A1A"/>
                <w:sz w:val="18"/>
                <w:szCs w:val="18"/>
              </w:rPr>
              <w:t xml:space="preserve">Decembers</w:t>
            </w:r>
          </w:p>
        </w:tc>
        <w:tc>
          <w:tcPr>
            <w:tcW w:type="dxa" w:w="85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right"/>
            </w:pPr>
            <w:r>
              <w:rPr>
                <w:rFonts w:ascii="Cambria" w:cs="Cambria" w:eastAsia="Cambria" w:hAnsi="Cambria"/>
                <w:b/>
                <w:bCs/>
                <w:color w:val="1A1A1A"/>
                <w:sz w:val="18"/>
                <w:szCs w:val="18"/>
              </w:rPr>
              <w:t xml:space="preserve">Rows</w:t>
            </w:r>
          </w:p>
        </w:tc>
        <w:tc>
          <w:tcPr>
            <w:tcW w:type="dxa" w:w="85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right"/>
            </w:pPr>
            <w:r>
              <w:rPr>
                <w:rFonts w:ascii="Cambria" w:cs="Cambria" w:eastAsia="Cambria" w:hAnsi="Cambria"/>
                <w:b/>
                <w:bCs/>
                <w:color w:val="1A1A1A"/>
                <w:sz w:val="18"/>
                <w:szCs w:val="18"/>
              </w:rPr>
              <w:t xml:space="preserve">Events</w:t>
            </w:r>
          </w:p>
        </w:tc>
        <w:tc>
          <w:tcPr>
            <w:tcW w:type="dxa" w:w="110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right"/>
            </w:pPr>
            <w:r>
              <w:rPr>
                <w:rFonts w:ascii="Cambria" w:cs="Cambria" w:eastAsia="Cambria" w:hAnsi="Cambria"/>
                <w:b/>
                <w:bCs/>
                <w:color w:val="1A1A1A"/>
                <w:sz w:val="18"/>
                <w:szCs w:val="18"/>
              </w:rPr>
              <w:t xml:space="preserve">Event rate</w:t>
            </w:r>
          </w:p>
        </w:tc>
        <w:tc>
          <w:tcPr>
            <w:tcW w:type="dxa" w:w="110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right"/>
            </w:pPr>
            <w:r>
              <w:rPr>
                <w:rFonts w:ascii="Cambria" w:cs="Cambria" w:eastAsia="Cambria" w:hAnsi="Cambria"/>
                <w:b/>
                <w:bCs/>
                <w:color w:val="1A1A1A"/>
                <w:sz w:val="18"/>
                <w:szCs w:val="18"/>
              </w:rPr>
              <w:t xml:space="preserve">Mean pred.</w:t>
            </w:r>
          </w:p>
        </w:tc>
        <w:tc>
          <w:tcPr>
            <w:tcW w:type="dxa" w:w="188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right"/>
            </w:pPr>
            <w:r>
              <w:rPr>
                <w:rFonts w:ascii="Cambria" w:cs="Cambria" w:eastAsia="Cambria" w:hAnsi="Cambria"/>
                <w:b/>
                <w:bCs/>
                <w:color w:val="1A1A1A"/>
                <w:sz w:val="18"/>
                <w:szCs w:val="18"/>
              </w:rPr>
              <w:t xml:space="preserve">ROC-AUC [95% CI]</w:t>
            </w:r>
          </w:p>
        </w:tc>
        <w:tc>
          <w:tcPr>
            <w:tcW w:type="dxa" w:w="85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right"/>
            </w:pPr>
            <w:r>
              <w:rPr>
                <w:rFonts w:ascii="Cambria" w:cs="Cambria" w:eastAsia="Cambria" w:hAnsi="Cambria"/>
                <w:b/>
                <w:bCs/>
                <w:color w:val="1A1A1A"/>
                <w:sz w:val="18"/>
                <w:szCs w:val="18"/>
              </w:rPr>
              <w:t xml:space="preserve">PR-AUC</w:t>
            </w:r>
          </w:p>
        </w:tc>
        <w:tc>
          <w:tcPr>
            <w:tcW w:type="dxa" w:w="1744"/>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right"/>
            </w:pPr>
            <w:r>
              <w:rPr>
                <w:rFonts w:ascii="Cambria" w:cs="Cambria" w:eastAsia="Cambria" w:hAnsi="Cambria"/>
                <w:b/>
                <w:bCs/>
                <w:color w:val="1A1A1A"/>
                <w:sz w:val="18"/>
                <w:szCs w:val="18"/>
              </w:rPr>
              <w:t xml:space="preserve">Brier (base rate)</w:t>
            </w:r>
          </w:p>
        </w:tc>
      </w:tr>
      <w:tr>
        <w:trPr>
          <w:cantSplit/>
          <w:tblHeader w:val="off"/>
        </w:trPr>
        <w:tc>
          <w:tcPr>
            <w:tcW w:type="dxa" w:w="7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Train</w:t>
            </w:r>
          </w:p>
        </w:tc>
        <w:tc>
          <w:tcPr>
            <w:tcW w:type="dxa" w:w="11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2015–2018</w:t>
            </w:r>
          </w:p>
        </w:tc>
        <w:tc>
          <w:tcPr>
            <w:tcW w:type="dxa" w:w="8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101,843</w:t>
            </w:r>
          </w:p>
        </w:tc>
        <w:tc>
          <w:tcPr>
            <w:tcW w:type="dxa" w:w="8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462</w:t>
            </w:r>
          </w:p>
        </w:tc>
        <w:tc>
          <w:tcPr>
            <w:tcW w:type="dxa" w:w="11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0.45%</w:t>
            </w:r>
          </w:p>
        </w:tc>
        <w:tc>
          <w:tcPr>
            <w:tcW w:type="dxa" w:w="11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0.45%</w:t>
            </w:r>
          </w:p>
        </w:tc>
        <w:tc>
          <w:tcPr>
            <w:tcW w:type="dxa" w:w="188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0.891 [0.873, 0.909]</w:t>
            </w:r>
          </w:p>
        </w:tc>
        <w:tc>
          <w:tcPr>
            <w:tcW w:type="dxa" w:w="8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0.256</w:t>
            </w:r>
          </w:p>
        </w:tc>
        <w:tc>
          <w:tcPr>
            <w:tcW w:type="dxa" w:w="1744"/>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0.00381 (0.00452)</w:t>
            </w:r>
          </w:p>
        </w:tc>
      </w:tr>
      <w:tr>
        <w:trPr>
          <w:cantSplit/>
          <w:tblHeader w:val="off"/>
        </w:trPr>
        <w:tc>
          <w:tcPr>
            <w:tcW w:type="dxa" w:w="7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Test</w:t>
            </w:r>
          </w:p>
        </w:tc>
        <w:tc>
          <w:tcPr>
            <w:tcW w:type="dxa" w:w="11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2021–2024</w:t>
            </w:r>
          </w:p>
        </w:tc>
        <w:tc>
          <w:tcPr>
            <w:tcW w:type="dxa" w:w="8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15,716</w:t>
            </w:r>
          </w:p>
        </w:tc>
        <w:tc>
          <w:tcPr>
            <w:tcW w:type="dxa" w:w="8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119</w:t>
            </w:r>
          </w:p>
        </w:tc>
        <w:tc>
          <w:tcPr>
            <w:tcW w:type="dxa" w:w="11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0.76%</w:t>
            </w:r>
          </w:p>
        </w:tc>
        <w:tc>
          <w:tcPr>
            <w:tcW w:type="dxa" w:w="11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0.45%</w:t>
            </w:r>
          </w:p>
        </w:tc>
        <w:tc>
          <w:tcPr>
            <w:tcW w:type="dxa" w:w="188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0.893 [0.848, 0.928]</w:t>
            </w:r>
          </w:p>
        </w:tc>
        <w:tc>
          <w:tcPr>
            <w:tcW w:type="dxa" w:w="8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0.301</w:t>
            </w:r>
          </w:p>
        </w:tc>
        <w:tc>
          <w:tcPr>
            <w:tcW w:type="dxa" w:w="1744"/>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right"/>
            </w:pPr>
            <w:r>
              <w:rPr>
                <w:rFonts w:ascii="Cambria" w:cs="Cambria" w:eastAsia="Cambria" w:hAnsi="Cambria"/>
                <w:color w:val="1A1A1A"/>
                <w:sz w:val="18"/>
                <w:szCs w:val="18"/>
              </w:rPr>
              <w:t xml:space="preserve">0.00622 (0.00751)</w:t>
            </w:r>
          </w:p>
        </w:tc>
      </w:tr>
      <w:tr>
        <w:trPr>
          <w:cantSplit/>
          <w:tblHeader w:val="off"/>
        </w:trPr>
        <w:tc>
          <w:tcPr>
            <w:tcW w:type="dxa" w:w="75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left"/>
            </w:pPr>
            <w:r>
              <w:rPr>
                <w:rFonts w:ascii="Cambria" w:cs="Cambria" w:eastAsia="Cambria" w:hAnsi="Cambria"/>
                <w:color w:val="1A1A1A"/>
                <w:sz w:val="18"/>
                <w:szCs w:val="18"/>
              </w:rPr>
              <w:t xml:space="preserve">Stress</w:t>
            </w:r>
          </w:p>
        </w:tc>
        <w:tc>
          <w:tcPr>
            <w:tcW w:type="dxa" w:w="110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left"/>
            </w:pPr>
            <w:r>
              <w:rPr>
                <w:rFonts w:ascii="Cambria" w:cs="Cambria" w:eastAsia="Cambria" w:hAnsi="Cambria"/>
                <w:color w:val="1A1A1A"/>
                <w:sz w:val="18"/>
                <w:szCs w:val="18"/>
              </w:rPr>
              <w:t xml:space="preserve">2019–2020</w:t>
            </w:r>
          </w:p>
        </w:tc>
        <w:tc>
          <w:tcPr>
            <w:tcW w:type="dxa" w:w="85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right"/>
            </w:pPr>
            <w:r>
              <w:rPr>
                <w:rFonts w:ascii="Cambria" w:cs="Cambria" w:eastAsia="Cambria" w:hAnsi="Cambria"/>
                <w:color w:val="1A1A1A"/>
                <w:sz w:val="18"/>
                <w:szCs w:val="18"/>
              </w:rPr>
              <w:t xml:space="preserve">12,445</w:t>
            </w:r>
          </w:p>
        </w:tc>
        <w:tc>
          <w:tcPr>
            <w:tcW w:type="dxa" w:w="85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right"/>
            </w:pPr>
            <w:r>
              <w:rPr>
                <w:rFonts w:ascii="Cambria" w:cs="Cambria" w:eastAsia="Cambria" w:hAnsi="Cambria"/>
                <w:color w:val="1A1A1A"/>
                <w:sz w:val="18"/>
                <w:szCs w:val="18"/>
              </w:rPr>
              <w:t xml:space="preserve">422</w:t>
            </w:r>
          </w:p>
        </w:tc>
        <w:tc>
          <w:tcPr>
            <w:tcW w:type="dxa" w:w="110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right"/>
            </w:pPr>
            <w:r>
              <w:rPr>
                <w:rFonts w:ascii="Cambria" w:cs="Cambria" w:eastAsia="Cambria" w:hAnsi="Cambria"/>
                <w:color w:val="1A1A1A"/>
                <w:sz w:val="18"/>
                <w:szCs w:val="18"/>
              </w:rPr>
              <w:t xml:space="preserve">3.39%</w:t>
            </w:r>
          </w:p>
        </w:tc>
        <w:tc>
          <w:tcPr>
            <w:tcW w:type="dxa" w:w="110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right"/>
            </w:pPr>
            <w:r>
              <w:rPr>
                <w:rFonts w:ascii="Cambria" w:cs="Cambria" w:eastAsia="Cambria" w:hAnsi="Cambria"/>
                <w:color w:val="1A1A1A"/>
                <w:sz w:val="18"/>
                <w:szCs w:val="18"/>
              </w:rPr>
              <w:t xml:space="preserve">0.60%</w:t>
            </w:r>
          </w:p>
        </w:tc>
        <w:tc>
          <w:tcPr>
            <w:tcW w:type="dxa" w:w="188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right"/>
            </w:pPr>
            <w:r>
              <w:rPr>
                <w:rFonts w:ascii="Cambria" w:cs="Cambria" w:eastAsia="Cambria" w:hAnsi="Cambria"/>
                <w:color w:val="1A1A1A"/>
                <w:sz w:val="18"/>
                <w:szCs w:val="18"/>
              </w:rPr>
              <w:t xml:space="preserve">0.733 [0.707, 0.758]</w:t>
            </w:r>
          </w:p>
        </w:tc>
        <w:tc>
          <w:tcPr>
            <w:tcW w:type="dxa" w:w="85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right"/>
            </w:pPr>
            <w:r>
              <w:rPr>
                <w:rFonts w:ascii="Cambria" w:cs="Cambria" w:eastAsia="Cambria" w:hAnsi="Cambria"/>
                <w:color w:val="1A1A1A"/>
                <w:sz w:val="18"/>
                <w:szCs w:val="18"/>
              </w:rPr>
              <w:t xml:space="preserve">0.153</w:t>
            </w:r>
          </w:p>
        </w:tc>
        <w:tc>
          <w:tcPr>
            <w:tcW w:type="dxa" w:w="1744"/>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right"/>
            </w:pPr>
            <w:r>
              <w:rPr>
                <w:rFonts w:ascii="Cambria" w:cs="Cambria" w:eastAsia="Cambria" w:hAnsi="Cambria"/>
                <w:color w:val="1A1A1A"/>
                <w:sz w:val="18"/>
                <w:szCs w:val="18"/>
              </w:rPr>
              <w:t xml:space="preserve">0.03207 (0.03276)</w:t>
            </w:r>
          </w:p>
        </w:tc>
      </w:tr>
    </w:tbl>
    <w:p>
      <w:pPr>
        <w:spacing w:after="0" w:before="20" w:line="210" w:lineRule="exact"/>
        <w:jc w:val="both"/>
      </w:pPr>
      <w:r>
        <w:rPr>
          <w:rFonts w:ascii="Cambria" w:cs="Cambria" w:eastAsia="Cambria" w:hAnsi="Cambria"/>
          <w:color w:val="1A1A1A"/>
          <w:sz w:val="18"/>
          <w:szCs w:val="18"/>
        </w:rPr>
        <w:t xml:space="preserve">CIs: loan-clustered bootstrap, 1,000 resamples; all stored values reproduce within 10</w:t>
      </w:r>
      <w:r>
        <w:rPr>
          <w:rFonts w:ascii="Cambria" w:cs="Cambria" w:eastAsia="Cambria" w:hAnsi="Cambria"/>
          <w:color w:val="1A1A1A"/>
          <w:sz w:val="18"/>
          <w:szCs w:val="18"/>
          <w:vertAlign w:val="superscript"/>
        </w:rPr>
        <w:t xml:space="preserve">−9</w:t>
      </w:r>
      <w:r>
        <w:rPr>
          <w:rFonts w:ascii="Cambria" w:cs="Cambria" w:eastAsia="Cambria" w:hAnsi="Cambria"/>
          <w:color w:val="1A1A1A"/>
          <w:sz w:val="18"/>
          <w:szCs w:val="18"/>
        </w:rPr>
        <w:t xml:space="preserve">. With 119 test events, CIs are wide. The model ranks test loans well but under-predicts their level (0.45% vs 0.76%): a calibration finding, not a code defect; the higher test event rate is not yet analyzed. </w:t>
      </w:r>
      <w:r>
        <w:rPr>
          <w:rFonts w:ascii="Cambria" w:cs="Cambria" w:eastAsia="Cambria" w:hAnsi="Cambria"/>
          <w:i/>
          <w:iCs/>
          <w:color w:val="1A1A1A"/>
          <w:sz w:val="18"/>
          <w:szCs w:val="18"/>
        </w:rPr>
        <w:t xml:space="preserve">Numerical correction:</w:t>
      </w:r>
      <w:r>
        <w:rPr>
          <w:rFonts w:ascii="Cambria" w:cs="Cambria" w:eastAsia="Cambria" w:hAnsi="Cambria"/>
          <w:color w:val="1A1A1A"/>
          <w:sz w:val="18"/>
          <w:szCs w:val="18"/>
        </w:rPr>
        <w:t xml:space="preserve"> converged results (tolerance 10</w:t>
      </w:r>
      <w:r>
        <w:rPr>
          <w:rFonts w:ascii="Cambria" w:cs="Cambria" w:eastAsia="Cambria" w:hAnsi="Cambria"/>
          <w:color w:val="1A1A1A"/>
          <w:sz w:val="18"/>
          <w:szCs w:val="18"/>
          <w:vertAlign w:val="superscript"/>
        </w:rPr>
        <w:t xml:space="preserve">−8</w:t>
      </w:r>
      <w:r>
        <w:rPr>
          <w:rFonts w:ascii="Cambria" w:cs="Cambria" w:eastAsia="Cambria" w:hAnsi="Cambria"/>
          <w:color w:val="1A1A1A"/>
          <w:sz w:val="18"/>
          <w:szCs w:val="18"/>
        </w:rPr>
        <w:t xml:space="preserve">; Newton’s method agrees) replace the default-10</w:t>
      </w:r>
      <w:r>
        <w:rPr>
          <w:rFonts w:ascii="Cambria" w:cs="Cambria" w:eastAsia="Cambria" w:hAnsi="Cambria"/>
          <w:color w:val="1A1A1A"/>
          <w:sz w:val="18"/>
          <w:szCs w:val="18"/>
          <w:vertAlign w:val="superscript"/>
        </w:rPr>
        <w:t xml:space="preserve">−4</w:t>
      </w:r>
      <w:r>
        <w:rPr>
          <w:rFonts w:ascii="Cambria" w:cs="Cambria" w:eastAsia="Cambria" w:hAnsi="Cambria"/>
          <w:color w:val="1A1A1A"/>
          <w:sz w:val="18"/>
          <w:szCs w:val="18"/>
        </w:rPr>
        <w:t xml:space="preserve"> fit (test ROC-AUC 0.894, PR-AUC 0.307): discrimination is materially unchanged, but rare-category predictions moved up to 0.12.</w:t>
      </w:r>
    </w:p>
    <w:p>
      <w:pPr>
        <w:pStyle w:val="Heading1"/>
        <w:keepNext/>
        <w:pageBreakBefore/>
        <w:spacing w:after="20" w:before="0" w:line="260" w:lineRule="exact"/>
      </w:pPr>
      <w:r>
        <w:rPr>
          <w:rFonts w:ascii="Cambria" w:cs="Cambria" w:eastAsia="Cambria" w:hAnsi="Cambria"/>
          <w:b/>
          <w:bCs/>
          <w:color w:val="1A1A1A"/>
          <w:sz w:val="22"/>
          <w:szCs w:val="22"/>
        </w:rPr>
        <w:t xml:space="preserve">4. MRM-Bench: four verified defect pairs (completed; a feasibility pilot)</w:t>
      </w:r>
    </w:p>
    <w:p>
      <w:pPr>
        <w:spacing w:after="40" w:before="0" w:line="240" w:lineRule="exact"/>
        <w:jc w:val="both"/>
      </w:pPr>
      <w:r>
        <w:rPr>
          <w:rFonts w:ascii="Cambria" w:cs="Cambria" w:eastAsia="Cambria" w:hAnsi="Cambria"/>
          <w:color w:val="1A1A1A"/>
          <w:sz w:val="21"/>
          <w:szCs w:val="21"/>
        </w:rPr>
        <w:t xml:space="preserve">Loan data contain no answer key for code defects, so I built one. Each case has a written specification (rules, math, provenance), an implementation, a label and synthetic-data tests with hand-derived expected values.</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1900"/>
        <w:gridCol w:w="2650"/>
        <w:gridCol w:w="3274"/>
        <w:gridCol w:w="1150"/>
      </w:tblGrid>
      <w:tr>
        <w:trPr>
          <w:cantSplit/>
          <w:tblHeader/>
        </w:trPr>
        <w:tc>
          <w:tcPr>
            <w:tcW w:type="dxa" w:w="125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left"/>
            </w:pPr>
            <w:r>
              <w:rPr>
                <w:rFonts w:ascii="Cambria" w:cs="Cambria" w:eastAsia="Cambria" w:hAnsi="Cambria"/>
                <w:b/>
                <w:bCs/>
                <w:color w:val="1A1A1A"/>
                <w:sz w:val="18"/>
                <w:szCs w:val="18"/>
              </w:rPr>
              <w:t xml:space="preserve">Pair</w:t>
            </w:r>
          </w:p>
        </w:tc>
        <w:tc>
          <w:tcPr>
            <w:tcW w:type="dxa" w:w="190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left"/>
            </w:pPr>
            <w:r>
              <w:rPr>
                <w:rFonts w:ascii="Cambria" w:cs="Cambria" w:eastAsia="Cambria" w:hAnsi="Cambria"/>
                <w:b/>
                <w:bCs/>
                <w:color w:val="1A1A1A"/>
                <w:sz w:val="18"/>
                <w:szCs w:val="18"/>
              </w:rPr>
              <w:t xml:space="preserve">Faulty case</w:t>
            </w:r>
          </w:p>
        </w:tc>
        <w:tc>
          <w:tcPr>
            <w:tcW w:type="dxa" w:w="265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left"/>
            </w:pPr>
            <w:r>
              <w:rPr>
                <w:rFonts w:ascii="Cambria" w:cs="Cambria" w:eastAsia="Cambria" w:hAnsi="Cambria"/>
                <w:b/>
                <w:bCs/>
                <w:color w:val="1A1A1A"/>
                <w:sz w:val="18"/>
                <w:szCs w:val="18"/>
              </w:rPr>
              <w:t xml:space="preserve">Valid twin (false-alarm trap)</w:t>
            </w:r>
          </w:p>
        </w:tc>
        <w:tc>
          <w:tcPr>
            <w:tcW w:type="dxa" w:w="3274"/>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left"/>
            </w:pPr>
            <w:r>
              <w:rPr>
                <w:rFonts w:ascii="Cambria" w:cs="Cambria" w:eastAsia="Cambria" w:hAnsi="Cambria"/>
                <w:b/>
                <w:bCs/>
                <w:color w:val="1A1A1A"/>
                <w:sz w:val="18"/>
                <w:szCs w:val="18"/>
              </w:rPr>
              <w:t xml:space="preserve">Key synthetic counterexample</w:t>
            </w:r>
          </w:p>
        </w:tc>
        <w:tc>
          <w:tcPr>
            <w:tcW w:type="dxa" w:w="115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left"/>
            </w:pPr>
            <w:r>
              <w:rPr>
                <w:rFonts w:ascii="Cambria" w:cs="Cambria" w:eastAsia="Cambria" w:hAnsi="Cambria"/>
                <w:b/>
                <w:bCs/>
                <w:color w:val="1A1A1A"/>
                <w:sz w:val="18"/>
                <w:szCs w:val="18"/>
              </w:rPr>
              <w:t xml:space="preserve">Tests failed</w:t>
            </w:r>
          </w:p>
        </w:tc>
      </w:tr>
      <w:tr>
        <w:trPr>
          <w:cantSplit/>
          <w:tblHeader w:val="off"/>
        </w:trPr>
        <w:tc>
          <w:tcPr>
            <w:tcW w:type="dxa" w:w="12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P1 Preprocessing</w:t>
            </w:r>
          </w:p>
        </w:tc>
        <w:tc>
          <w:tcPr>
            <w:tcW w:type="dxa" w:w="19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DTI code 999 used as a number</w:t>
            </w:r>
          </w:p>
        </w:tc>
        <w:tc>
          <w:tcPr>
            <w:tcW w:type="dxa" w:w="26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999 → missing, plus a flag and training-median imputation</w:t>
            </w:r>
          </w:p>
        </w:tc>
        <w:tc>
          <w:tcPr>
            <w:tcW w:type="dxa" w:w="3274"/>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DTI {10, 20, 30, 40, 999, 999}: median must be 25; faulty gives 35</w:t>
            </w:r>
          </w:p>
        </w:tc>
        <w:tc>
          <w:tcPr>
            <w:tcW w:type="dxa" w:w="11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faulty 7/27</w:t>
            </w:r>
          </w:p>
          <w:p>
            <w:pPr>
              <w:keepNext/>
              <w:spacing w:after="0" w:before="0" w:line="210" w:lineRule="exact"/>
              <w:jc w:val="left"/>
            </w:pPr>
            <w:r>
              <w:rPr>
                <w:rFonts w:ascii="Cambria" w:cs="Cambria" w:eastAsia="Cambria" w:hAnsi="Cambria"/>
                <w:color w:val="1A1A1A"/>
                <w:sz w:val="18"/>
                <w:szCs w:val="18"/>
              </w:rPr>
              <w:t xml:space="preserve">valid 0/27</w:t>
            </w:r>
          </w:p>
        </w:tc>
      </w:tr>
      <w:tr>
        <w:trPr>
          <w:cantSplit/>
          <w:tblHeader w:val="off"/>
        </w:trPr>
        <w:tc>
          <w:tcPr>
            <w:tcW w:type="dxa" w:w="12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P2 Formula</w:t>
            </w:r>
          </w:p>
        </w:tc>
        <w:tc>
          <w:tcPr>
            <w:tcW w:type="dxa" w:w="19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i/>
                <w:iCs/>
                <w:color w:val="1A1A1A"/>
                <w:sz w:val="18"/>
                <w:szCs w:val="18"/>
              </w:rPr>
              <w:t xml:space="preserve">p</w:t>
            </w:r>
            <w:r>
              <w:rPr>
                <w:rFonts w:ascii="Cambria" w:cs="Cambria" w:eastAsia="Cambria" w:hAnsi="Cambria"/>
                <w:color w:val="1A1A1A"/>
                <w:sz w:val="18"/>
                <w:szCs w:val="18"/>
              </w:rPr>
              <w:t xml:space="preserve"> = 1/(1 + </w:t>
            </w:r>
            <w:r>
              <w:rPr>
                <w:rFonts w:ascii="Cambria" w:cs="Cambria" w:eastAsia="Cambria" w:hAnsi="Cambria"/>
                <w:i/>
                <w:iCs/>
                <w:color w:val="1A1A1A"/>
                <w:sz w:val="18"/>
                <w:szCs w:val="18"/>
              </w:rPr>
              <w:t xml:space="preserve">e</w:t>
            </w:r>
            <w:r>
              <w:rPr>
                <w:rFonts w:ascii="Cambria" w:cs="Cambria" w:eastAsia="Cambria" w:hAnsi="Cambria"/>
                <w:color w:val="1A1A1A"/>
                <w:sz w:val="18"/>
                <w:szCs w:val="18"/>
                <w:vertAlign w:val="superscript"/>
              </w:rPr>
              <w:t xml:space="preserve">z</w:t>
            </w:r>
            <w:r>
              <w:rPr>
                <w:rFonts w:ascii="Cambria" w:cs="Cambria" w:eastAsia="Cambria" w:hAnsi="Cambria"/>
                <w:color w:val="1A1A1A"/>
                <w:sz w:val="18"/>
                <w:szCs w:val="18"/>
              </w:rPr>
              <w:t xml:space="preserve">), a sign error</w:t>
            </w:r>
          </w:p>
        </w:tc>
        <w:tc>
          <w:tcPr>
            <w:tcW w:type="dxa" w:w="26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i/>
                <w:iCs/>
                <w:color w:val="1A1A1A"/>
                <w:sz w:val="18"/>
                <w:szCs w:val="18"/>
              </w:rPr>
              <w:t xml:space="preserve">p</w:t>
            </w:r>
            <w:r>
              <w:rPr>
                <w:rFonts w:ascii="Cambria" w:cs="Cambria" w:eastAsia="Cambria" w:hAnsi="Cambria"/>
                <w:color w:val="1A1A1A"/>
                <w:sz w:val="18"/>
                <w:szCs w:val="18"/>
              </w:rPr>
              <w:t xml:space="preserve"> = ½(1 + tanh(</w:t>
            </w:r>
            <w:r>
              <w:rPr>
                <w:rFonts w:ascii="Cambria" w:cs="Cambria" w:eastAsia="Cambria" w:hAnsi="Cambria"/>
                <w:i/>
                <w:iCs/>
                <w:color w:val="1A1A1A"/>
                <w:sz w:val="18"/>
                <w:szCs w:val="18"/>
              </w:rPr>
              <w:t xml:space="preserve">z</w:t>
            </w:r>
            <w:r>
              <w:rPr>
                <w:rFonts w:ascii="Cambria" w:cs="Cambria" w:eastAsia="Cambria" w:hAnsi="Cambria"/>
                <w:color w:val="1A1A1A"/>
                <w:sz w:val="18"/>
                <w:szCs w:val="18"/>
              </w:rPr>
              <w:t xml:space="preserve">/2)): unfamiliar but identical</w:t>
            </w:r>
          </w:p>
        </w:tc>
        <w:tc>
          <w:tcPr>
            <w:tcW w:type="dxa" w:w="3274"/>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σ(ln 3) must be 0.75; faulty gives 0.25, yet passes range and symmetry tests</w:t>
            </w:r>
          </w:p>
        </w:tc>
        <w:tc>
          <w:tcPr>
            <w:tcW w:type="dxa" w:w="11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faulty 5/25</w:t>
            </w:r>
          </w:p>
          <w:p>
            <w:pPr>
              <w:keepNext/>
              <w:spacing w:after="0" w:before="0" w:line="210" w:lineRule="exact"/>
              <w:jc w:val="left"/>
            </w:pPr>
            <w:r>
              <w:rPr>
                <w:rFonts w:ascii="Cambria" w:cs="Cambria" w:eastAsia="Cambria" w:hAnsi="Cambria"/>
                <w:color w:val="1A1A1A"/>
                <w:sz w:val="18"/>
                <w:szCs w:val="18"/>
              </w:rPr>
              <w:t xml:space="preserve">valid 0/25</w:t>
            </w:r>
          </w:p>
        </w:tc>
      </w:tr>
      <w:tr>
        <w:trPr>
          <w:cantSplit/>
          <w:tblHeader w:val="off"/>
        </w:trPr>
        <w:tc>
          <w:tcPr>
            <w:tcW w:type="dxa" w:w="12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P3 Horizon</w:t>
            </w:r>
          </w:p>
        </w:tc>
        <w:tc>
          <w:tcPr>
            <w:tcW w:type="dxa" w:w="19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6-month window, 12‑month spec</w:t>
            </w:r>
          </w:p>
        </w:tc>
        <w:tc>
          <w:tcPr>
            <w:tcW w:type="dxa" w:w="26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Byte-identical code under a documented 6-month spec</w:t>
            </w:r>
          </w:p>
        </w:tc>
        <w:tc>
          <w:tcPr>
            <w:tcW w:type="dxa" w:w="3274"/>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2 of 4 events found; exits in months 7 to 12 become non-events, not censored</w:t>
            </w:r>
          </w:p>
        </w:tc>
        <w:tc>
          <w:tcPr>
            <w:tcW w:type="dxa" w:w="115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faulty 5/15</w:t>
            </w:r>
          </w:p>
          <w:p>
            <w:pPr>
              <w:keepNext/>
              <w:spacing w:after="0" w:before="0" w:line="210" w:lineRule="exact"/>
              <w:jc w:val="left"/>
            </w:pPr>
            <w:r>
              <w:rPr>
                <w:rFonts w:ascii="Cambria" w:cs="Cambria" w:eastAsia="Cambria" w:hAnsi="Cambria"/>
                <w:color w:val="1A1A1A"/>
                <w:sz w:val="18"/>
                <w:szCs w:val="18"/>
              </w:rPr>
              <w:t xml:space="preserve">valid 0/15</w:t>
            </w:r>
          </w:p>
        </w:tc>
      </w:tr>
      <w:tr>
        <w:trPr>
          <w:cantSplit/>
          <w:tblHeader w:val="off"/>
        </w:trPr>
        <w:tc>
          <w:tcPr>
            <w:tcW w:type="dxa" w:w="125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left"/>
            </w:pPr>
            <w:r>
              <w:rPr>
                <w:rFonts w:ascii="Cambria" w:cs="Cambria" w:eastAsia="Cambria" w:hAnsi="Cambria"/>
                <w:color w:val="1A1A1A"/>
                <w:sz w:val="18"/>
                <w:szCs w:val="18"/>
              </w:rPr>
              <w:t xml:space="preserve">P4 Leakage</w:t>
            </w:r>
          </w:p>
        </w:tc>
        <w:tc>
          <w:tcPr>
            <w:tcW w:type="dxa" w:w="190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left"/>
            </w:pPr>
            <w:r>
              <w:rPr>
                <w:rFonts w:ascii="Cambria" w:cs="Cambria" w:eastAsia="Cambria" w:hAnsi="Cambria"/>
                <w:color w:val="1A1A1A"/>
                <w:sz w:val="18"/>
                <w:szCs w:val="18"/>
              </w:rPr>
              <w:t xml:space="preserve">Lookback window not capped at month </w:t>
            </w:r>
            <w:r>
              <w:rPr>
                <w:rFonts w:ascii="Cambria" w:cs="Cambria" w:eastAsia="Cambria" w:hAnsi="Cambria"/>
                <w:i/>
                <w:iCs/>
                <w:color w:val="1A1A1A"/>
                <w:sz w:val="18"/>
                <w:szCs w:val="18"/>
              </w:rPr>
              <w:t xml:space="preserve">t</w:t>
            </w:r>
          </w:p>
        </w:tc>
        <w:tc>
          <w:tcPr>
            <w:tcW w:type="dxa" w:w="265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left"/>
            </w:pPr>
            <w:r>
              <w:rPr>
                <w:rFonts w:ascii="Cambria" w:cs="Cambria" w:eastAsia="Cambria" w:hAnsi="Cambria"/>
                <w:color w:val="1A1A1A"/>
                <w:sz w:val="18"/>
                <w:szCs w:val="18"/>
              </w:rPr>
              <w:t xml:space="preserve">Window </w:t>
            </w:r>
            <w:r>
              <w:rPr>
                <w:rFonts w:ascii="Cambria" w:cs="Cambria" w:eastAsia="Cambria" w:hAnsi="Cambria"/>
                <w:i/>
                <w:iCs/>
                <w:color w:val="1A1A1A"/>
                <w:sz w:val="18"/>
                <w:szCs w:val="18"/>
              </w:rPr>
              <w:t xml:space="preserve">t</w:t>
            </w:r>
            <w:r>
              <w:rPr>
                <w:rFonts w:ascii="Cambria" w:cs="Cambria" w:eastAsia="Cambria" w:hAnsi="Cambria"/>
                <w:color w:val="1A1A1A"/>
                <w:sz w:val="18"/>
                <w:szCs w:val="18"/>
              </w:rPr>
              <w:t xml:space="preserve">−11 … </w:t>
            </w:r>
            <w:r>
              <w:rPr>
                <w:rFonts w:ascii="Cambria" w:cs="Cambria" w:eastAsia="Cambria" w:hAnsi="Cambria"/>
                <w:i/>
                <w:iCs/>
                <w:color w:val="1A1A1A"/>
                <w:sz w:val="18"/>
                <w:szCs w:val="18"/>
              </w:rPr>
              <w:t xml:space="preserve">t</w:t>
            </w:r>
            <w:r>
              <w:rPr>
                <w:rFonts w:ascii="Cambria" w:cs="Cambria" w:eastAsia="Cambria" w:hAnsi="Cambria"/>
                <w:color w:val="1A1A1A"/>
                <w:sz w:val="18"/>
                <w:szCs w:val="18"/>
              </w:rPr>
              <w:t xml:space="preserve"> (month </w:t>
            </w:r>
            <w:r>
              <w:rPr>
                <w:rFonts w:ascii="Cambria" w:cs="Cambria" w:eastAsia="Cambria" w:hAnsi="Cambria"/>
                <w:i/>
                <w:iCs/>
                <w:color w:val="1A1A1A"/>
                <w:sz w:val="18"/>
                <w:szCs w:val="18"/>
              </w:rPr>
              <w:t xml:space="preserve">t</w:t>
            </w:r>
            <w:r>
              <w:rPr>
                <w:rFonts w:ascii="Cambria" w:cs="Cambria" w:eastAsia="Cambria" w:hAnsi="Cambria"/>
                <w:color w:val="1A1A1A"/>
                <w:sz w:val="18"/>
                <w:szCs w:val="18"/>
              </w:rPr>
              <w:t xml:space="preserve"> is allowed)</w:t>
            </w:r>
          </w:p>
        </w:tc>
        <w:tc>
          <w:tcPr>
            <w:tcW w:type="dxa" w:w="3274"/>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left"/>
            </w:pPr>
            <w:r>
              <w:rPr>
                <w:rFonts w:ascii="Cambria" w:cs="Cambria" w:eastAsia="Cambria" w:hAnsi="Cambria"/>
                <w:color w:val="1A1A1A"/>
                <w:sz w:val="18"/>
                <w:szCs w:val="18"/>
              </w:rPr>
              <w:t xml:space="preserve">Deleting or altering records after </w:t>
            </w:r>
            <w:r>
              <w:rPr>
                <w:rFonts w:ascii="Cambria" w:cs="Cambria" w:eastAsia="Cambria" w:hAnsi="Cambria"/>
                <w:i/>
                <w:iCs/>
                <w:color w:val="1A1A1A"/>
                <w:sz w:val="18"/>
                <w:szCs w:val="18"/>
              </w:rPr>
              <w:t xml:space="preserve">t</w:t>
            </w:r>
            <w:r>
              <w:rPr>
                <w:rFonts w:ascii="Cambria" w:cs="Cambria" w:eastAsia="Cambria" w:hAnsi="Cambria"/>
                <w:color w:val="1A1A1A"/>
                <w:sz w:val="18"/>
                <w:szCs w:val="18"/>
              </w:rPr>
              <w:t xml:space="preserve"> changes the features</w:t>
            </w:r>
          </w:p>
        </w:tc>
        <w:tc>
          <w:tcPr>
            <w:tcW w:type="dxa" w:w="115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left"/>
            </w:pPr>
            <w:r>
              <w:rPr>
                <w:rFonts w:ascii="Cambria" w:cs="Cambria" w:eastAsia="Cambria" w:hAnsi="Cambria"/>
                <w:color w:val="1A1A1A"/>
                <w:sz w:val="18"/>
                <w:szCs w:val="18"/>
              </w:rPr>
              <w:t xml:space="preserve">faulty 5/18</w:t>
            </w:r>
          </w:p>
          <w:p>
            <w:pPr>
              <w:keepNext w:val="false"/>
              <w:spacing w:after="0" w:before="0" w:line="210" w:lineRule="exact"/>
              <w:jc w:val="left"/>
            </w:pPr>
            <w:r>
              <w:rPr>
                <w:rFonts w:ascii="Cambria" w:cs="Cambria" w:eastAsia="Cambria" w:hAnsi="Cambria"/>
                <w:color w:val="1A1A1A"/>
                <w:sz w:val="18"/>
                <w:szCs w:val="18"/>
              </w:rPr>
              <w:t xml:space="preserve">valid 0/18</w:t>
            </w:r>
          </w:p>
        </w:tc>
      </w:tr>
    </w:tbl>
    <w:p>
      <w:pPr>
        <w:spacing w:after="20" w:before="30" w:line="240" w:lineRule="exact"/>
        <w:jc w:val="both"/>
      </w:pPr>
      <w:r>
        <w:rPr>
          <w:rFonts w:ascii="Cambria" w:cs="Cambria" w:eastAsia="Cambria" w:hAnsi="Cambria"/>
          <w:color w:val="1A1A1A"/>
          <w:sz w:val="21"/>
          <w:szCs w:val="21"/>
        </w:rPr>
        <w:t xml:space="preserve">All four runners matched every label on 25 October 2026 (only assertion failures count). In P3, validity depends on the applicable specification; with H = 12 alone the code passes all 15 tests, so it has no second (censoring) error.</w:t>
      </w:r>
    </w:p>
    <w:p>
      <w:pPr>
        <w:pStyle w:val="Heading1"/>
        <w:keepNext/>
        <w:spacing w:after="20" w:before="40" w:line="260" w:lineRule="exact"/>
      </w:pPr>
      <w:r>
        <w:rPr>
          <w:rFonts w:ascii="Cambria" w:cs="Cambria" w:eastAsia="Cambria" w:hAnsi="Cambria"/>
          <w:b/>
          <w:bCs/>
          <w:color w:val="1A1A1A"/>
          <w:sz w:val="22"/>
          <w:szCs w:val="22"/>
        </w:rPr>
        <w:t xml:space="preserve">5. Proposed validation comparisons (proposed; none run yet)</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224"/>
      </w:tblGrid>
      <w:tr>
        <w:trPr>
          <w:cantSplit/>
          <w:tblHeader/>
        </w:trPr>
        <w:tc>
          <w:tcPr>
            <w:tcW w:type="dxa" w:w="2000"/>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left"/>
            </w:pPr>
            <w:r>
              <w:rPr>
                <w:rFonts w:ascii="Cambria" w:cs="Cambria" w:eastAsia="Cambria" w:hAnsi="Cambria"/>
                <w:b/>
                <w:bCs/>
                <w:color w:val="1A1A1A"/>
                <w:sz w:val="18"/>
                <w:szCs w:val="18"/>
              </w:rPr>
              <w:t xml:space="preserve">Method</w:t>
            </w:r>
          </w:p>
        </w:tc>
        <w:tc>
          <w:tcPr>
            <w:tcW w:type="dxa" w:w="8224"/>
            <w:tcBorders>
              <w:top w:val="single" w:color="404040" w:sz="8"/>
              <w:left w:val="none" w:color="FFFFFF" w:sz="0"/>
              <w:bottom w:val="single" w:color="404040" w:sz="4"/>
              <w:right w:val="none" w:color="FFFFFF" w:sz="0"/>
            </w:tcBorders>
            <w:shd w:fill="EFEFEF" w:color="auto" w:val="clear"/>
            <w:tcMar>
              <w:top w:type="dxa" w:w="6"/>
              <w:left w:type="dxa" w:w="70"/>
              <w:bottom w:type="dxa" w:w="6"/>
              <w:right w:type="dxa" w:w="70"/>
            </w:tcMar>
            <w:vAlign w:val="top"/>
          </w:tcPr>
          <w:p>
            <w:pPr>
              <w:keepNext/>
              <w:spacing w:after="0" w:before="0" w:line="210" w:lineRule="exact"/>
              <w:jc w:val="left"/>
            </w:pPr>
            <w:r>
              <w:rPr>
                <w:rFonts w:ascii="Cambria" w:cs="Cambria" w:eastAsia="Cambria" w:hAnsi="Cambria"/>
                <w:b/>
                <w:bCs/>
                <w:color w:val="1A1A1A"/>
                <w:sz w:val="18"/>
                <w:szCs w:val="18"/>
              </w:rPr>
              <w:t xml:space="preserve">Capability (M2–M5 each add one capability to the previous method)</w:t>
            </w:r>
          </w:p>
        </w:tc>
      </w:tr>
      <w:tr>
        <w:trPr>
          <w:cantSplit/>
          <w:tblHeader w:val="off"/>
        </w:trPr>
        <w:tc>
          <w:tcPr>
            <w:tcW w:type="dxa" w:w="20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M1 Deterministic tests</w:t>
            </w:r>
          </w:p>
        </w:tc>
        <w:tc>
          <w:tcPr>
            <w:tcW w:type="dxa" w:w="8224"/>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Fixed numerical and property-based checks (range, monotonicity, future invariance); no LLM</w:t>
            </w:r>
          </w:p>
        </w:tc>
      </w:tr>
      <w:tr>
        <w:trPr>
          <w:cantSplit/>
          <w:tblHeader w:val="off"/>
        </w:trPr>
        <w:tc>
          <w:tcPr>
            <w:tcW w:type="dxa" w:w="20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M2 Read-only LLM</w:t>
            </w:r>
          </w:p>
        </w:tc>
        <w:tc>
          <w:tcPr>
            <w:tcW w:type="dxa" w:w="8224"/>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Reads only code and specification under neutral names (no labels or answer-key tests); executes nothing</w:t>
            </w:r>
          </w:p>
        </w:tc>
      </w:tr>
      <w:tr>
        <w:trPr>
          <w:cantSplit/>
          <w:tblHeader w:val="off"/>
        </w:trPr>
        <w:tc>
          <w:tcPr>
            <w:tcW w:type="dxa" w:w="20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M3 LLM + retrieval</w:t>
            </w:r>
          </w:p>
        </w:tc>
        <w:tc>
          <w:tcPr>
            <w:tcW w:type="dxa" w:w="8224"/>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M2 plus retrieved equations, specification clauses and Freddie Mac documentation</w:t>
            </w:r>
          </w:p>
        </w:tc>
      </w:tr>
      <w:tr>
        <w:trPr>
          <w:cantSplit/>
          <w:tblHeader w:val="off"/>
        </w:trPr>
        <w:tc>
          <w:tcPr>
            <w:tcW w:type="dxa" w:w="2000"/>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M4 Executable reviewer</w:t>
            </w:r>
          </w:p>
        </w:tc>
        <w:tc>
          <w:tcPr>
            <w:tcW w:type="dxa" w:w="8224"/>
            <w:tcBorders>
              <w:top w:val="none" w:color="FFFFFF" w:sz="0"/>
              <w:left w:val="none" w:color="FFFFFF" w:sz="0"/>
              <w:bottom w:val="single" w:color="BFBFBF" w:sz="2"/>
              <w:right w:val="none" w:color="FFFFFF" w:sz="0"/>
            </w:tcBorders>
            <w:tcMar>
              <w:top w:type="dxa" w:w="6"/>
              <w:left w:type="dxa" w:w="70"/>
              <w:bottom w:type="dxa" w:w="6"/>
              <w:right w:type="dxa" w:w="70"/>
            </w:tcMar>
            <w:vAlign w:val="top"/>
          </w:tcPr>
          <w:p>
            <w:pPr>
              <w:keepNext/>
              <w:spacing w:after="0" w:before="0" w:line="210" w:lineRule="exact"/>
              <w:jc w:val="left"/>
            </w:pPr>
            <w:r>
              <w:rPr>
                <w:rFonts w:ascii="Cambria" w:cs="Cambria" w:eastAsia="Cambria" w:hAnsi="Cambria"/>
                <w:color w:val="1A1A1A"/>
                <w:sz w:val="18"/>
                <w:szCs w:val="18"/>
              </w:rPr>
              <w:t xml:space="preserve">M3 plus writing and running its own Python tests in a sandbox</w:t>
            </w:r>
          </w:p>
        </w:tc>
      </w:tr>
      <w:tr>
        <w:trPr>
          <w:cantSplit/>
          <w:tblHeader w:val="off"/>
        </w:trPr>
        <w:tc>
          <w:tcPr>
            <w:tcW w:type="dxa" w:w="2000"/>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left"/>
            </w:pPr>
            <w:r>
              <w:rPr>
                <w:rFonts w:ascii="Cambria" w:cs="Cambria" w:eastAsia="Cambria" w:hAnsi="Cambria"/>
                <w:color w:val="1A1A1A"/>
                <w:sz w:val="18"/>
                <w:szCs w:val="18"/>
              </w:rPr>
              <w:t xml:space="preserve">M5 VALID-Agent</w:t>
            </w:r>
          </w:p>
        </w:tc>
        <w:tc>
          <w:tcPr>
            <w:tcW w:type="dxa" w:w="8224"/>
            <w:tcBorders>
              <w:top w:val="none" w:color="FFFFFF" w:sz="0"/>
              <w:left w:val="none" w:color="FFFFFF" w:sz="0"/>
              <w:bottom w:val="single" w:color="404040" w:sz="8"/>
              <w:right w:val="none" w:color="FFFFFF" w:sz="0"/>
            </w:tcBorders>
            <w:tcMar>
              <w:top w:type="dxa" w:w="6"/>
              <w:left w:type="dxa" w:w="70"/>
              <w:bottom w:type="dxa" w:w="6"/>
              <w:right w:type="dxa" w:w="70"/>
            </w:tcMar>
            <w:vAlign w:val="top"/>
          </w:tcPr>
          <w:p>
            <w:pPr>
              <w:keepNext w:val="false"/>
              <w:spacing w:after="0" w:before="0" w:line="210" w:lineRule="exact"/>
              <w:jc w:val="left"/>
            </w:pPr>
            <w:r>
              <w:rPr>
                <w:rFonts w:ascii="Cambria" w:cs="Cambria" w:eastAsia="Cambria" w:hAnsi="Cambria"/>
                <w:color w:val="1A1A1A"/>
                <w:sz w:val="18"/>
                <w:szCs w:val="18"/>
              </w:rPr>
              <w:t xml:space="preserve">M4 plus an applicability check (why the rule’s assumptions hold here) and an expected result justified independently of the code; its fresh-process re-run shows reproducibility, not correctness. Not built yet.</w:t>
            </w:r>
          </w:p>
        </w:tc>
      </w:tr>
    </w:tbl>
    <w:p>
      <w:pPr>
        <w:pStyle w:val="Heading1"/>
        <w:keepNext/>
        <w:spacing w:after="20" w:before="40" w:line="260" w:lineRule="exact"/>
      </w:pPr>
      <w:r>
        <w:rPr>
          <w:rFonts w:ascii="Cambria" w:cs="Cambria" w:eastAsia="Cambria" w:hAnsi="Cambria"/>
          <w:b/>
          <w:bCs/>
          <w:color w:val="1A1A1A"/>
          <w:sz w:val="22"/>
          <w:szCs w:val="22"/>
        </w:rPr>
        <w:t xml:space="preserve">6. Evaluation metrics (proposed)</w:t>
      </w:r>
    </w:p>
    <w:p>
      <w:pPr>
        <w:spacing w:after="20" w:before="0" w:line="240" w:lineRule="exact"/>
        <w:jc w:val="both"/>
      </w:pPr>
      <w:r>
        <w:rPr>
          <w:rFonts w:ascii="Cambria" w:cs="Cambria" w:eastAsia="Cambria" w:hAnsi="Cambria"/>
          <w:color w:val="1A1A1A"/>
          <w:sz w:val="21"/>
          <w:szCs w:val="21"/>
        </w:rPr>
        <w:t xml:space="preserve">Recall and false-positive rate (FPR) are the shares of faulty and valid cases flagged. </w:t>
      </w:r>
      <w:r>
        <w:rPr>
          <w:rFonts w:ascii="Cambria" w:cs="Cambria" w:eastAsia="Cambria" w:hAnsi="Cambria"/>
          <w:b/>
          <w:bCs/>
          <w:color w:val="1A1A1A"/>
          <w:sz w:val="21"/>
          <w:szCs w:val="21"/>
        </w:rPr>
        <w:t xml:space="preserve">Primary metric: FPR at matched defect-detection recall.</w:t>
      </w:r>
      <w:r>
        <w:rPr>
          <w:rFonts w:ascii="Cambria" w:cs="Cambria" w:eastAsia="Cambria" w:hAnsi="Cambria"/>
          <w:color w:val="1A1A1A"/>
          <w:sz w:val="21"/>
          <w:szCs w:val="21"/>
        </w:rPr>
        <w:t xml:space="preserve"> Methods score each case (LLMs: share of five runs flagging it; repeats are not new cases); recall is matched on development cases and FPR reported on held-out cases (cf. PrimeVul’s VD-Score [1]). Secondary: precision, pair-wise outcomes, counterexample validity, explanation accuracy, stability, cost. </w:t>
      </w:r>
      <w:r>
        <w:rPr>
          <w:rFonts w:ascii="Cambria" w:cs="Cambria" w:eastAsia="Cambria" w:hAnsi="Cambria"/>
          <w:b/>
          <w:bCs/>
          <w:color w:val="1A1A1A"/>
          <w:sz w:val="21"/>
          <w:szCs w:val="21"/>
        </w:rPr>
        <w:t xml:space="preserve">The eight-case pilot is intended to demonstrate feasibility, not to establish statistically significant superiority.</w:t>
      </w:r>
    </w:p>
    <w:p>
      <w:pPr>
        <w:pStyle w:val="Heading1"/>
        <w:keepNext/>
        <w:spacing w:after="20" w:before="40" w:line="260" w:lineRule="exact"/>
      </w:pPr>
      <w:r>
        <w:rPr>
          <w:rFonts w:ascii="Cambria" w:cs="Cambria" w:eastAsia="Cambria" w:hAnsi="Cambria"/>
          <w:b/>
          <w:bCs/>
          <w:color w:val="1A1A1A"/>
          <w:sz w:val="22"/>
          <w:szCs w:val="22"/>
        </w:rPr>
        <w:t xml:space="preserve">7. Related work and research gap</w:t>
      </w:r>
    </w:p>
    <w:p>
      <w:pPr>
        <w:spacing w:after="20" w:before="0" w:line="240" w:lineRule="exact"/>
        <w:jc w:val="both"/>
      </w:pPr>
      <w:r>
        <w:rPr>
          <w:rFonts w:ascii="Cambria" w:cs="Cambria" w:eastAsia="Cambria" w:hAnsi="Cambria"/>
          <w:color w:val="1A1A1A"/>
          <w:sz w:val="21"/>
          <w:szCs w:val="21"/>
        </w:rPr>
        <w:t xml:space="preserve">LLM code review raises false-positive and trust concerns in industry [2]; LLMs can filter most static-analysis false alarms [3]; code agents can write tests that fail before and pass after a fix [4]; on PrimeVul’s vulnerable/patched pairs, LLM detectors were near random in the strictest settings [1]. SR 26‑2 (replacing SR 11‑7) expects validation to find model errors, with independent effective challenge; it applies to traditional statistical and quantitative models such as this baseline, while generative and agentic AI models, like the proposed validator, are outside its direct scope [5]. Okpala et al. applied LLM agent crews to such tasks [6]; Kapoor and Narayanan catalogued eight leakage types [7]. </w:t>
      </w:r>
      <w:r>
        <w:rPr>
          <w:rFonts w:ascii="Cambria" w:cs="Cambria" w:eastAsia="Cambria" w:hAnsi="Cambria"/>
          <w:b/>
          <w:bCs/>
          <w:color w:val="1A1A1A"/>
          <w:sz w:val="21"/>
          <w:szCs w:val="21"/>
        </w:rPr>
        <w:t xml:space="preserve">Gap:</w:t>
      </w:r>
      <w:r>
        <w:rPr>
          <w:rFonts w:ascii="Cambria" w:cs="Cambria" w:eastAsia="Cambria" w:hAnsi="Cambria"/>
          <w:color w:val="1A1A1A"/>
          <w:sz w:val="21"/>
          <w:szCs w:val="21"/>
        </w:rPr>
        <w:t xml:space="preserve"> this pilot investigates whether explicit mathematical assumption-applicability checks and independently verified executable tests improve defect discrimination in credit-risk model implementations. Because labels follow written specifications and each defect has a valid twin, spotting obvious bugs is not enough.</w:t>
      </w:r>
    </w:p>
    <w:p>
      <w:pPr>
        <w:pStyle w:val="Heading1"/>
        <w:keepNext/>
        <w:spacing w:after="20" w:before="40" w:line="260" w:lineRule="exact"/>
      </w:pPr>
      <w:r>
        <w:rPr>
          <w:rFonts w:ascii="Cambria" w:cs="Cambria" w:eastAsia="Cambria" w:hAnsi="Cambria"/>
          <w:b/>
          <w:bCs/>
          <w:color w:val="1A1A1A"/>
          <w:sz w:val="22"/>
          <w:szCs w:val="22"/>
        </w:rPr>
        <w:t xml:space="preserve">8. Decisions I need from you, and next steps</w:t>
      </w:r>
    </w:p>
    <w:p>
      <w:pPr>
        <w:pStyle w:val="ListParagraph"/>
        <w:numPr>
          <w:ilvl w:val="0"/>
          <w:numId w:val="3"/>
        </w:numPr>
        <w:spacing w:after="0" w:before="0" w:line="240" w:lineRule="exact"/>
        <w:jc w:val="both"/>
      </w:pPr>
      <w:r>
        <w:rPr>
          <w:rFonts w:ascii="Cambria" w:cs="Cambria" w:eastAsia="Cambria" w:hAnsi="Cambria"/>
          <w:b/>
          <w:bCs/>
          <w:color w:val="1A1A1A"/>
          <w:sz w:val="21"/>
          <w:szCs w:val="21"/>
        </w:rPr>
        <w:t xml:space="preserve">Outcome:</w:t>
      </w:r>
      <w:r>
        <w:rPr>
          <w:rFonts w:ascii="Cambria" w:cs="Cambria" w:eastAsia="Cambria" w:hAnsi="Cambria"/>
          <w:color w:val="1A1A1A"/>
          <w:sz w:val="21"/>
          <w:szCs w:val="21"/>
        </w:rPr>
        <w:t xml:space="preserve"> make strict numeric 90+ DPD primary, with the RA composite as a sensitivity run?</w:t>
      </w:r>
    </w:p>
    <w:p>
      <w:pPr>
        <w:pStyle w:val="ListParagraph"/>
        <w:numPr>
          <w:ilvl w:val="0"/>
          <w:numId w:val="3"/>
        </w:numPr>
        <w:spacing w:after="0" w:before="0" w:line="240" w:lineRule="exact"/>
        <w:jc w:val="both"/>
      </w:pPr>
      <w:r>
        <w:rPr>
          <w:rFonts w:ascii="Cambria" w:cs="Cambria" w:eastAsia="Cambria" w:hAnsi="Cambria"/>
          <w:b/>
          <w:bCs/>
          <w:color w:val="1A1A1A"/>
          <w:sz w:val="21"/>
          <w:szCs w:val="21"/>
        </w:rPr>
        <w:t xml:space="preserve">Censoring:</w:t>
      </w:r>
      <w:r>
        <w:rPr>
          <w:rFonts w:ascii="Cambria" w:cs="Cambria" w:eastAsia="Cambria" w:hAnsi="Cambria"/>
          <w:color w:val="1A1A1A"/>
          <w:sz w:val="21"/>
          <w:szCs w:val="21"/>
        </w:rPr>
        <w:t xml:space="preserve"> keep early exits censored, with a non-event sensitivity run? Require all 12 window months for non-events (censors one row)? Keep disaster-flagged events (50 of 462 training, 27 of 119 test)?</w:t>
      </w:r>
    </w:p>
    <w:p>
      <w:pPr>
        <w:pStyle w:val="ListParagraph"/>
        <w:numPr>
          <w:ilvl w:val="0"/>
          <w:numId w:val="3"/>
        </w:numPr>
        <w:spacing w:after="0" w:before="0" w:line="240" w:lineRule="exact"/>
        <w:jc w:val="both"/>
      </w:pPr>
      <w:r>
        <w:rPr>
          <w:rFonts w:ascii="Cambria" w:cs="Cambria" w:eastAsia="Cambria" w:hAnsi="Cambria"/>
          <w:b/>
          <w:bCs/>
          <w:color w:val="1A1A1A"/>
          <w:sz w:val="21"/>
          <w:szCs w:val="21"/>
        </w:rPr>
        <w:t xml:space="preserve">Split:</w:t>
      </w:r>
      <w:r>
        <w:rPr>
          <w:rFonts w:ascii="Cambria" w:cs="Cambria" w:eastAsia="Cambria" w:hAnsi="Cambria"/>
          <w:color w:val="1A1A1A"/>
          <w:sz w:val="21"/>
          <w:szCs w:val="21"/>
        </w:rPr>
        <w:t xml:space="preserve"> loan-disjoint chronological test as primary (119 events), all-loan out-of-time check (418)?</w:t>
      </w:r>
    </w:p>
    <w:p>
      <w:pPr>
        <w:pStyle w:val="ListParagraph"/>
        <w:numPr>
          <w:ilvl w:val="0"/>
          <w:numId w:val="3"/>
        </w:numPr>
        <w:spacing w:after="0" w:before="0" w:line="240" w:lineRule="exact"/>
        <w:jc w:val="both"/>
      </w:pPr>
      <w:r>
        <w:rPr>
          <w:rFonts w:ascii="Cambria" w:cs="Cambria" w:eastAsia="Cambria" w:hAnsi="Cambria"/>
          <w:b/>
          <w:bCs/>
          <w:color w:val="1A1A1A"/>
          <w:sz w:val="21"/>
          <w:szCs w:val="21"/>
        </w:rPr>
        <w:t xml:space="preserve">Benchmark:</w:t>
      </w:r>
      <w:r>
        <w:rPr>
          <w:rFonts w:ascii="Cambria" w:cs="Cambria" w:eastAsia="Cambria" w:hAnsi="Cambria"/>
          <w:color w:val="1A1A1A"/>
          <w:sz w:val="21"/>
          <w:szCs w:val="21"/>
        </w:rPr>
        <w:t xml:space="preserve"> approve the four categories and their valid twins as the pilot answer key.</w:t>
      </w:r>
    </w:p>
    <w:p>
      <w:pPr>
        <w:pStyle w:val="ListParagraph"/>
        <w:numPr>
          <w:ilvl w:val="0"/>
          <w:numId w:val="3"/>
        </w:numPr>
        <w:spacing w:after="0" w:before="0" w:line="240" w:lineRule="exact"/>
        <w:jc w:val="both"/>
      </w:pPr>
      <w:r>
        <w:rPr>
          <w:rFonts w:ascii="Cambria" w:cs="Cambria" w:eastAsia="Cambria" w:hAnsi="Cambria"/>
          <w:b/>
          <w:bCs/>
          <w:color w:val="1A1A1A"/>
          <w:sz w:val="21"/>
          <w:szCs w:val="21"/>
        </w:rPr>
        <w:t xml:space="preserve">Comparisons:</w:t>
      </w:r>
      <w:r>
        <w:rPr>
          <w:rFonts w:ascii="Cambria" w:cs="Cambria" w:eastAsia="Cambria" w:hAnsi="Cambria"/>
          <w:color w:val="1A1A1A"/>
          <w:sz w:val="21"/>
          <w:szCs w:val="21"/>
        </w:rPr>
        <w:t xml:space="preserve"> approve M1–M5 and FPR at matched recall, thresholds set on development cases.</w:t>
      </w:r>
    </w:p>
    <w:p>
      <w:pPr>
        <w:pStyle w:val="ListParagraph"/>
        <w:numPr>
          <w:ilvl w:val="0"/>
          <w:numId w:val="3"/>
        </w:numPr>
        <w:spacing w:after="0" w:before="0" w:line="240" w:lineRule="exact"/>
        <w:jc w:val="both"/>
      </w:pPr>
      <w:r>
        <w:rPr>
          <w:rFonts w:ascii="Cambria" w:cs="Cambria" w:eastAsia="Cambria" w:hAnsi="Cambria"/>
          <w:b/>
          <w:bCs/>
          <w:color w:val="1A1A1A"/>
          <w:sz w:val="21"/>
          <w:szCs w:val="21"/>
        </w:rPr>
        <w:t xml:space="preserve">Expansion:</w:t>
      </w:r>
      <w:r>
        <w:rPr>
          <w:rFonts w:ascii="Cambria" w:cs="Cambria" w:eastAsia="Cambria" w:hAnsi="Cambria"/>
          <w:color w:val="1A1A1A"/>
          <w:sz w:val="21"/>
          <w:szCs w:val="21"/>
        </w:rPr>
        <w:t xml:space="preserve"> grow to about 40 independent cases before building the complete VALID-Agent?</w:t>
      </w:r>
    </w:p>
    <w:p>
      <w:pPr>
        <w:spacing w:after="20" w:before="20" w:line="240" w:lineRule="exact"/>
        <w:jc w:val="both"/>
      </w:pPr>
      <w:r>
        <w:rPr>
          <w:rFonts w:ascii="Cambria" w:cs="Cambria" w:eastAsia="Cambria" w:hAnsi="Cambria"/>
          <w:b/>
          <w:bCs/>
          <w:color w:val="1A1A1A"/>
          <w:sz w:val="21"/>
          <w:szCs w:val="21"/>
        </w:rPr>
        <w:t xml:space="preserve">Next milestone:</w:t>
      </w:r>
      <w:r>
        <w:rPr>
          <w:rFonts w:ascii="Cambria" w:cs="Cambria" w:eastAsia="Cambria" w:hAnsi="Cambria"/>
          <w:color w:val="1A1A1A"/>
          <w:sz w:val="21"/>
          <w:szCs w:val="21"/>
        </w:rPr>
        <w:t xml:space="preserve"> finalize these decisions and the answer key; run M1–M4 this winter, M5 in February–March 2027.</w:t>
      </w:r>
    </w:p>
    <w:p>
      <w:pPr>
        <w:pBdr>
          <w:top w:val="single" w:color="808080" w:sz="4" w:space="2"/>
        </w:pBdr>
        <w:spacing w:after="0" w:before="40" w:line="190" w:lineRule="exact"/>
        <w:jc w:val="left"/>
      </w:pPr>
      <w:r>
        <w:rPr>
          <w:rFonts w:ascii="Cambria" w:cs="Cambria" w:eastAsia="Cambria" w:hAnsi="Cambria"/>
          <w:b/>
          <w:bCs/>
          <w:color w:val="1A1A1A"/>
          <w:sz w:val="17"/>
          <w:szCs w:val="17"/>
        </w:rPr>
        <w:t xml:space="preserve">References</w:t>
      </w:r>
    </w:p>
    <w:p>
      <w:pPr>
        <w:spacing w:after="0" w:before="0" w:line="190" w:lineRule="exact"/>
        <w:ind w:left="220" w:hanging="220"/>
        <w:jc w:val="left"/>
      </w:pPr>
      <w:r>
        <w:rPr>
          <w:rFonts w:ascii="Cambria" w:cs="Cambria" w:eastAsia="Cambria" w:hAnsi="Cambria"/>
          <w:color w:val="1A1A1A"/>
          <w:sz w:val="17"/>
          <w:szCs w:val="17"/>
        </w:rPr>
        <w:t xml:space="preserve">[1] Y. Ding et al., “Vulnerability detection with code language models: How far are we?” in </w:t>
      </w:r>
      <w:r>
        <w:rPr>
          <w:rFonts w:ascii="Cambria" w:cs="Cambria" w:eastAsia="Cambria" w:hAnsi="Cambria"/>
          <w:i/>
          <w:iCs/>
          <w:color w:val="1A1A1A"/>
          <w:sz w:val="17"/>
          <w:szCs w:val="17"/>
        </w:rPr>
        <w:t xml:space="preserve">Proc. IEEE/ACM ICSE</w:t>
      </w:r>
      <w:r>
        <w:rPr>
          <w:rFonts w:ascii="Cambria" w:cs="Cambria" w:eastAsia="Cambria" w:hAnsi="Cambria"/>
          <w:color w:val="1A1A1A"/>
          <w:sz w:val="17"/>
          <w:szCs w:val="17"/>
        </w:rPr>
        <w:t xml:space="preserve">, 2025.</w:t>
      </w:r>
    </w:p>
    <w:p>
      <w:pPr>
        <w:spacing w:after="0" w:before="0" w:line="190" w:lineRule="exact"/>
        <w:ind w:left="220" w:hanging="220"/>
        <w:jc w:val="left"/>
      </w:pPr>
      <w:r>
        <w:rPr>
          <w:rFonts w:ascii="Cambria" w:cs="Cambria" w:eastAsia="Cambria" w:hAnsi="Cambria"/>
          <w:color w:val="1A1A1A"/>
          <w:sz w:val="17"/>
          <w:szCs w:val="17"/>
        </w:rPr>
        <w:t xml:space="preserve">[2] F. S. Aðalsteinsson et al., “Rethinking code review workflows with LLM assistance: An empirical study,” arXiv:2505.16339, 2025.</w:t>
      </w:r>
    </w:p>
    <w:p>
      <w:pPr>
        <w:spacing w:after="0" w:before="0" w:line="190" w:lineRule="exact"/>
        <w:ind w:left="220" w:hanging="220"/>
        <w:jc w:val="left"/>
      </w:pPr>
      <w:r>
        <w:rPr>
          <w:rFonts w:ascii="Cambria" w:cs="Cambria" w:eastAsia="Cambria" w:hAnsi="Cambria"/>
          <w:color w:val="1A1A1A"/>
          <w:sz w:val="17"/>
          <w:szCs w:val="17"/>
        </w:rPr>
        <w:t xml:space="preserve">[3] X. Du et al., “Reducing false positives in static bug detection with LLMs: An empirical study in industry,” arXiv:2601.18844, 2026.</w:t>
      </w:r>
    </w:p>
    <w:p>
      <w:pPr>
        <w:spacing w:after="0" w:before="0" w:line="190" w:lineRule="exact"/>
        <w:ind w:left="220" w:hanging="220"/>
        <w:jc w:val="left"/>
      </w:pPr>
      <w:r>
        <w:rPr>
          <w:rFonts w:ascii="Cambria" w:cs="Cambria" w:eastAsia="Cambria" w:hAnsi="Cambria"/>
          <w:color w:val="1A1A1A"/>
          <w:sz w:val="17"/>
          <w:szCs w:val="17"/>
        </w:rPr>
        <w:t xml:space="preserve">[4] N. Mündler et al., “SWT-Bench: Testing and validating real-world bug-fixes with code agents,” in </w:t>
      </w:r>
      <w:r>
        <w:rPr>
          <w:rFonts w:ascii="Cambria" w:cs="Cambria" w:eastAsia="Cambria" w:hAnsi="Cambria"/>
          <w:i/>
          <w:iCs/>
          <w:color w:val="1A1A1A"/>
          <w:sz w:val="17"/>
          <w:szCs w:val="17"/>
        </w:rPr>
        <w:t xml:space="preserve">Proc. NeurIPS</w:t>
      </w:r>
      <w:r>
        <w:rPr>
          <w:rFonts w:ascii="Cambria" w:cs="Cambria" w:eastAsia="Cambria" w:hAnsi="Cambria"/>
          <w:color w:val="1A1A1A"/>
          <w:sz w:val="17"/>
          <w:szCs w:val="17"/>
        </w:rPr>
        <w:t xml:space="preserve">, vol. 37, 2024.</w:t>
      </w:r>
    </w:p>
    <w:p>
      <w:pPr>
        <w:spacing w:after="0" w:before="0" w:line="190" w:lineRule="exact"/>
        <w:ind w:left="220" w:hanging="220"/>
        <w:jc w:val="left"/>
      </w:pPr>
      <w:r>
        <w:rPr>
          <w:rFonts w:ascii="Cambria" w:cs="Cambria" w:eastAsia="Cambria" w:hAnsi="Cambria"/>
          <w:color w:val="1A1A1A"/>
          <w:sz w:val="17"/>
          <w:szCs w:val="17"/>
        </w:rPr>
        <w:t xml:space="preserve">[5] Federal Reserve Board, FDIC, and OCC, </w:t>
      </w:r>
      <w:r>
        <w:rPr>
          <w:rFonts w:ascii="Cambria" w:cs="Cambria" w:eastAsia="Cambria" w:hAnsi="Cambria"/>
          <w:i/>
          <w:iCs/>
          <w:color w:val="1A1A1A"/>
          <w:sz w:val="17"/>
          <w:szCs w:val="17"/>
        </w:rPr>
        <w:t xml:space="preserve">Revised Guidance on Model Risk Management</w:t>
      </w:r>
      <w:r>
        <w:rPr>
          <w:rFonts w:ascii="Cambria" w:cs="Cambria" w:eastAsia="Cambria" w:hAnsi="Cambria"/>
          <w:color w:val="1A1A1A"/>
          <w:sz w:val="17"/>
          <w:szCs w:val="17"/>
        </w:rPr>
        <w:t xml:space="preserve">, SR 26-2, Apr. 17, 2026 (supersedes SR 11-7, 2011).</w:t>
      </w:r>
    </w:p>
    <w:p>
      <w:pPr>
        <w:spacing w:after="0" w:before="0" w:line="190" w:lineRule="exact"/>
        <w:ind w:left="220" w:hanging="220"/>
        <w:jc w:val="left"/>
      </w:pPr>
      <w:r>
        <w:rPr>
          <w:rFonts w:ascii="Cambria" w:cs="Cambria" w:eastAsia="Cambria" w:hAnsi="Cambria"/>
          <w:color w:val="1A1A1A"/>
          <w:sz w:val="17"/>
          <w:szCs w:val="17"/>
        </w:rPr>
        <w:t xml:space="preserve">[6] I. Okpala, A. Golgoon, and A. R. Kannan, “Agentic AI systems applied to tasks in financial services: Modeling and model risk management crews,” arXiv:2502.05439, 2025.</w:t>
      </w:r>
    </w:p>
    <w:p>
      <w:pPr>
        <w:spacing w:after="0" w:before="0" w:line="190" w:lineRule="exact"/>
        <w:ind w:left="220" w:hanging="220"/>
        <w:jc w:val="left"/>
      </w:pPr>
      <w:r>
        <w:rPr>
          <w:rFonts w:ascii="Cambria" w:cs="Cambria" w:eastAsia="Cambria" w:hAnsi="Cambria"/>
          <w:color w:val="1A1A1A"/>
          <w:sz w:val="17"/>
          <w:szCs w:val="17"/>
        </w:rPr>
        <w:t xml:space="preserve">[7] S. Kapoor and A. Narayanan, “Leakage and the reproducibility crisis in machine-learning-based science,” </w:t>
      </w:r>
      <w:r>
        <w:rPr>
          <w:rFonts w:ascii="Cambria" w:cs="Cambria" w:eastAsia="Cambria" w:hAnsi="Cambria"/>
          <w:i/>
          <w:iCs/>
          <w:color w:val="1A1A1A"/>
          <w:sz w:val="17"/>
          <w:szCs w:val="17"/>
        </w:rPr>
        <w:t xml:space="preserve">Patterns</w:t>
      </w:r>
      <w:r>
        <w:rPr>
          <w:rFonts w:ascii="Cambria" w:cs="Cambria" w:eastAsia="Cambria" w:hAnsi="Cambria"/>
          <w:color w:val="1A1A1A"/>
          <w:sz w:val="17"/>
          <w:szCs w:val="17"/>
        </w:rPr>
        <w:t xml:space="preserve">, vol. 4, 2023.</w:t>
      </w:r>
    </w:p>
    <w:p>
      <w:pPr>
        <w:spacing w:after="0" w:before="30" w:line="190" w:lineRule="exact"/>
        <w:jc w:val="both"/>
      </w:pPr>
      <w:r>
        <w:rPr>
          <w:rFonts w:ascii="Cambria" w:cs="Cambria" w:eastAsia="Cambria" w:hAnsi="Cambria"/>
          <w:b/>
          <w:bCs/>
          <w:color w:val="1A1A1A"/>
          <w:sz w:val="17"/>
          <w:szCs w:val="17"/>
        </w:rPr>
        <w:t xml:space="preserve">AI use:</w:t>
      </w:r>
      <w:r>
        <w:rPr>
          <w:rFonts w:ascii="Cambria" w:cs="Cambria" w:eastAsia="Cambria" w:hAnsi="Cambria"/>
          <w:color w:val="1A1A1A"/>
          <w:sz w:val="17"/>
          <w:szCs w:val="17"/>
        </w:rPr>
        <w:t xml:space="preserve"> Claude and Claude Code (Anthropic) assisted with literature review, drafting and code; all results come from code I ran.</w:t>
      </w:r>
    </w:p>
    <w:sectPr>
      <w:pgSz w:w="12240" w:h="15840" w:orient="portrait"/>
      <w:pgMar w:top="1008" w:right="1008" w:bottom="1008"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rPr>
        <w:rFonts w:ascii="Cambria" w:cs="Cambria" w:eastAsia="Cambria" w:hAnsi="Cambria"/>
        <w:sz w:val="21"/>
        <w:szCs w:val="21"/>
      </w:rPr>
    </w:lvl>
  </w:abstractNum>
  <w:abstractNum w:abstractNumId="3" w15:restartNumberingAfterBreak="0">
    <w:multiLevelType w:val="hybridMultilevel"/>
    <w:lvl w:ilvl="0" w:tentative="1">
      <w:start w:val="1"/>
      <w:numFmt w:val="decimal"/>
      <w:lvlText w:val="%1."/>
      <w:lvlJc w:val="left"/>
      <w:pPr>
        <w:ind w:left="300" w:hanging="300"/>
      </w:pPr>
      <w:rPr>
        <w:rFonts w:ascii="Cambria" w:cs="Cambria" w:eastAsia="Cambria" w:hAnsi="Cambria"/>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20" w:before="80"/>
      <w:outlineLvl w:val="0"/>
    </w:pPr>
    <w:rPr>
      <w:rFonts w:ascii="Cambria" w:cs="Cambria" w:eastAsia="Cambria" w:hAnsi="Cambria"/>
      <w:b/>
      <w:bCs/>
      <w:color w:val="11111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MRM-Bench: Two-Page Research Pilot Plan</dc:title>
  <dc:creator>Dushyant Pratap Singh</dc:creator>
  <dc:description>Research pilot plan for Dr. Chih-Hao Ku, University of North Texas, October 2026</dc:description>
  <cp:lastModifiedBy>Un-named</cp:lastModifiedBy>
  <cp:revision>1</cp:revision>
  <dcterms:created xsi:type="dcterms:W3CDTF">2026-10-26T03:28:23.802Z</dcterms:created>
  <dcterms:modified xsi:type="dcterms:W3CDTF">2026-10-26T03:28:23.803Z</dcterms:modified>
</cp:coreProperties>
</file>

<file path=docProps/custom.xml><?xml version="1.0" encoding="utf-8"?>
<Properties xmlns="http://schemas.openxmlformats.org/officeDocument/2006/custom-properties" xmlns:vt="http://schemas.openxmlformats.org/officeDocument/2006/docPropsVTypes"/>
</file>