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RENT AGREEMENT</w:t>
      </w:r>
    </w:p>
    <w:p>
      <w:pPr>
        <w:spacing w:after="200"/>
        <w:jc w:val="center"/>
      </w:pPr>
      <w:r>
        <w:rPr>
          <w:rFonts w:ascii="Calibri" w:cs="Calibri" w:eastAsia="Calibri" w:hAnsi="Calibri"/>
          <w:color w:val="555555"/>
          <w:sz w:val="26"/>
          <w:szCs w:val="26"/>
        </w:rPr>
        <w:t xml:space="preserve">Draft terms for review</w:t>
      </w:r>
    </w:p>
    <w:p>
      <w:pPr>
        <w:spacing w:after="100" w:line="276"/>
        <w:jc w:val="center"/>
      </w:pPr>
      <w:r>
        <w:rPr>
          <w:rFonts w:ascii="Calibri" w:cs="Calibri" w:eastAsia="Calibri" w:hAnsi="Calibri"/>
          <w:b/>
          <w:bCs/>
        </w:rPr>
        <w:t xml:space="preserve">Shop No. 4, Ground Floor, Tulip Residency, Gandaulim, Salcete, Goa</w:t>
      </w:r>
    </w:p>
    <w:p>
      <w:pPr>
        <w:spacing w:after="100" w:line="276"/>
      </w:pPr>
      <w:r>
        <w:rPr>
          <w:rFonts w:ascii="Calibri" w:cs="Calibri" w:eastAsia="Calibri" w:hAnsi="Calibri"/>
          <w:b/>
          <w:bCs/>
          <w:i/>
          <w:iCs/>
          <w:sz w:val="20"/>
          <w:szCs w:val="20"/>
        </w:rPr>
        <w:t xml:space="preserve">Draft for discussion between the parties and their advocate.</w:t>
      </w:r>
      <w:r>
        <w:rPr>
          <w:rFonts w:ascii="Calibri" w:cs="Calibri" w:eastAsia="Calibri" w:hAnsi="Calibri"/>
          <w:i/>
          <w:iCs/>
          <w:sz w:val="20"/>
          <w:szCs w:val="20"/>
        </w:rPr>
        <w:t xml:space="preserve"> Items in [square brackets] are blanks to be filled or choices to be agreed. This is not legal advice and is not final until reviewed and settled by an advocate.</w:t>
      </w:r>
    </w:p>
    <w:p>
      <w:pPr>
        <w:pStyle w:val="Heading1"/>
        <w:keepNext/>
        <w:spacing w:after="120" w:before="260"/>
      </w:pPr>
      <w:r>
        <w:rPr>
          <w:rFonts w:ascii="Calibri" w:cs="Calibri" w:eastAsia="Calibri" w:hAnsi="Calibri"/>
        </w:rPr>
        <w:t xml:space="preserve">1. Parties</w:t>
      </w:r>
    </w:p>
    <w:p>
      <w:pPr>
        <w:spacing w:after="80" w:line="276"/>
        <w:ind w:left="720" w:hanging="360"/>
      </w:pPr>
      <w:r>
        <w:rPr>
          <w:rFonts w:ascii="Calibri" w:cs="Calibri" w:eastAsia="Calibri" w:hAnsi="Calibri"/>
        </w:rPr>
        <w:t xml:space="preserve">(a) </w:t>
      </w:r>
      <w:r>
        <w:rPr>
          <w:rFonts w:ascii="Calibri" w:cs="Calibri" w:eastAsia="Calibri" w:hAnsi="Calibri"/>
          <w:b/>
          <w:bCs/>
        </w:rPr>
        <w:t xml:space="preserve">Owner:</w:t>
      </w:r>
      <w:r>
        <w:rPr>
          <w:rFonts w:ascii="Calibri" w:cs="Calibri" w:eastAsia="Calibri" w:hAnsi="Calibri"/>
        </w:rPr>
        <w:t xml:space="preserve"> [Owner's name], [address] (PAN [   ]). Owner of the Premises under Deed of Sale registered at the Office of the Sub-Registrar, Salcete, as Registration No. MGO-1-2329-2023 dated 1 June 2023.</w:t>
      </w:r>
    </w:p>
    <w:p>
      <w:pPr>
        <w:spacing w:after="80" w:line="276"/>
        <w:ind w:left="720" w:hanging="360"/>
      </w:pPr>
      <w:r>
        <w:rPr>
          <w:rFonts w:ascii="Calibri" w:cs="Calibri" w:eastAsia="Calibri" w:hAnsi="Calibri"/>
        </w:rPr>
        <w:t xml:space="preserve">(b) </w:t>
      </w:r>
      <w:r>
        <w:rPr>
          <w:rFonts w:ascii="Calibri" w:cs="Calibri" w:eastAsia="Calibri" w:hAnsi="Calibri"/>
          <w:b/>
          <w:bCs/>
        </w:rPr>
        <w:t xml:space="preserve">Tenant:</w:t>
      </w:r>
      <w:r>
        <w:rPr>
          <w:rFonts w:ascii="Calibri" w:cs="Calibri" w:eastAsia="Calibri" w:hAnsi="Calibri"/>
        </w:rPr>
        <w:t xml:space="preserve"> [name of entity], a [proprietorship / LLP / private limited company], through its [partner / director] [name], address [   ], PAN [   ].</w:t>
      </w:r>
    </w:p>
    <w:p>
      <w:pPr>
        <w:pStyle w:val="Heading1"/>
        <w:keepNext/>
        <w:spacing w:after="120" w:before="260"/>
      </w:pPr>
      <w:r>
        <w:rPr>
          <w:rFonts w:ascii="Calibri" w:cs="Calibri" w:eastAsia="Calibri" w:hAnsi="Calibri"/>
        </w:rPr>
        <w:t xml:space="preserve">2. The Premises</w:t>
      </w:r>
    </w:p>
    <w:p>
      <w:pPr>
        <w:spacing w:after="100" w:line="276"/>
      </w:pPr>
      <w:r>
        <w:rPr>
          <w:rFonts w:ascii="Calibri" w:cs="Calibri" w:eastAsia="Calibri" w:hAnsi="Calibri"/>
        </w:rPr>
        <w:t xml:space="preserve">Shop No. 4 on the Ground Floor of the building known as Tulip Residency, admeasuring 47 square metres in super built-up area (about 4.90 m by 8.80 m), constructed in the property surveyed under No. 22/6 of Village Gandaulim, Taluka Salcete, within the jurisdiction of the Village Panchayat of Sernabatim, Vanelim, Colva and Gandaulim, as described in Schedule II of the Deed of Sale and shown on the plan annexed to it. Occupancy Certificate No. VP/SVCG/1777/2016-17 dated 13 December 2016.</w:t>
      </w:r>
    </w:p>
    <w:p>
      <w:pPr>
        <w:pStyle w:val="Heading1"/>
        <w:keepNext/>
        <w:spacing w:after="120" w:before="260"/>
      </w:pPr>
      <w:r>
        <w:rPr>
          <w:rFonts w:ascii="Calibri" w:cs="Calibri" w:eastAsia="Calibri" w:hAnsi="Calibri"/>
        </w:rPr>
        <w:t xml:space="preserve">3. Key terms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BBBBB" w:sz="4"/>
              <w:left w:val="single" w:color="BBBBBB" w:sz="4"/>
              <w:bottom w:val="single" w:color="BBBBBB" w:sz="4"/>
              <w:right w:val="single" w:color="BBBBBB" w:sz="4"/>
            </w:tcBorders>
            <w:shd w:fill="E6EEEC"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Term</w:t>
            </w:r>
          </w:p>
        </w:tc>
        <w:tc>
          <w:tcPr>
            <w:tcW w:type="dxa" w:w="6226"/>
            <w:tcBorders>
              <w:top w:val="single" w:color="BBBBBB" w:sz="4"/>
              <w:left w:val="single" w:color="BBBBBB" w:sz="4"/>
              <w:bottom w:val="single" w:color="BBBBBB" w:sz="4"/>
              <w:right w:val="single" w:color="BBBBBB" w:sz="4"/>
            </w:tcBorders>
            <w:shd w:fill="E6EEEC"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Agreed position</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Monthly rent</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   ] per month</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Security deposit</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   ] (three months' rent)</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Rent-free period</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 months, starting only on the Works Permissions Date, when the builder's consent and the panchayat works permission are in the Tenant's hands in writing; extended day for day for delay not caused by the Tenant (clause 8)</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Before the Works Permissions Date</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rent, no lock-in and no term running, even though the agreement is signed (clause 8.2)</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Rent starts</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Earlier of excise licence issue, public opening, or end of the extended rent-free period, and never before the Works Permissions Date (clause 9)</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Term</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 months from rent commencement</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Renewal</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[Two] further terms of [11] months, rent increase capped at [5 to 10]% (clause 12)</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Lock-in</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 months from rent commencement</w:t>
            </w:r>
          </w:p>
        </w:tc>
      </w:tr>
      <w:tr>
        <w:trPr>
          <w:cantSplit/>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Notice after lock-in</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 months, either side</w:t>
            </w:r>
          </w:p>
        </w:tc>
      </w:tr>
    </w:tbl>
    <w:p>
      <w:pPr>
        <w:keepNext/>
        <w:spacing w:after="60" w:before="240"/>
      </w:pPr>
      <w:r>
        <w:rPr>
          <w:rFonts w:ascii="Calibri" w:cs="Calibri" w:eastAsia="Calibri" w:hAnsi="Calibri"/>
          <w:b/>
          <w:bCs/>
          <w:color w:val="0F6B5C"/>
          <w:sz w:val="26"/>
          <w:szCs w:val="26"/>
        </w:rPr>
        <w:t xml:space="preserve">PART A: TERMS THE TENANT REQUIRES</w:t>
      </w:r>
    </w:p>
    <w:p>
      <w:pPr>
        <w:pStyle w:val="Heading1"/>
        <w:keepNext/>
        <w:spacing w:after="120" w:before="260"/>
      </w:pPr>
      <w:r>
        <w:rPr>
          <w:rFonts w:ascii="Calibri" w:cs="Calibri" w:eastAsia="Calibri" w:hAnsi="Calibri"/>
        </w:rPr>
        <w:t xml:space="preserve">4. Permitted use</w:t>
      </w:r>
    </w:p>
    <w:p>
      <w:pPr>
        <w:spacing w:after="100" w:line="276"/>
      </w:pPr>
      <w:r>
        <w:rPr>
          <w:rFonts w:ascii="Calibri" w:cs="Calibri" w:eastAsia="Calibri" w:hAnsi="Calibri"/>
        </w:rPr>
        <w:t xml:space="preserve">The Tenant may use the Premises to run a restaurant and bar serving food, alcohol and craft beer, with recorded music, subject to applicable law and to the licences obtained. The Owner confirms that the Occupancy Certificate and clause 8 of the Deed of Sale ("commercial use only") permit this use.</w:t>
      </w:r>
    </w:p>
    <w:p>
      <w:pPr>
        <w:pStyle w:val="Heading1"/>
        <w:keepNext/>
        <w:spacing w:after="120" w:before="260"/>
      </w:pPr>
      <w:r>
        <w:rPr>
          <w:rFonts w:ascii="Calibri" w:cs="Calibri" w:eastAsia="Calibri" w:hAnsi="Calibri"/>
        </w:rPr>
        <w:t xml:space="preserve">5. Owner's warranties</w:t>
      </w:r>
    </w:p>
    <w:p>
      <w:pPr>
        <w:spacing w:after="100" w:line="276"/>
      </w:pPr>
      <w:r>
        <w:rPr>
          <w:rFonts w:ascii="Calibri" w:cs="Calibri" w:eastAsia="Calibri" w:hAnsi="Calibri"/>
        </w:rPr>
        <w:t xml:space="preserve">The Owner states that she has good title and the right to let the Premises; that the Premises are free of any mortgage, loan, charge or lien; that no other agreement exists for their sale, letting or use; and that nothing in the Deed of Sale, the building's rules or any society bye-law prevents the permitted use. If any statement is found to be untrue, the Tenant has the same right to leave and to a full refund of the deposit as in clause 7.</w:t>
      </w:r>
    </w:p>
    <w:p>
      <w:pPr>
        <w:pStyle w:val="Heading1"/>
        <w:keepNext/>
        <w:spacing w:after="120" w:before="260"/>
      </w:pPr>
      <w:r>
        <w:rPr>
          <w:rFonts w:ascii="Calibri" w:cs="Calibri" w:eastAsia="Calibri" w:hAnsi="Calibri"/>
        </w:rPr>
        <w:t xml:space="preserve">6. Owner's documents, NOCs and the builder's consent</w:t>
      </w:r>
    </w:p>
    <w:p>
      <w:pPr>
        <w:pStyle w:val="Heading2"/>
        <w:keepNext/>
        <w:spacing w:after="60" w:before="180"/>
      </w:pPr>
      <w:r>
        <w:rPr>
          <w:rFonts w:ascii="Calibri" w:cs="Calibri" w:eastAsia="Calibri" w:hAnsi="Calibri"/>
        </w:rPr>
        <w:t xml:space="preserve">6.1 Documents before signing</w:t>
      </w:r>
    </w:p>
    <w:p>
      <w:pPr>
        <w:spacing w:after="100" w:line="276"/>
      </w:pPr>
      <w:r>
        <w:rPr>
          <w:rFonts w:ascii="Calibri" w:cs="Calibri" w:eastAsia="Calibri" w:hAnsi="Calibri"/>
        </w:rPr>
        <w:t xml:space="preserve">Before this agreement is signed the Owner will give the Tenant certified copies of: the Deed of Sale; the Occupancy Certificate; the approved building plan and construction licence; Form I and XIV for survey no. 22/6; the latest house tax receipt; and the latest electricity bill in her name.</w:t>
      </w:r>
    </w:p>
    <w:p>
      <w:pPr>
        <w:pStyle w:val="Heading2"/>
        <w:keepNext/>
        <w:spacing w:after="60" w:before="180"/>
      </w:pPr>
      <w:r>
        <w:rPr>
          <w:rFonts w:ascii="Calibri" w:cs="Calibri" w:eastAsia="Calibri" w:hAnsi="Calibri"/>
        </w:rPr>
        <w:t xml:space="preserve">6.2 NOCs for licence applications</w:t>
      </w:r>
    </w:p>
    <w:p>
      <w:pPr>
        <w:spacing w:after="100" w:line="276"/>
      </w:pPr>
      <w:r>
        <w:rPr>
          <w:rFonts w:ascii="Calibri" w:cs="Calibri" w:eastAsia="Calibri" w:hAnsi="Calibri"/>
        </w:rPr>
        <w:t xml:space="preserve">Within [5] days of each written request, the Owner will sign and give any NOC, consent letter, affidavit or document that a licensing authority asks for in connection with the Tenant's applications. The Owner will not object to, or interfere with, any application or renewal.</w:t>
      </w:r>
    </w:p>
    <w:p>
      <w:pPr>
        <w:pStyle w:val="Heading2"/>
        <w:keepNext/>
        <w:spacing w:after="60" w:before="180"/>
      </w:pPr>
      <w:r>
        <w:rPr>
          <w:rFonts w:ascii="Calibri" w:cs="Calibri" w:eastAsia="Calibri" w:hAnsi="Calibri"/>
        </w:rPr>
        <w:t xml:space="preserve">6.3 Builder's written consent</w:t>
      </w:r>
    </w:p>
    <w:p>
      <w:pPr>
        <w:spacing w:after="100" w:line="276"/>
      </w:pPr>
      <w:r>
        <w:rPr>
          <w:rFonts w:ascii="Calibri" w:cs="Calibri" w:eastAsia="Calibri" w:hAnsi="Calibri"/>
        </w:rPr>
        <w:t xml:space="preserve">Clauses 9 and 11 of the Deed of Sale require the prior permission of the builder, the builder, for construction in the Premises and give him absolute rights over setbacks, open spaces and terraces. Before the Tenant begins any work, the Owner will obtain and attach to this agreement the builder's written consent for:</w:t>
      </w:r>
    </w:p>
    <w:p>
      <w:pPr>
        <w:pStyle w:val="ListParagraph"/>
        <w:numPr>
          <w:ilvl w:val="0"/>
          <w:numId w:val="2"/>
        </w:numPr>
        <w:spacing w:after="60" w:line="276"/>
      </w:pPr>
      <w:r>
        <w:rPr>
          <w:rFonts w:ascii="Calibri" w:cs="Calibri" w:eastAsia="Calibri" w:hAnsi="Calibri"/>
        </w:rPr>
        <w:t xml:space="preserve">interior fit-out, including the kitchen and the toilet to be built in the Premises;</w:t>
      </w:r>
    </w:p>
    <w:p>
      <w:pPr>
        <w:pStyle w:val="ListParagraph"/>
        <w:numPr>
          <w:ilvl w:val="0"/>
          <w:numId w:val="2"/>
        </w:numPr>
        <w:spacing w:after="60" w:line="276"/>
      </w:pPr>
      <w:r>
        <w:rPr>
          <w:rFonts w:ascii="Calibri" w:cs="Calibri" w:eastAsia="Calibri" w:hAnsi="Calibri"/>
        </w:rPr>
        <w:t xml:space="preserve">the kitchen exhaust, including its outlet;</w:t>
      </w:r>
    </w:p>
    <w:p>
      <w:pPr>
        <w:pStyle w:val="ListParagraph"/>
        <w:numPr>
          <w:ilvl w:val="0"/>
          <w:numId w:val="2"/>
        </w:numPr>
        <w:spacing w:after="60" w:line="276"/>
      </w:pPr>
      <w:r>
        <w:rPr>
          <w:rFonts w:ascii="Calibri" w:cs="Calibri" w:eastAsia="Calibri" w:hAnsi="Calibri"/>
        </w:rPr>
        <w:t xml:space="preserve">the gas bank and AC units;</w:t>
      </w:r>
    </w:p>
    <w:p>
      <w:pPr>
        <w:pStyle w:val="ListParagraph"/>
        <w:numPr>
          <w:ilvl w:val="0"/>
          <w:numId w:val="2"/>
        </w:numPr>
        <w:spacing w:after="60" w:line="276"/>
      </w:pPr>
      <w:r>
        <w:rPr>
          <w:rFonts w:ascii="Calibri" w:cs="Calibri" w:eastAsia="Calibri" w:hAnsi="Calibri"/>
        </w:rPr>
        <w:t xml:space="preserve">signage;</w:t>
      </w:r>
    </w:p>
    <w:p>
      <w:pPr>
        <w:pStyle w:val="ListParagraph"/>
        <w:numPr>
          <w:ilvl w:val="0"/>
          <w:numId w:val="2"/>
        </w:numPr>
        <w:spacing w:after="60" w:line="276"/>
      </w:pPr>
      <w:r>
        <w:rPr>
          <w:rFonts w:ascii="Calibri" w:cs="Calibri" w:eastAsia="Calibri" w:hAnsi="Calibri"/>
        </w:rPr>
        <w:t xml:space="preserve">the biodigester, its pipe run and the soak pit, including the toilet drain, at the places marked on the plan attached as Annexure A.</w:t>
      </w:r>
    </w:p>
    <w:p>
      <w:pPr>
        <w:spacing w:after="100" w:line="276"/>
      </w:pPr>
      <w:r>
        <w:rPr>
          <w:rFonts w:ascii="Calibri" w:cs="Calibri" w:eastAsia="Calibri" w:hAnsi="Calibri"/>
        </w:rPr>
        <w:t xml:space="preserve">The Owner will give the Tenant the signed consent and plan. Until she does, the rent-free period does not start and no rent, lock-in or term runs against the Tenant (clause 8).</w:t>
      </w:r>
    </w:p>
    <w:p>
      <w:pPr>
        <w:pStyle w:val="Heading2"/>
        <w:keepNext/>
        <w:spacing w:after="60" w:before="180"/>
      </w:pPr>
      <w:r>
        <w:rPr>
          <w:rFonts w:ascii="Calibri" w:cs="Calibri" w:eastAsia="Calibri" w:hAnsi="Calibri"/>
        </w:rPr>
        <w:t xml:space="preserve">6.4 If consent is withdrawn</w:t>
      </w:r>
    </w:p>
    <w:p>
      <w:pPr>
        <w:spacing w:after="100" w:line="276"/>
      </w:pPr>
      <w:r>
        <w:rPr>
          <w:rFonts w:ascii="Calibri" w:cs="Calibri" w:eastAsia="Calibri" w:hAnsi="Calibri"/>
        </w:rPr>
        <w:t xml:space="preserve">If the builder refuses or later withdraws any consent in 6.3, the Owner will at her own cost arrange an equivalent alternative acceptable to the Tenant. If she cannot do so within [30] days, the Tenant may end this agreement and clause 7 applies.</w:t>
      </w:r>
    </w:p>
    <w:p>
      <w:pPr>
        <w:pStyle w:val="Heading1"/>
        <w:keepNext/>
        <w:spacing w:after="120" w:before="260"/>
      </w:pPr>
      <w:r>
        <w:rPr>
          <w:rFonts w:ascii="Calibri" w:cs="Calibri" w:eastAsia="Calibri" w:hAnsi="Calibri"/>
        </w:rPr>
        <w:t xml:space="preserve">7. Security deposit: full refund if any approval is denied</w:t>
      </w:r>
    </w:p>
    <w:p>
      <w:pPr>
        <w:spacing w:after="100" w:line="276"/>
      </w:pPr>
      <w:r>
        <w:rPr>
          <w:rFonts w:ascii="Calibri" w:cs="Calibri" w:eastAsia="Calibri" w:hAnsi="Calibri"/>
        </w:rPr>
        <w:t xml:space="preserve">The Tenant has paid a security deposit of ₹[   ] (three months' rent). If any one of the following is refused, withdrawn, or not granted within [8] months of the date of this agreement, despite the Tenant having applied diligently, the Owner will refund the full deposit, with no deduction, within [15] days of the Tenant's written notice, and this agreement will then end:</w:t>
      </w:r>
    </w:p>
    <w:p>
      <w:pPr>
        <w:pStyle w:val="ListParagraph"/>
        <w:numPr>
          <w:ilvl w:val="0"/>
          <w:numId w:val="2"/>
        </w:numPr>
        <w:spacing w:after="60" w:line="276"/>
      </w:pPr>
      <w:r>
        <w:rPr>
          <w:rFonts w:ascii="Calibri" w:cs="Calibri" w:eastAsia="Calibri" w:hAnsi="Calibri"/>
        </w:rPr>
        <w:t xml:space="preserve">the panchayat trade licence;</w:t>
      </w:r>
    </w:p>
    <w:p>
      <w:pPr>
        <w:pStyle w:val="ListParagraph"/>
        <w:numPr>
          <w:ilvl w:val="0"/>
          <w:numId w:val="2"/>
        </w:numPr>
        <w:spacing w:after="60" w:line="276"/>
      </w:pPr>
      <w:r>
        <w:rPr>
          <w:rFonts w:ascii="Calibri" w:cs="Calibri" w:eastAsia="Calibri" w:hAnsi="Calibri"/>
        </w:rPr>
        <w:t xml:space="preserve">the Health NOC;</w:t>
      </w:r>
    </w:p>
    <w:p>
      <w:pPr>
        <w:pStyle w:val="ListParagraph"/>
        <w:numPr>
          <w:ilvl w:val="0"/>
          <w:numId w:val="2"/>
        </w:numPr>
        <w:spacing w:after="60" w:line="276"/>
      </w:pPr>
      <w:r>
        <w:rPr>
          <w:rFonts w:ascii="Calibri" w:cs="Calibri" w:eastAsia="Calibri" w:hAnsi="Calibri"/>
        </w:rPr>
        <w:t xml:space="preserve">the Fire NOC;</w:t>
      </w:r>
    </w:p>
    <w:p>
      <w:pPr>
        <w:pStyle w:val="ListParagraph"/>
        <w:numPr>
          <w:ilvl w:val="0"/>
          <w:numId w:val="2"/>
        </w:numPr>
        <w:spacing w:after="60" w:line="276"/>
      </w:pPr>
      <w:r>
        <w:rPr>
          <w:rFonts w:ascii="Calibri" w:cs="Calibri" w:eastAsia="Calibri" w:hAnsi="Calibri"/>
        </w:rPr>
        <w:t xml:space="preserve">the Pollution Board consent (to establish or to operate);</w:t>
      </w:r>
    </w:p>
    <w:p>
      <w:pPr>
        <w:pStyle w:val="ListParagraph"/>
        <w:numPr>
          <w:ilvl w:val="0"/>
          <w:numId w:val="2"/>
        </w:numPr>
        <w:spacing w:after="60" w:line="276"/>
      </w:pPr>
      <w:r>
        <w:rPr>
          <w:rFonts w:ascii="Calibri" w:cs="Calibri" w:eastAsia="Calibri" w:hAnsi="Calibri"/>
        </w:rPr>
        <w:t xml:space="preserve">the FSSAI licence;</w:t>
      </w:r>
    </w:p>
    <w:p>
      <w:pPr>
        <w:pStyle w:val="ListParagraph"/>
        <w:numPr>
          <w:ilvl w:val="0"/>
          <w:numId w:val="2"/>
        </w:numPr>
        <w:spacing w:after="60" w:line="276"/>
      </w:pPr>
      <w:r>
        <w:rPr>
          <w:rFonts w:ascii="Calibri" w:cs="Calibri" w:eastAsia="Calibri" w:hAnsi="Calibri"/>
        </w:rPr>
        <w:t xml:space="preserve">the excise bar and restaurant licence;</w:t>
      </w:r>
    </w:p>
    <w:p>
      <w:pPr>
        <w:pStyle w:val="ListParagraph"/>
        <w:numPr>
          <w:ilvl w:val="0"/>
          <w:numId w:val="2"/>
        </w:numPr>
        <w:spacing w:after="60" w:line="276"/>
      </w:pPr>
      <w:r>
        <w:rPr>
          <w:rFonts w:ascii="Calibri" w:cs="Calibri" w:eastAsia="Calibri" w:hAnsi="Calibri"/>
        </w:rPr>
        <w:t xml:space="preserve">any consent from the builder under clauses 9 or 11 of the Deed of Sale (clause 6.3);</w:t>
      </w:r>
    </w:p>
    <w:p>
      <w:pPr>
        <w:pStyle w:val="ListParagraph"/>
        <w:numPr>
          <w:ilvl w:val="0"/>
          <w:numId w:val="2"/>
        </w:numPr>
        <w:spacing w:after="60" w:line="276"/>
      </w:pPr>
      <w:r>
        <w:rPr>
          <w:rFonts w:ascii="Calibri" w:cs="Calibri" w:eastAsia="Calibri" w:hAnsi="Calibri"/>
        </w:rPr>
        <w:t xml:space="preserve">the Village Panchayat's permission for the interior and repair works (clause 8.1).</w:t>
      </w:r>
    </w:p>
    <w:p>
      <w:pPr>
        <w:spacing w:after="100" w:line="276"/>
      </w:pPr>
      <w:r>
        <w:rPr>
          <w:rFonts w:ascii="Calibri" w:cs="Calibri" w:eastAsia="Calibri" w:hAnsi="Calibri"/>
        </w:rPr>
        <w:t xml:space="preserve">A refusal means a written refusal, or the long-stop date above passing without the approval. Any advance rent paid is also refunded in full. The Owner does not have to reimburse the Tenant's fit-out costs. The Tenant will not be treated as having failed to apply diligently where delay is caused by the authorities, the builder or the Owner.</w:t>
      </w:r>
    </w:p>
    <w:p>
      <w:pPr>
        <w:pStyle w:val="Heading1"/>
        <w:keepNext/>
        <w:spacing w:after="120" w:before="260"/>
      </w:pPr>
      <w:r>
        <w:rPr>
          <w:rFonts w:ascii="Calibri" w:cs="Calibri" w:eastAsia="Calibri" w:hAnsi="Calibri"/>
        </w:rPr>
        <w:t xml:space="preserve">8. Works Permissions and the rent-free period</w:t>
      </w:r>
    </w:p>
    <w:p>
      <w:pPr>
        <w:spacing w:after="80" w:line="276"/>
        <w:ind w:left="720" w:hanging="360"/>
      </w:pPr>
      <w:r>
        <w:rPr>
          <w:rFonts w:ascii="Calibri" w:cs="Calibri" w:eastAsia="Calibri" w:hAnsi="Calibri"/>
        </w:rPr>
        <w:t xml:space="preserve">8.1 </w:t>
      </w:r>
      <w:r>
        <w:rPr>
          <w:rFonts w:ascii="Calibri" w:cs="Calibri" w:eastAsia="Calibri" w:hAnsi="Calibri"/>
          <w:b/>
          <w:bCs/>
        </w:rPr>
        <w:t xml:space="preserve">Works Permissions.</w:t>
      </w:r>
      <w:r>
        <w:rPr>
          <w:rFonts w:ascii="Calibri" w:cs="Calibri" w:eastAsia="Calibri" w:hAnsi="Calibri"/>
        </w:rPr>
        <w:t xml:space="preserve"> In this agreement, "Works Permissions" means, in writing and delivered to the Tenant: (a) the builder's written consent under clause 6.3; (b) the Village Panchayat's permission for the interior and repair works, including the toilet, drains and biodigester; and (c) any other written permission that the law requires before those works begin. The Owner will obtain (a) and sign the NOC the Tenant needs for (b). The Tenant will apply for (b).</w:t>
      </w:r>
    </w:p>
    <w:p>
      <w:pPr>
        <w:spacing w:after="80" w:line="276"/>
        <w:ind w:left="720" w:hanging="360"/>
      </w:pPr>
      <w:r>
        <w:rPr>
          <w:rFonts w:ascii="Calibri" w:cs="Calibri" w:eastAsia="Calibri" w:hAnsi="Calibri"/>
        </w:rPr>
        <w:t xml:space="preserve">8.2 </w:t>
      </w:r>
      <w:r>
        <w:rPr>
          <w:rFonts w:ascii="Calibri" w:cs="Calibri" w:eastAsia="Calibri" w:hAnsi="Calibri"/>
          <w:b/>
          <w:bCs/>
        </w:rPr>
        <w:t xml:space="preserve">Signing before the permissions.</w:t>
      </w:r>
      <w:r>
        <w:rPr>
          <w:rFonts w:ascii="Calibri" w:cs="Calibri" w:eastAsia="Calibri" w:hAnsi="Calibri"/>
        </w:rPr>
        <w:t xml:space="preserve"> The parties may sign this agreement before the Works Permissions are obtained. Signing does not start the rent-free period, rent, the lock-in or the term. No rent is payable for the time between the date of this agreement and the Works Permissions Date.</w:t>
      </w:r>
    </w:p>
    <w:p>
      <w:pPr>
        <w:spacing w:after="80" w:line="276"/>
        <w:ind w:left="720" w:hanging="360"/>
      </w:pPr>
      <w:r>
        <w:rPr>
          <w:rFonts w:ascii="Calibri" w:cs="Calibri" w:eastAsia="Calibri" w:hAnsi="Calibri"/>
        </w:rPr>
        <w:t xml:space="preserve">8.3 </w:t>
      </w:r>
      <w:r>
        <w:rPr>
          <w:rFonts w:ascii="Calibri" w:cs="Calibri" w:eastAsia="Calibri" w:hAnsi="Calibri"/>
          <w:b/>
          <w:bCs/>
        </w:rPr>
        <w:t xml:space="preserve">When the rent-free period begins.</w:t>
      </w:r>
      <w:r>
        <w:rPr>
          <w:rFonts w:ascii="Calibri" w:cs="Calibri" w:eastAsia="Calibri" w:hAnsi="Calibri"/>
        </w:rPr>
        <w:t xml:space="preserve"> The rent-free period of [2] months begins on the "Works Permissions Date", which is the date on which the last of the Works Permissions has been delivered to the Tenant in writing. During it the Tenant pays no rent, and may carry out the fit-out and pursue its licence applications. The Tenant pays for electricity and water it actually uses.</w:t>
      </w:r>
    </w:p>
    <w:p>
      <w:pPr>
        <w:spacing w:after="80" w:line="276"/>
        <w:ind w:left="720" w:hanging="360"/>
      </w:pPr>
      <w:r>
        <w:rPr>
          <w:rFonts w:ascii="Calibri" w:cs="Calibri" w:eastAsia="Calibri" w:hAnsi="Calibri"/>
        </w:rPr>
        <w:t xml:space="preserve">8.4 </w:t>
      </w:r>
      <w:r>
        <w:rPr>
          <w:rFonts w:ascii="Calibri" w:cs="Calibri" w:eastAsia="Calibri" w:hAnsi="Calibri"/>
          <w:b/>
          <w:bCs/>
        </w:rPr>
        <w:t xml:space="preserve">Before the Works Permissions Date.</w:t>
      </w:r>
      <w:r>
        <w:rPr>
          <w:rFonts w:ascii="Calibri" w:cs="Calibri" w:eastAsia="Calibri" w:hAnsi="Calibri"/>
        </w:rPr>
        <w:t xml:space="preserve"> The Tenant may enter the Premises to inspect, measure, plan and file applications, but is not required to start any construction, and none will be started until the Works Permissions Date.</w:t>
      </w:r>
    </w:p>
    <w:p>
      <w:pPr>
        <w:spacing w:after="80" w:line="276"/>
        <w:ind w:left="720" w:hanging="360"/>
      </w:pPr>
      <w:r>
        <w:rPr>
          <w:rFonts w:ascii="Calibri" w:cs="Calibri" w:eastAsia="Calibri" w:hAnsi="Calibri"/>
        </w:rPr>
        <w:t xml:space="preserve">8.5 </w:t>
      </w:r>
      <w:r>
        <w:rPr>
          <w:rFonts w:ascii="Calibri" w:cs="Calibri" w:eastAsia="Calibri" w:hAnsi="Calibri"/>
          <w:b/>
          <w:bCs/>
        </w:rPr>
        <w:t xml:space="preserve">Extension.</w:t>
      </w:r>
      <w:r>
        <w:rPr>
          <w:rFonts w:ascii="Calibri" w:cs="Calibri" w:eastAsia="Calibri" w:hAnsi="Calibri"/>
        </w:rPr>
        <w:t xml:space="preserve"> The rent-free period extends day for day for any delay not caused by the Tenant, including delay by the authorities, by the builder in giving consent, or by the Owner in providing documents.</w:t>
      </w:r>
    </w:p>
    <w:p>
      <w:pPr>
        <w:spacing w:after="100" w:line="276"/>
      </w:pPr>
      <w:r>
        <w:rPr>
          <w:rFonts w:ascii="Calibri" w:cs="Calibri" w:eastAsia="Calibri" w:hAnsi="Calibri"/>
          <w:b/>
          <w:bCs/>
          <w:i/>
          <w:iCs/>
        </w:rPr>
        <w:t xml:space="preserve">Option if the Owner will not agree to open-ended extension:</w:t>
      </w:r>
      <w:r>
        <w:rPr>
          <w:rFonts w:ascii="Calibri" w:cs="Calibri" w:eastAsia="Calibri" w:hAnsi="Calibri"/>
          <w:i/>
          <w:iCs/>
        </w:rPr>
        <w:t xml:space="preserve"> after the first [2] months of the rent-free period the rent is [50]% of the monthly rent until the excise licence is issued or the shop opens, whichever is earlier.</w:t>
      </w:r>
    </w:p>
    <w:p>
      <w:pPr>
        <w:pStyle w:val="Heading1"/>
        <w:keepNext/>
        <w:spacing w:after="120" w:before="260"/>
      </w:pPr>
      <w:r>
        <w:rPr>
          <w:rFonts w:ascii="Calibri" w:cs="Calibri" w:eastAsia="Calibri" w:hAnsi="Calibri"/>
        </w:rPr>
        <w:t xml:space="preserve">9. Rent commencement and term</w:t>
      </w:r>
    </w:p>
    <w:p>
      <w:pPr>
        <w:spacing w:after="100" w:line="276"/>
      </w:pPr>
      <w:r>
        <w:rPr>
          <w:rFonts w:ascii="Calibri" w:cs="Calibri" w:eastAsia="Calibri" w:hAnsi="Calibri"/>
        </w:rPr>
        <w:t xml:space="preserve">Rent starts on the earliest of: (a) the date the excise licence is issued; (b) the date the shop opens to the public; or (c) the end of the extended rent-free period in clause 8.5. Rent never starts before the Works Permissions Date. The term of [11] months runs from the rent start date. Neither the time before the Works Permissions Date nor the rent-free period counts against the term.</w:t>
      </w:r>
    </w:p>
    <w:p>
      <w:pPr>
        <w:pStyle w:val="Heading1"/>
        <w:keepNext/>
        <w:spacing w:after="120" w:before="260"/>
      </w:pPr>
      <w:r>
        <w:rPr>
          <w:rFonts w:ascii="Calibri" w:cs="Calibri" w:eastAsia="Calibri" w:hAnsi="Calibri"/>
        </w:rPr>
        <w:t xml:space="preserve">10. Licences in the Tenant's name</w:t>
      </w:r>
    </w:p>
    <w:p>
      <w:pPr>
        <w:spacing w:after="100" w:line="276"/>
      </w:pPr>
      <w:r>
        <w:rPr>
          <w:rFonts w:ascii="Calibri" w:cs="Calibri" w:eastAsia="Calibri" w:hAnsi="Calibri"/>
        </w:rPr>
        <w:t xml:space="preserve">Every licence, registration and permit for the business is held in the Tenant's name. The Owner is not liable for the Tenant's licence breaches, and the Tenant is not liable for the Owner's.</w:t>
      </w:r>
    </w:p>
    <w:p>
      <w:pPr>
        <w:pStyle w:val="Heading1"/>
        <w:keepNext/>
        <w:spacing w:after="120" w:before="260"/>
      </w:pPr>
      <w:r>
        <w:rPr>
          <w:rFonts w:ascii="Calibri" w:cs="Calibri" w:eastAsia="Calibri" w:hAnsi="Calibri"/>
        </w:rPr>
        <w:t xml:space="preserve">11. Areas outside the Premises</w:t>
      </w:r>
    </w:p>
    <w:p>
      <w:pPr>
        <w:spacing w:after="100" w:line="276"/>
      </w:pPr>
      <w:r>
        <w:rPr>
          <w:rFonts w:ascii="Calibri" w:cs="Calibri" w:eastAsia="Calibri" w:hAnsi="Calibri"/>
        </w:rPr>
        <w:t xml:space="preserve">The setbacks, open spaces and terraces belong to the builder (Deed of Sale, clause 11). The Owner will obtain written consent, shown on Annexure A, for the Tenant to use the places marked for the exhaust outlet, gas bank, AC units, biodigester, soak pit and signage. If consent is withdrawn, clause 6.4 applies.</w:t>
      </w:r>
    </w:p>
    <w:p>
      <w:pPr>
        <w:pStyle w:val="Heading1"/>
        <w:keepNext/>
        <w:spacing w:after="120" w:before="260"/>
      </w:pPr>
      <w:r>
        <w:rPr>
          <w:rFonts w:ascii="Calibri" w:cs="Calibri" w:eastAsia="Calibri" w:hAnsi="Calibri"/>
        </w:rPr>
        <w:t xml:space="preserve">12. Renewal option</w:t>
      </w:r>
    </w:p>
    <w:p>
      <w:pPr>
        <w:spacing w:after="100" w:line="276"/>
      </w:pPr>
      <w:r>
        <w:rPr>
          <w:rFonts w:ascii="Calibri" w:cs="Calibri" w:eastAsia="Calibri" w:hAnsi="Calibri"/>
        </w:rPr>
        <w:t xml:space="preserve">The Tenant may renew for [two] further terms of [11] months, by giving [60] days' written notice before expiry, at a rent increase of no more than [5 to 10]% each time. The Owner may not refuse renewal while the Tenant is not in default.</w:t>
      </w:r>
    </w:p>
    <w:p>
      <w:pPr>
        <w:pStyle w:val="Heading1"/>
        <w:keepNext/>
        <w:spacing w:after="120" w:before="260"/>
      </w:pPr>
      <w:r>
        <w:rPr>
          <w:rFonts w:ascii="Calibri" w:cs="Calibri" w:eastAsia="Calibri" w:hAnsi="Calibri"/>
        </w:rPr>
        <w:t xml:space="preserve">13. Lock-in and termination</w:t>
      </w:r>
    </w:p>
    <w:p>
      <w:pPr>
        <w:spacing w:after="100" w:line="276"/>
      </w:pPr>
      <w:r>
        <w:rPr>
          <w:rFonts w:ascii="Calibri" w:cs="Calibri" w:eastAsia="Calibri" w:hAnsi="Calibri"/>
        </w:rPr>
        <w:t xml:space="preserve">Neither party may end this agreement during a lock-in of [6] months from rent commencement, except under clauses 5, 6.4, 7 and 15. After the lock-in, either party may end it on [3] months' written notice.</w:t>
      </w:r>
    </w:p>
    <w:p>
      <w:pPr>
        <w:pStyle w:val="Heading1"/>
        <w:keepNext/>
        <w:spacing w:after="120" w:before="260"/>
      </w:pPr>
      <w:r>
        <w:rPr>
          <w:rFonts w:ascii="Calibri" w:cs="Calibri" w:eastAsia="Calibri" w:hAnsi="Calibri"/>
        </w:rPr>
        <w:t xml:space="preserve">14. Fit-out remains the Tenant's property</w:t>
      </w:r>
    </w:p>
    <w:p>
      <w:pPr>
        <w:spacing w:after="100" w:line="276"/>
      </w:pPr>
      <w:r>
        <w:rPr>
          <w:rFonts w:ascii="Calibri" w:cs="Calibri" w:eastAsia="Calibri" w:hAnsi="Calibri"/>
        </w:rPr>
        <w:t xml:space="preserve">On leaving, the Tenant may remove all equipment, fixtures and fittings it installed, including kitchen equipment, bar fittings, furniture, signage and the biodigester, and must repair damage caused by removal. The Owner will not retain or claim them.</w:t>
      </w:r>
    </w:p>
    <w:p>
      <w:pPr>
        <w:pStyle w:val="Heading1"/>
        <w:keepNext/>
        <w:spacing w:after="120" w:before="260"/>
      </w:pPr>
      <w:r>
        <w:rPr>
          <w:rFonts w:ascii="Calibri" w:cs="Calibri" w:eastAsia="Calibri" w:hAnsi="Calibri"/>
        </w:rPr>
        <w:t xml:space="preserve">15. Quiet possession and building works by the builder</w:t>
      </w:r>
    </w:p>
    <w:p>
      <w:pPr>
        <w:spacing w:after="100" w:line="276"/>
      </w:pPr>
      <w:r>
        <w:rPr>
          <w:rFonts w:ascii="Calibri" w:cs="Calibri" w:eastAsia="Calibri" w:hAnsi="Calibri"/>
        </w:rPr>
        <w:t xml:space="preserve">The Owner will not disturb the Tenant's use of the Premises. Clause 12 of the Deed of Sale lets the builder carry out further construction. If such work reduces access, increases noise or stops trading for more than [7] days, the rent reduces in proportion for the period affected. If it continues for more than [30] days, the Tenant may leave on notice and clause 7 applies to the deposit.</w:t>
      </w:r>
    </w:p>
    <w:p>
      <w:pPr>
        <w:keepNext/>
        <w:spacing w:after="60" w:before="240"/>
      </w:pPr>
      <w:r>
        <w:rPr>
          <w:rFonts w:ascii="Calibri" w:cs="Calibri" w:eastAsia="Calibri" w:hAnsi="Calibri"/>
          <w:b/>
          <w:bCs/>
          <w:color w:val="0F6B5C"/>
          <w:sz w:val="26"/>
          <w:szCs w:val="26"/>
        </w:rPr>
        <w:t xml:space="preserve">PART B: OTHER TERMS TO AGREE</w:t>
      </w:r>
    </w:p>
    <w:p>
      <w:pPr>
        <w:pStyle w:val="Heading1"/>
        <w:keepNext/>
        <w:spacing w:after="120" w:before="260"/>
      </w:pPr>
      <w:r>
        <w:rPr>
          <w:rFonts w:ascii="Calibri" w:cs="Calibri" w:eastAsia="Calibri" w:hAnsi="Calibri"/>
        </w:rPr>
        <w:t xml:space="preserve">16. Money, utilities and taxes</w:t>
      </w:r>
    </w:p>
    <w:p>
      <w:pPr>
        <w:spacing w:after="80" w:line="276"/>
        <w:ind w:left="720" w:hanging="360"/>
      </w:pPr>
      <w:r>
        <w:rPr>
          <w:rFonts w:ascii="Calibri" w:cs="Calibri" w:eastAsia="Calibri" w:hAnsi="Calibri"/>
        </w:rPr>
        <w:t xml:space="preserve">(a) </w:t>
      </w:r>
      <w:r>
        <w:rPr>
          <w:rFonts w:ascii="Calibri" w:cs="Calibri" w:eastAsia="Calibri" w:hAnsi="Calibri"/>
          <w:b/>
          <w:bCs/>
        </w:rPr>
        <w:t xml:space="preserve">Rent:</w:t>
      </w:r>
      <w:r>
        <w:rPr>
          <w:rFonts w:ascii="Calibri" w:cs="Calibri" w:eastAsia="Calibri" w:hAnsi="Calibri"/>
        </w:rPr>
        <w:t xml:space="preserve"> paid by bank transfer on or before the [5th] of each month, with a receipt. A [7]-day cure period applies before any default.</w:t>
      </w:r>
    </w:p>
    <w:p>
      <w:pPr>
        <w:spacing w:after="80" w:line="276"/>
        <w:ind w:left="720" w:hanging="360"/>
      </w:pPr>
      <w:r>
        <w:rPr>
          <w:rFonts w:ascii="Calibri" w:cs="Calibri" w:eastAsia="Calibri" w:hAnsi="Calibri"/>
        </w:rPr>
        <w:t xml:space="preserve">(b) </w:t>
      </w:r>
      <w:r>
        <w:rPr>
          <w:rFonts w:ascii="Calibri" w:cs="Calibri" w:eastAsia="Calibri" w:hAnsi="Calibri"/>
          <w:b/>
          <w:bCs/>
        </w:rPr>
        <w:t xml:space="preserve">Utilities:</w:t>
      </w:r>
      <w:r>
        <w:rPr>
          <w:rFonts w:ascii="Calibri" w:cs="Calibri" w:eastAsia="Calibri" w:hAnsi="Calibri"/>
        </w:rPr>
        <w:t xml:space="preserve"> the Tenant pays its own electricity and water, on its own meters. The building has a common water connection, so the Tenant will install a separate meter.</w:t>
      </w:r>
    </w:p>
    <w:p>
      <w:pPr>
        <w:spacing w:after="80" w:line="276"/>
        <w:ind w:left="720" w:hanging="360"/>
      </w:pPr>
      <w:r>
        <w:rPr>
          <w:rFonts w:ascii="Calibri" w:cs="Calibri" w:eastAsia="Calibri" w:hAnsi="Calibri"/>
        </w:rPr>
        <w:t xml:space="preserve">(c) </w:t>
      </w:r>
      <w:r>
        <w:rPr>
          <w:rFonts w:ascii="Calibri" w:cs="Calibri" w:eastAsia="Calibri" w:hAnsi="Calibri"/>
          <w:b/>
          <w:bCs/>
        </w:rPr>
        <w:t xml:space="preserve">Taxes:</w:t>
      </w:r>
      <w:r>
        <w:rPr>
          <w:rFonts w:ascii="Calibri" w:cs="Calibri" w:eastAsia="Calibri" w:hAnsi="Calibri"/>
        </w:rPr>
        <w:t xml:space="preserve"> the Owner pays house tax, infrastructure tax and any new tax on the Premises (Deed of Sale, clauses 13 and 17).</w:t>
      </w:r>
    </w:p>
    <w:p>
      <w:pPr>
        <w:spacing w:after="80" w:line="276"/>
        <w:ind w:left="720" w:hanging="360"/>
      </w:pPr>
      <w:r>
        <w:rPr>
          <w:rFonts w:ascii="Calibri" w:cs="Calibri" w:eastAsia="Calibri" w:hAnsi="Calibri"/>
        </w:rPr>
        <w:t xml:space="preserve">(d) </w:t>
      </w:r>
      <w:r>
        <w:rPr>
          <w:rFonts w:ascii="Calibri" w:cs="Calibri" w:eastAsia="Calibri" w:hAnsi="Calibri"/>
          <w:b/>
          <w:bCs/>
        </w:rPr>
        <w:t xml:space="preserve">Society charges:</w:t>
      </w:r>
      <w:r>
        <w:rPr>
          <w:rFonts w:ascii="Calibri" w:cs="Calibri" w:eastAsia="Calibri" w:hAnsi="Calibri"/>
        </w:rPr>
        <w:t xml:space="preserve"> if a society is formed, the Owner pays maintenance and other society charges. If the society requires a contribution from the Tenant for common services, it is capped at ₹[   ] a month.</w:t>
      </w:r>
    </w:p>
    <w:p>
      <w:pPr>
        <w:spacing w:after="80" w:line="276"/>
        <w:ind w:left="720" w:hanging="360"/>
      </w:pPr>
      <w:r>
        <w:rPr>
          <w:rFonts w:ascii="Calibri" w:cs="Calibri" w:eastAsia="Calibri" w:hAnsi="Calibri"/>
        </w:rPr>
        <w:t xml:space="preserve">(e) </w:t>
      </w:r>
      <w:r>
        <w:rPr>
          <w:rFonts w:ascii="Calibri" w:cs="Calibri" w:eastAsia="Calibri" w:hAnsi="Calibri"/>
          <w:b/>
          <w:bCs/>
        </w:rPr>
        <w:t xml:space="preserve">Rent increase:</w:t>
      </w:r>
      <w:r>
        <w:rPr>
          <w:rFonts w:ascii="Calibri" w:cs="Calibri" w:eastAsia="Calibri" w:hAnsi="Calibri"/>
        </w:rPr>
        <w:t xml:space="preserve"> fixed by percentage and date, not at the Owner's discretion.</w:t>
      </w:r>
    </w:p>
    <w:p>
      <w:pPr>
        <w:pStyle w:val="Heading1"/>
        <w:keepNext/>
        <w:spacing w:after="120" w:before="260"/>
      </w:pPr>
      <w:r>
        <w:rPr>
          <w:rFonts w:ascii="Calibri" w:cs="Calibri" w:eastAsia="Calibri" w:hAnsi="Calibri"/>
        </w:rPr>
        <w:t xml:space="preserve">17. Operating conditions</w:t>
      </w:r>
    </w:p>
    <w:p>
      <w:pPr>
        <w:spacing w:after="80" w:line="276"/>
        <w:ind w:left="720" w:hanging="360"/>
      </w:pPr>
      <w:r>
        <w:rPr>
          <w:rFonts w:ascii="Calibri" w:cs="Calibri" w:eastAsia="Calibri" w:hAnsi="Calibri"/>
        </w:rPr>
        <w:t xml:space="preserve">(a) </w:t>
      </w:r>
      <w:r>
        <w:rPr>
          <w:rFonts w:ascii="Calibri" w:cs="Calibri" w:eastAsia="Calibri" w:hAnsi="Calibri"/>
          <w:b/>
          <w:bCs/>
        </w:rPr>
        <w:t xml:space="preserve">Garbage:</w:t>
      </w:r>
      <w:r>
        <w:rPr>
          <w:rFonts w:ascii="Calibri" w:cs="Calibri" w:eastAsia="Calibri" w:hAnsi="Calibri"/>
        </w:rPr>
        <w:t xml:space="preserve"> the Tenant will keep waste in closed bins at [location] and arrange its own pickup, so there is no nuisance to other residents (Deed of Sale, clause 16).</w:t>
      </w:r>
    </w:p>
    <w:p>
      <w:pPr>
        <w:spacing w:after="80" w:line="276"/>
        <w:ind w:left="720" w:hanging="360"/>
      </w:pPr>
      <w:r>
        <w:rPr>
          <w:rFonts w:ascii="Calibri" w:cs="Calibri" w:eastAsia="Calibri" w:hAnsi="Calibri"/>
        </w:rPr>
        <w:t xml:space="preserve">(b) </w:t>
      </w:r>
      <w:r>
        <w:rPr>
          <w:rFonts w:ascii="Calibri" w:cs="Calibri" w:eastAsia="Calibri" w:hAnsi="Calibri"/>
          <w:b/>
          <w:bCs/>
        </w:rPr>
        <w:t xml:space="preserve">Parking:</w:t>
      </w:r>
      <w:r>
        <w:rPr>
          <w:rFonts w:ascii="Calibri" w:cs="Calibri" w:eastAsia="Calibri" w:hAnsi="Calibri"/>
        </w:rPr>
        <w:t xml:space="preserve"> the Tenant will have [number] parking spaces at [location]. [The Deed of Sale gives Shop 4 no parking right, so this must be agreed expressly.]</w:t>
      </w:r>
    </w:p>
    <w:p>
      <w:pPr>
        <w:spacing w:after="80" w:line="276"/>
        <w:ind w:left="720" w:hanging="360"/>
      </w:pPr>
      <w:r>
        <w:rPr>
          <w:rFonts w:ascii="Calibri" w:cs="Calibri" w:eastAsia="Calibri" w:hAnsi="Calibri"/>
        </w:rPr>
        <w:t xml:space="preserve">(c) </w:t>
      </w:r>
      <w:r>
        <w:rPr>
          <w:rFonts w:ascii="Calibri" w:cs="Calibri" w:eastAsia="Calibri" w:hAnsi="Calibri"/>
          <w:b/>
          <w:bCs/>
        </w:rPr>
        <w:t xml:space="preserve">Noise and hours:</w:t>
      </w:r>
      <w:r>
        <w:rPr>
          <w:rFonts w:ascii="Calibri" w:cs="Calibri" w:eastAsia="Calibri" w:hAnsi="Calibri"/>
        </w:rPr>
        <w:t xml:space="preserve"> the Tenant will keep music and noise within the limits of the Noise Pollution Rules, with no amplified music after [10 pm] unless the law allows it.</w:t>
      </w:r>
    </w:p>
    <w:p>
      <w:pPr>
        <w:spacing w:after="80" w:line="276"/>
        <w:ind w:left="720" w:hanging="360"/>
      </w:pPr>
      <w:r>
        <w:rPr>
          <w:rFonts w:ascii="Calibri" w:cs="Calibri" w:eastAsia="Calibri" w:hAnsi="Calibri"/>
        </w:rPr>
        <w:t xml:space="preserve">(d) </w:t>
      </w:r>
      <w:r>
        <w:rPr>
          <w:rFonts w:ascii="Calibri" w:cs="Calibri" w:eastAsia="Calibri" w:hAnsi="Calibri"/>
          <w:b/>
          <w:bCs/>
        </w:rPr>
        <w:t xml:space="preserve">Residential use:</w:t>
      </w:r>
      <w:r>
        <w:rPr>
          <w:rFonts w:ascii="Calibri" w:cs="Calibri" w:eastAsia="Calibri" w:hAnsi="Calibri"/>
        </w:rPr>
        <w:t xml:space="preserve"> no one will live or sleep in the Premises (Deed of Sale, clause 8).</w:t>
      </w:r>
    </w:p>
    <w:p>
      <w:pPr>
        <w:pStyle w:val="Heading1"/>
        <w:keepNext/>
        <w:spacing w:after="120" w:before="260"/>
      </w:pPr>
      <w:r>
        <w:rPr>
          <w:rFonts w:ascii="Calibri" w:cs="Calibri" w:eastAsia="Calibri" w:hAnsi="Calibri"/>
        </w:rPr>
        <w:t xml:space="preserve">18. General</w:t>
      </w:r>
    </w:p>
    <w:p>
      <w:pPr>
        <w:spacing w:after="80" w:line="276"/>
        <w:ind w:left="720" w:hanging="360"/>
      </w:pPr>
      <w:r>
        <w:rPr>
          <w:rFonts w:ascii="Calibri" w:cs="Calibri" w:eastAsia="Calibri" w:hAnsi="Calibri"/>
        </w:rPr>
        <w:t xml:space="preserve">(a) </w:t>
      </w:r>
      <w:r>
        <w:rPr>
          <w:rFonts w:ascii="Calibri" w:cs="Calibri" w:eastAsia="Calibri" w:hAnsi="Calibri"/>
          <w:b/>
          <w:bCs/>
        </w:rPr>
        <w:t xml:space="preserve">Repairs:</w:t>
      </w:r>
      <w:r>
        <w:rPr>
          <w:rFonts w:ascii="Calibri" w:cs="Calibri" w:eastAsia="Calibri" w:hAnsi="Calibri"/>
        </w:rPr>
        <w:t xml:space="preserve"> the Owner is responsible for structural and roof repairs. The Tenant handles day-to-day maintenance.</w:t>
      </w:r>
    </w:p>
    <w:p>
      <w:pPr>
        <w:spacing w:after="80" w:line="276"/>
        <w:ind w:left="720" w:hanging="360"/>
      </w:pPr>
      <w:r>
        <w:rPr>
          <w:rFonts w:ascii="Calibri" w:cs="Calibri" w:eastAsia="Calibri" w:hAnsi="Calibri"/>
        </w:rPr>
        <w:t xml:space="preserve">(b) </w:t>
      </w:r>
      <w:r>
        <w:rPr>
          <w:rFonts w:ascii="Calibri" w:cs="Calibri" w:eastAsia="Calibri" w:hAnsi="Calibri"/>
          <w:b/>
          <w:bCs/>
        </w:rPr>
        <w:t xml:space="preserve">Insurance:</w:t>
      </w:r>
      <w:r>
        <w:rPr>
          <w:rFonts w:ascii="Calibri" w:cs="Calibri" w:eastAsia="Calibri" w:hAnsi="Calibri"/>
        </w:rPr>
        <w:t xml:space="preserve"> the Tenant insures its stock and fit-out. The Owner insures the building.</w:t>
      </w:r>
    </w:p>
    <w:p>
      <w:pPr>
        <w:spacing w:after="80" w:line="276"/>
        <w:ind w:left="720" w:hanging="360"/>
      </w:pPr>
      <w:r>
        <w:rPr>
          <w:rFonts w:ascii="Calibri" w:cs="Calibri" w:eastAsia="Calibri" w:hAnsi="Calibri"/>
        </w:rPr>
        <w:t xml:space="preserve">(c) </w:t>
      </w:r>
      <w:r>
        <w:rPr>
          <w:rFonts w:ascii="Calibri" w:cs="Calibri" w:eastAsia="Calibri" w:hAnsi="Calibri"/>
          <w:b/>
          <w:bCs/>
        </w:rPr>
        <w:t xml:space="preserve">Inspection:</w:t>
      </w:r>
      <w:r>
        <w:rPr>
          <w:rFonts w:ascii="Calibri" w:cs="Calibri" w:eastAsia="Calibri" w:hAnsi="Calibri"/>
        </w:rPr>
        <w:t xml:space="preserve"> the Owner may inspect on [24] hours' notice, outside opening hours.</w:t>
      </w:r>
    </w:p>
    <w:p>
      <w:pPr>
        <w:spacing w:after="80" w:line="276"/>
        <w:ind w:left="720" w:hanging="360"/>
      </w:pPr>
      <w:r>
        <w:rPr>
          <w:rFonts w:ascii="Calibri" w:cs="Calibri" w:eastAsia="Calibri" w:hAnsi="Calibri"/>
        </w:rPr>
        <w:t xml:space="preserve">(d) </w:t>
      </w:r>
      <w:r>
        <w:rPr>
          <w:rFonts w:ascii="Calibri" w:cs="Calibri" w:eastAsia="Calibri" w:hAnsi="Calibri"/>
          <w:b/>
          <w:bCs/>
        </w:rPr>
        <w:t xml:space="preserve">Subletting:</w:t>
      </w:r>
      <w:r>
        <w:rPr>
          <w:rFonts w:ascii="Calibri" w:cs="Calibri" w:eastAsia="Calibri" w:hAnsi="Calibri"/>
        </w:rPr>
        <w:t xml:space="preserve"> the Tenant may not sublet, except to a company controlled by the same people.</w:t>
      </w:r>
    </w:p>
    <w:p>
      <w:pPr>
        <w:spacing w:after="80" w:line="276"/>
        <w:ind w:left="720" w:hanging="360"/>
      </w:pPr>
      <w:r>
        <w:rPr>
          <w:rFonts w:ascii="Calibri" w:cs="Calibri" w:eastAsia="Calibri" w:hAnsi="Calibri"/>
        </w:rPr>
        <w:t xml:space="preserve">(e) </w:t>
      </w:r>
      <w:r>
        <w:rPr>
          <w:rFonts w:ascii="Calibri" w:cs="Calibri" w:eastAsia="Calibri" w:hAnsi="Calibri"/>
          <w:b/>
          <w:bCs/>
        </w:rPr>
        <w:t xml:space="preserve">Compliance:</w:t>
      </w:r>
      <w:r>
        <w:rPr>
          <w:rFonts w:ascii="Calibri" w:cs="Calibri" w:eastAsia="Calibri" w:hAnsi="Calibri"/>
        </w:rPr>
        <w:t xml:space="preserve"> the Tenant complies with the law applicable to its business.</w:t>
      </w:r>
    </w:p>
    <w:p>
      <w:pPr>
        <w:spacing w:after="80" w:line="276"/>
        <w:ind w:left="720" w:hanging="360"/>
      </w:pPr>
      <w:r>
        <w:rPr>
          <w:rFonts w:ascii="Calibri" w:cs="Calibri" w:eastAsia="Calibri" w:hAnsi="Calibri"/>
        </w:rPr>
        <w:t xml:space="preserve">(f) </w:t>
      </w:r>
      <w:r>
        <w:rPr>
          <w:rFonts w:ascii="Calibri" w:cs="Calibri" w:eastAsia="Calibri" w:hAnsi="Calibri"/>
          <w:b/>
          <w:bCs/>
        </w:rPr>
        <w:t xml:space="preserve">Disputes:</w:t>
      </w:r>
      <w:r>
        <w:rPr>
          <w:rFonts w:ascii="Calibri" w:cs="Calibri" w:eastAsia="Calibri" w:hAnsi="Calibri"/>
        </w:rPr>
        <w:t xml:space="preserve"> mediation first, then the courts at [Margao].</w:t>
      </w:r>
    </w:p>
    <w:p>
      <w:pPr>
        <w:spacing w:after="80" w:line="276"/>
        <w:ind w:left="720" w:hanging="360"/>
      </w:pPr>
      <w:r>
        <w:rPr>
          <w:rFonts w:ascii="Calibri" w:cs="Calibri" w:eastAsia="Calibri" w:hAnsi="Calibri"/>
        </w:rPr>
        <w:t xml:space="preserve">(g) </w:t>
      </w:r>
      <w:r>
        <w:rPr>
          <w:rFonts w:ascii="Calibri" w:cs="Calibri" w:eastAsia="Calibri" w:hAnsi="Calibri"/>
          <w:b/>
          <w:bCs/>
        </w:rPr>
        <w:t xml:space="preserve">Stamp duty and notarisation:</w:t>
      </w:r>
      <w:r>
        <w:rPr>
          <w:rFonts w:ascii="Calibri" w:cs="Calibri" w:eastAsia="Calibri" w:hAnsi="Calibri"/>
        </w:rPr>
        <w:t xml:space="preserve"> [the Tenant / the Owner] pays the stamp duty and notary charges. Both copies are notarised on stamp paper.</w:t>
      </w:r>
    </w:p>
    <w:p>
      <w:pPr>
        <w:pStyle w:val="Heading1"/>
        <w:keepNext/>
        <w:spacing w:after="120" w:before="260"/>
      </w:pPr>
      <w:r>
        <w:rPr>
          <w:rFonts w:ascii="Calibri" w:cs="Calibri" w:eastAsia="Calibri" w:hAnsi="Calibri"/>
        </w:rPr>
        <w:t xml:space="preserve">Annexures</w:t>
      </w:r>
    </w:p>
    <w:p>
      <w:pPr>
        <w:pStyle w:val="ListParagraph"/>
        <w:numPr>
          <w:ilvl w:val="0"/>
          <w:numId w:val="2"/>
        </w:numPr>
        <w:spacing w:after="60" w:line="276"/>
      </w:pPr>
      <w:r>
        <w:rPr>
          <w:rFonts w:ascii="Calibri" w:cs="Calibri" w:eastAsia="Calibri" w:hAnsi="Calibri"/>
        </w:rPr>
        <w:t xml:space="preserve">A: plan of the Premises marking the exhaust outlet, gas bank, AC units, biodigester, soak pit and signage locations, with the builder's signed consent</w:t>
      </w:r>
    </w:p>
    <w:p>
      <w:pPr>
        <w:pStyle w:val="ListParagraph"/>
        <w:numPr>
          <w:ilvl w:val="0"/>
          <w:numId w:val="2"/>
        </w:numPr>
        <w:spacing w:after="60" w:line="276"/>
      </w:pPr>
      <w:r>
        <w:rPr>
          <w:rFonts w:ascii="Calibri" w:cs="Calibri" w:eastAsia="Calibri" w:hAnsi="Calibri"/>
        </w:rPr>
        <w:t xml:space="preserve">B: copy of the Deed of Sale and Occupancy Certificate</w:t>
      </w:r>
    </w:p>
    <w:p>
      <w:pPr>
        <w:pStyle w:val="ListParagraph"/>
        <w:numPr>
          <w:ilvl w:val="0"/>
          <w:numId w:val="2"/>
        </w:numPr>
        <w:spacing w:after="60" w:line="276"/>
      </w:pPr>
      <w:r>
        <w:rPr>
          <w:rFonts w:ascii="Calibri" w:cs="Calibri" w:eastAsia="Calibri" w:hAnsi="Calibri"/>
        </w:rPr>
        <w:t xml:space="preserve">C: list of approvals referred to in clause 7</w:t>
      </w:r>
    </w:p>
    <w:p>
      <w:pPr>
        <w:pStyle w:val="Heading1"/>
        <w:keepNext/>
        <w:spacing w:after="120" w:before="260"/>
      </w:pPr>
      <w:r>
        <w:rPr>
          <w:rFonts w:ascii="Calibri" w:cs="Calibri" w:eastAsia="Calibri" w:hAnsi="Calibri"/>
        </w:rPr>
        <w:t xml:space="preserve">Signatures</w:t>
      </w:r>
    </w:p>
    <w:p>
      <w:pPr>
        <w:spacing w:after="100" w:line="276"/>
      </w:pPr>
      <w:r>
        <w:rPr>
          <w:rFonts w:ascii="Calibri" w:cs="Calibri" w:eastAsia="Calibri" w:hAnsi="Calibri"/>
        </w:rPr>
        <w:t xml:space="preserve">Signed on [date] at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BBBBB" w:sz="4"/>
              <w:left w:val="single" w:color="BBBBBB" w:sz="4"/>
              <w:bottom w:val="single" w:color="BBBBBB" w:sz="4"/>
              <w:right w:val="single" w:color="BBBBBB" w:sz="4"/>
            </w:tcBorders>
            <w:shd w:fill="E6EEEC"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Owner</w:t>
            </w:r>
          </w:p>
        </w:tc>
        <w:tc>
          <w:tcPr>
            <w:tcW w:type="dxa" w:w="4513"/>
            <w:tcBorders>
              <w:top w:val="single" w:color="BBBBBB" w:sz="4"/>
              <w:left w:val="single" w:color="BBBBBB" w:sz="4"/>
              <w:bottom w:val="single" w:color="BBBBBB" w:sz="4"/>
              <w:right w:val="single" w:color="BBBBBB" w:sz="4"/>
            </w:tcBorders>
            <w:shd w:fill="E6EEEC"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Tenant</w:t>
            </w:r>
          </w:p>
        </w:tc>
      </w:tr>
      <w:tr>
        <w:trPr>
          <w:cantSplit/>
          <w:tblHeader w:val="off"/>
        </w:trPr>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
</w:t>
            </w:r>
          </w:p>
        </w:tc>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
</w:t>
            </w:r>
          </w:p>
        </w:tc>
      </w:tr>
      <w:tr>
        <w:trPr>
          <w:cantSplit/>
          <w:tblHeader w:val="off"/>
        </w:trPr>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[Owner's name]</w:t>
            </w:r>
          </w:p>
        </w:tc>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For [entity], by [name], [designation]</w:t>
            </w:r>
          </w:p>
        </w:tc>
      </w:tr>
      <w:tr>
        <w:trPr>
          <w:cantSplit/>
          <w:tblHeader w:val="off"/>
        </w:trPr>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Witness 1: [name, address]</w:t>
            </w:r>
          </w:p>
        </w:tc>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Witness 2: [name, address]</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Draft terms for review.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01D"/>
      <w:sz w:val="26"/>
      <w:szCs w:val="26"/>
    </w:rPr>
  </w:style>
  <w:style w:type="paragraph" w:styleId="Heading2">
    <w:name w:val="Heading 2"/>
    <w:basedOn w:val="Normal"/>
    <w:next w:val="Normal"/>
    <w:qFormat/>
    <w:pPr>
      <w:outlineLvl w:val="1"/>
    </w:pPr>
    <w:rPr>
      <w:rFonts w:ascii="Calibri" w:cs="Calibri" w:eastAsia="Calibri" w:hAnsi="Calibri"/>
      <w:b/>
      <w:bCs/>
      <w:color w:val="14201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Agreement: draft terms for review, Shop 4, Tulip Residency</dc:title>
  <dc:creator>Draft</dc:creator>
  <cp:lastModifiedBy>Un-named</cp:lastModifiedBy>
  <cp:revision>1</cp:revision>
  <dcterms:created xsi:type="dcterms:W3CDTF">2026-10-15T09:10:47.130Z</dcterms:created>
  <dcterms:modified xsi:type="dcterms:W3CDTF">2026-10-15T09:10:47.134Z</dcterms:modified>
</cp:coreProperties>
</file>

<file path=docProps/custom.xml><?xml version="1.0" encoding="utf-8"?>
<Properties xmlns="http://schemas.openxmlformats.org/officeDocument/2006/custom-properties" xmlns:vt="http://schemas.openxmlformats.org/officeDocument/2006/docPropsVTypes"/>
</file>