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54"/>
        </w:rPr>
        <w:t>GLOBAL UNIVERSITIES</w:t>
        <w:br/>
        <w:t>SUCCESS ANALYSIS</w:t>
      </w:r>
    </w:p>
    <w:p>
      <w:pPr>
        <w:jc w:val="center"/>
      </w:pPr>
      <w:r>
        <w:rPr>
          <w:color w:val="2F5597"/>
          <w:sz w:val="32"/>
        </w:rPr>
        <w:t>Project Documentation</w:t>
      </w:r>
    </w:p>
    <w:p>
      <w:pPr>
        <w:jc w:val="center"/>
      </w:pPr>
      <w:r>
        <w:rPr>
          <w:i/>
        </w:rPr>
        <w:t>Data Quality • Exploratory Analysis • Excel Validation • Power BI</w:t>
      </w:r>
    </w:p>
    <w:p>
      <w:pPr>
        <w:jc w:val="center"/>
      </w:pPr>
      <w:r>
        <w:rPr>
          <w:b/>
        </w:rPr>
        <w:t>Prepared by: Indu Singh</w:t>
      </w:r>
    </w:p>
    <w:p>
      <w:r>
        <w:br w:type="page"/>
      </w:r>
    </w:p>
    <w:p>
      <w:pPr>
        <w:pStyle w:val="Heading1"/>
      </w:pPr>
      <w:r>
        <w:t>1. Project Overview</w:t>
      </w:r>
    </w:p>
    <w:p>
      <w:r>
        <w:t>This project explores university representation by country, ranking-system and ranking-criteria records, and university-level student characteristics over time. The workflow combines Python/Pandas analysis, Excel review of exported summaries, and an existing Power BI dashboard.</w:t>
      </w:r>
    </w:p>
    <w:p>
      <w:pPr>
        <w:pStyle w:val="Heading1"/>
      </w:pPr>
      <w:r>
        <w:t>2. Objectives</w:t>
      </w:r>
    </w:p>
    <w:p>
      <w:pPr>
        <w:pStyle w:val="ListBullet"/>
      </w:pPr>
      <w:r>
        <w:t>Analyze the distribution of universities across countries in the supplied dataset.</w:t>
      </w:r>
    </w:p>
    <w:p>
      <w:pPr>
        <w:pStyle w:val="ListBullet"/>
      </w:pPr>
      <w:r>
        <w:t>Explore ranking records by system, criterion, and year.</w:t>
      </w:r>
    </w:p>
    <w:p>
      <w:pPr>
        <w:pStyle w:val="ListBullet"/>
      </w:pPr>
      <w:r>
        <w:t>Review student metrics such as student counts, student–staff ratio, and international- and female-student percentages.</w:t>
      </w:r>
    </w:p>
    <w:p>
      <w:pPr>
        <w:pStyle w:val="ListBullet"/>
      </w:pPr>
      <w:r>
        <w:t>Check for duplicate rows, missing values, and key relationships before interpreting results.</w:t>
      </w:r>
    </w:p>
    <w:p>
      <w:pPr>
        <w:pStyle w:val="ListBullet"/>
      </w:pPr>
      <w:r>
        <w:t>Communicate findings through a Power BI dashboard and supporting summary files.</w:t>
      </w:r>
    </w:p>
    <w:p>
      <w:pPr>
        <w:pStyle w:val="Heading1"/>
      </w:pPr>
      <w:r>
        <w:t>3. Tools and Technologies</w:t>
      </w:r>
    </w:p>
    <w:tbl>
      <w:tblPr>
        <w:tblStyle w:val="LightShading-Accent1"/>
        <w:tblW w:type="auto" w:w="0"/>
        <w:tblLook w:firstColumn="1" w:firstRow="1" w:lastColumn="0" w:lastRow="0" w:noHBand="0" w:noVBand="1" w:val="04A0"/>
      </w:tblPr>
      <w:tblGrid>
        <w:gridCol w:w="5040"/>
        <w:gridCol w:w="5040"/>
      </w:tblGrid>
      <w:tr>
        <w:trPr>
          <w:cantSplit/>
        </w:trPr>
        <w:tc>
          <w:tcPr>
            <w:tcW w:type="dxa" w:w="5040"/>
          </w:tcPr>
          <w:p>
            <w:r>
              <w:t>Tool</w:t>
            </w:r>
          </w:p>
        </w:tc>
        <w:tc>
          <w:tcPr>
            <w:tcW w:type="dxa" w:w="5040"/>
          </w:tcPr>
          <w:p>
            <w:r>
              <w:t>Use in the project</w:t>
            </w:r>
          </w:p>
        </w:tc>
      </w:tr>
      <w:tr>
        <w:trPr>
          <w:cantSplit/>
        </w:trPr>
        <w:tc>
          <w:tcPr>
            <w:tcW w:type="dxa" w:w="5040"/>
          </w:tcPr>
          <w:p>
            <w:r>
              <w:t>Python / Pandas</w:t>
            </w:r>
          </w:p>
        </w:tc>
        <w:tc>
          <w:tcPr>
            <w:tcW w:type="dxa" w:w="5040"/>
          </w:tcPr>
          <w:p>
            <w:r>
              <w:t>Load, join, validate, group, and summarize CSV data.</w:t>
            </w:r>
          </w:p>
        </w:tc>
      </w:tr>
      <w:tr>
        <w:trPr>
          <w:cantSplit/>
        </w:trPr>
        <w:tc>
          <w:tcPr>
            <w:tcW w:type="dxa" w:w="5040"/>
          </w:tcPr>
          <w:p>
            <w:r>
              <w:t>Jupyter Notebook</w:t>
            </w:r>
          </w:p>
        </w:tc>
        <w:tc>
          <w:tcPr>
            <w:tcW w:type="dxa" w:w="5040"/>
          </w:tcPr>
          <w:p>
            <w:r>
              <w:t>Run and document repeatable analysis steps.</w:t>
            </w:r>
          </w:p>
        </w:tc>
      </w:tr>
      <w:tr>
        <w:trPr>
          <w:cantSplit/>
        </w:trPr>
        <w:tc>
          <w:tcPr>
            <w:tcW w:type="dxa" w:w="5040"/>
          </w:tcPr>
          <w:p>
            <w:r>
              <w:t>Microsoft Excel</w:t>
            </w:r>
          </w:p>
        </w:tc>
        <w:tc>
          <w:tcPr>
            <w:tcW w:type="dxa" w:w="5040"/>
          </w:tcPr>
          <w:p>
            <w:r>
              <w:t>Review exported CSV summaries and compare results with Python.</w:t>
            </w:r>
          </w:p>
        </w:tc>
      </w:tr>
      <w:tr>
        <w:trPr>
          <w:cantSplit/>
        </w:trPr>
        <w:tc>
          <w:tcPr>
            <w:tcW w:type="dxa" w:w="5040"/>
          </w:tcPr>
          <w:p>
            <w:r>
              <w:t>Power BI</w:t>
            </w:r>
          </w:p>
        </w:tc>
        <w:tc>
          <w:tcPr>
            <w:tcW w:type="dxa" w:w="5040"/>
          </w:tcPr>
          <w:p>
            <w:r>
              <w:t>Existing dashboard with Overview, Country Analysis, University Analysis, Ranking Analysis, and Yearly Analysis pages.</w:t>
            </w:r>
          </w:p>
        </w:tc>
      </w:tr>
      <w:tr>
        <w:trPr>
          <w:cantSplit/>
        </w:trPr>
        <w:tc>
          <w:tcPr>
            <w:tcW w:type="dxa" w:w="5040"/>
          </w:tcPr>
          <w:p>
            <w:r>
              <w:t>CSV</w:t>
            </w:r>
          </w:p>
        </w:tc>
        <w:tc>
          <w:tcPr>
            <w:tcW w:type="dxa" w:w="5040"/>
          </w:tcPr>
          <w:p>
            <w:r>
              <w:t>Source tables and exported analysis summaries.</w:t>
            </w:r>
          </w:p>
        </w:tc>
      </w:tr>
    </w:tbl>
    <w:p>
      <w:pPr>
        <w:pStyle w:val="Heading1"/>
      </w:pPr>
      <w:r>
        <w:t>4. Source Data</w:t>
      </w:r>
    </w:p>
    <w:tbl>
      <w:tblPr>
        <w:tblStyle w:val="LightShading-Accent1"/>
        <w:tblW w:type="auto" w:w="0"/>
        <w:tblLook w:firstColumn="1" w:firstRow="1" w:lastColumn="0" w:lastRow="0" w:noHBand="0" w:noVBand="1" w:val="04A0"/>
      </w:tblPr>
      <w:tblGrid>
        <w:gridCol w:w="3360"/>
        <w:gridCol w:w="3360"/>
        <w:gridCol w:w="3360"/>
      </w:tblGrid>
      <w:tr>
        <w:trPr>
          <w:cantSplit/>
        </w:trPr>
        <w:tc>
          <w:tcPr>
            <w:tcW w:type="dxa" w:w="3360"/>
          </w:tcPr>
          <w:p>
            <w:r>
              <w:t>File</w:t>
            </w:r>
          </w:p>
        </w:tc>
        <w:tc>
          <w:tcPr>
            <w:tcW w:type="dxa" w:w="3360"/>
          </w:tcPr>
          <w:p>
            <w:r>
              <w:t>Size</w:t>
            </w:r>
          </w:p>
        </w:tc>
        <w:tc>
          <w:tcPr>
            <w:tcW w:type="dxa" w:w="3360"/>
          </w:tcPr>
          <w:p>
            <w:r>
              <w:t>Contents</w:t>
            </w:r>
          </w:p>
        </w:tc>
      </w:tr>
      <w:tr>
        <w:trPr>
          <w:cantSplit/>
        </w:trPr>
        <w:tc>
          <w:tcPr>
            <w:tcW w:type="dxa" w:w="3360"/>
          </w:tcPr>
          <w:p>
            <w:r>
              <w:t>country.csv</w:t>
            </w:r>
          </w:p>
        </w:tc>
        <w:tc>
          <w:tcPr>
            <w:tcW w:type="dxa" w:w="3360"/>
          </w:tcPr>
          <w:p>
            <w:r>
              <w:t>74 rows × 2 columns</w:t>
            </w:r>
          </w:p>
        </w:tc>
        <w:tc>
          <w:tcPr>
            <w:tcW w:type="dxa" w:w="3360"/>
          </w:tcPr>
          <w:p>
            <w:r>
              <w:t>Country IDs and country names.</w:t>
            </w:r>
          </w:p>
        </w:tc>
      </w:tr>
      <w:tr>
        <w:trPr>
          <w:cantSplit/>
        </w:trPr>
        <w:tc>
          <w:tcPr>
            <w:tcW w:type="dxa" w:w="3360"/>
          </w:tcPr>
          <w:p>
            <w:r>
              <w:t>ranking_criteria.csv</w:t>
            </w:r>
          </w:p>
        </w:tc>
        <w:tc>
          <w:tcPr>
            <w:tcW w:type="dxa" w:w="3360"/>
          </w:tcPr>
          <w:p>
            <w:r>
              <w:t>21 rows × 3 columns</w:t>
            </w:r>
          </w:p>
        </w:tc>
        <w:tc>
          <w:tcPr>
            <w:tcW w:type="dxa" w:w="3360"/>
          </w:tcPr>
          <w:p>
            <w:r>
              <w:t>Ranking criteria and related ranking-system IDs.</w:t>
            </w:r>
          </w:p>
        </w:tc>
      </w:tr>
      <w:tr>
        <w:trPr>
          <w:cantSplit/>
        </w:trPr>
        <w:tc>
          <w:tcPr>
            <w:tcW w:type="dxa" w:w="3360"/>
          </w:tcPr>
          <w:p>
            <w:r>
              <w:t>ranking_system.csv</w:t>
            </w:r>
          </w:p>
        </w:tc>
        <w:tc>
          <w:tcPr>
            <w:tcW w:type="dxa" w:w="3360"/>
          </w:tcPr>
          <w:p>
            <w:r>
              <w:t>3 rows × 2 columns</w:t>
            </w:r>
          </w:p>
        </w:tc>
        <w:tc>
          <w:tcPr>
            <w:tcW w:type="dxa" w:w="3360"/>
          </w:tcPr>
          <w:p>
            <w:r>
              <w:t>Ranking-system IDs and names.</w:t>
            </w:r>
          </w:p>
        </w:tc>
      </w:tr>
      <w:tr>
        <w:trPr>
          <w:cantSplit/>
        </w:trPr>
        <w:tc>
          <w:tcPr>
            <w:tcW w:type="dxa" w:w="3360"/>
          </w:tcPr>
          <w:p>
            <w:r>
              <w:t>university.csv</w:t>
            </w:r>
          </w:p>
        </w:tc>
        <w:tc>
          <w:tcPr>
            <w:tcW w:type="dxa" w:w="3360"/>
          </w:tcPr>
          <w:p>
            <w:r>
              <w:t>1,247 rows × 3 columns</w:t>
            </w:r>
          </w:p>
        </w:tc>
        <w:tc>
          <w:tcPr>
            <w:tcW w:type="dxa" w:w="3360"/>
          </w:tcPr>
          <w:p>
            <w:r>
              <w:t>University IDs, country IDs, and university names.</w:t>
            </w:r>
          </w:p>
        </w:tc>
      </w:tr>
      <w:tr>
        <w:trPr>
          <w:cantSplit/>
        </w:trPr>
        <w:tc>
          <w:tcPr>
            <w:tcW w:type="dxa" w:w="3360"/>
          </w:tcPr>
          <w:p>
            <w:r>
              <w:t>university_ranking_year.csv</w:t>
            </w:r>
          </w:p>
        </w:tc>
        <w:tc>
          <w:tcPr>
            <w:tcW w:type="dxa" w:w="3360"/>
          </w:tcPr>
          <w:p>
            <w:r>
              <w:t>29,612 rows × 4 columns</w:t>
            </w:r>
          </w:p>
        </w:tc>
        <w:tc>
          <w:tcPr>
            <w:tcW w:type="dxa" w:w="3360"/>
          </w:tcPr>
          <w:p>
            <w:r>
              <w:t>University, ranking criterion, year, and score.</w:t>
            </w:r>
          </w:p>
        </w:tc>
      </w:tr>
      <w:tr>
        <w:trPr>
          <w:cantSplit/>
        </w:trPr>
        <w:tc>
          <w:tcPr>
            <w:tcW w:type="dxa" w:w="3360"/>
          </w:tcPr>
          <w:p>
            <w:r>
              <w:t>university_year.csv</w:t>
            </w:r>
          </w:p>
        </w:tc>
        <w:tc>
          <w:tcPr>
            <w:tcW w:type="dxa" w:w="3360"/>
          </w:tcPr>
          <w:p>
            <w:r>
              <w:t>1,085 rows × 6 columns</w:t>
            </w:r>
          </w:p>
        </w:tc>
        <w:tc>
          <w:tcPr>
            <w:tcW w:type="dxa" w:w="3360"/>
          </w:tcPr>
          <w:p>
            <w:r>
              <w:t>Year-level university metrics including student counts and percentages.</w:t>
            </w:r>
          </w:p>
        </w:tc>
      </w:tr>
    </w:tbl>
    <w:p>
      <w:pPr>
        <w:pStyle w:val="Heading1"/>
      </w:pPr>
      <w:r>
        <w:t>5. Data Preparation and Quality Checks</w:t>
      </w:r>
    </w:p>
    <w:p>
      <w:r>
        <w:t>The six CSV files were loaded into Pandas DataFrames, and working copies were created to preserve the source files. Column names were reviewed for consistent lowercase and underscore formatting.</w:t>
      </w:r>
    </w:p>
    <w:p>
      <w:pPr>
        <w:pStyle w:val="Heading2"/>
      </w:pPr>
      <w:r>
        <w:t>5.1 Duplicate checks</w:t>
      </w:r>
    </w:p>
    <w:p>
      <w:r>
        <w:t>No fully duplicated rows were found in the six tables. The business-key checks also found no duplicate records for (university_id, ranking_criteria_id, year) in ranking data or (university_id, year) in university-year data.</w:t>
      </w:r>
    </w:p>
    <w:p>
      <w:pPr>
        <w:pStyle w:val="Heading2"/>
      </w:pPr>
      <w:r>
        <w:t>5.2 Missing values</w:t>
      </w:r>
    </w:p>
    <w:tbl>
      <w:tblPr>
        <w:tblStyle w:val="LightShading-Accent1"/>
        <w:tblW w:type="auto" w:w="0"/>
        <w:tblLook w:firstColumn="1" w:firstRow="1" w:lastColumn="0" w:lastRow="0" w:noHBand="0" w:noVBand="1" w:val="04A0"/>
      </w:tblPr>
      <w:tblGrid>
        <w:gridCol w:w="3360"/>
        <w:gridCol w:w="3360"/>
        <w:gridCol w:w="3360"/>
      </w:tblGrid>
      <w:tr>
        <w:trPr>
          <w:cantSplit/>
        </w:trPr>
        <w:tc>
          <w:tcPr>
            <w:tcW w:type="dxa" w:w="3360"/>
          </w:tcPr>
          <w:p>
            <w:r>
              <w:t>Table</w:t>
            </w:r>
          </w:p>
        </w:tc>
        <w:tc>
          <w:tcPr>
            <w:tcW w:type="dxa" w:w="3360"/>
          </w:tcPr>
          <w:p>
            <w:r>
              <w:t>Column</w:t>
            </w:r>
          </w:p>
        </w:tc>
        <w:tc>
          <w:tcPr>
            <w:tcW w:type="dxa" w:w="3360"/>
          </w:tcPr>
          <w:p>
            <w:r>
              <w:t>Missing values</w:t>
            </w:r>
          </w:p>
        </w:tc>
      </w:tr>
      <w:tr>
        <w:trPr>
          <w:cantSplit/>
        </w:trPr>
        <w:tc>
          <w:tcPr>
            <w:tcW w:type="dxa" w:w="3360"/>
          </w:tcPr>
          <w:p>
            <w:r>
              <w:t>university_ranking_year</w:t>
            </w:r>
          </w:p>
        </w:tc>
        <w:tc>
          <w:tcPr>
            <w:tcW w:type="dxa" w:w="3360"/>
          </w:tcPr>
          <w:p>
            <w:r>
              <w:t>score</w:t>
            </w:r>
          </w:p>
        </w:tc>
        <w:tc>
          <w:tcPr>
            <w:tcW w:type="dxa" w:w="3360"/>
          </w:tcPr>
          <w:p>
            <w:r>
              <w:t>130</w:t>
            </w:r>
          </w:p>
        </w:tc>
      </w:tr>
      <w:tr>
        <w:trPr>
          <w:cantSplit/>
        </w:trPr>
        <w:tc>
          <w:tcPr>
            <w:tcW w:type="dxa" w:w="3360"/>
          </w:tcPr>
          <w:p>
            <w:r>
              <w:t>university_year</w:t>
            </w:r>
          </w:p>
        </w:tc>
        <w:tc>
          <w:tcPr>
            <w:tcW w:type="dxa" w:w="3360"/>
          </w:tcPr>
          <w:p>
            <w:r>
              <w:t>pct_female_students</w:t>
            </w:r>
          </w:p>
        </w:tc>
        <w:tc>
          <w:tcPr>
            <w:tcW w:type="dxa" w:w="3360"/>
          </w:tcPr>
          <w:p>
            <w:r>
              <w:t>96</w:t>
            </w:r>
          </w:p>
        </w:tc>
      </w:tr>
    </w:tbl>
    <w:p>
      <w:r>
        <w:t>Missing ranking scores by year were: 2011—53, 2012—24, 2013—21, 2014—18, 2015—13, and 2016—1. Missing female-student percentages by year were: 2011—14, 2012—17, 2013—18, 2014—19, 2015—17, and 2016—11. Missing values were not automatically imputed because their meaning and source context should be understood first.</w:t>
      </w:r>
    </w:p>
    <w:p>
      <w:pPr>
        <w:pStyle w:val="Heading2"/>
      </w:pPr>
      <w:r>
        <w:t>5.3 Relationship checks</w:t>
      </w:r>
    </w:p>
    <w:p>
      <w:r>
        <w:t>Relationships were defined for university-to-country, ranking-criteria-to-ranking-system, ranking-records-to-university, ranking-records-to-ranking-criteria, and university-year-to-university. The outputs of these checks should be reviewed before claiming all key relationships passed validation.</w:t>
      </w:r>
    </w:p>
    <w:p>
      <w:pPr>
        <w:pStyle w:val="Heading1"/>
      </w:pPr>
      <w:r>
        <w:t>6. Analysis and Findings</w:t>
      </w:r>
    </w:p>
    <w:p>
      <w:pPr>
        <w:pStyle w:val="Heading2"/>
      </w:pPr>
      <w:r>
        <w:t>6.1 University count by country</w:t>
      </w:r>
    </w:p>
    <w:p>
      <w:r>
        <w:t>The following are the ten largest country counts in the project dataset:</w:t>
      </w:r>
    </w:p>
    <w:tbl>
      <w:tblPr>
        <w:tblStyle w:val="LightShading-Accent1"/>
        <w:tblW w:type="auto" w:w="0"/>
        <w:tblLook w:firstColumn="1" w:firstRow="1" w:lastColumn="0" w:lastRow="0" w:noHBand="0" w:noVBand="1" w:val="04A0"/>
      </w:tblPr>
      <w:tblGrid>
        <w:gridCol w:w="5040"/>
        <w:gridCol w:w="5040"/>
      </w:tblGrid>
      <w:tr>
        <w:trPr>
          <w:cantSplit/>
        </w:trPr>
        <w:tc>
          <w:tcPr>
            <w:tcW w:type="dxa" w:w="5040"/>
          </w:tcPr>
          <w:p>
            <w:r>
              <w:t>Country</w:t>
            </w:r>
          </w:p>
        </w:tc>
        <w:tc>
          <w:tcPr>
            <w:tcW w:type="dxa" w:w="5040"/>
          </w:tcPr>
          <w:p>
            <w:r>
              <w:t>Universities in dataset</w:t>
            </w:r>
          </w:p>
        </w:tc>
      </w:tr>
      <w:tr>
        <w:trPr>
          <w:cantSplit/>
        </w:trPr>
        <w:tc>
          <w:tcPr>
            <w:tcW w:type="dxa" w:w="5040"/>
          </w:tcPr>
          <w:p>
            <w:r>
              <w:t>United States of America</w:t>
            </w:r>
          </w:p>
        </w:tc>
        <w:tc>
          <w:tcPr>
            <w:tcW w:type="dxa" w:w="5040"/>
          </w:tcPr>
          <w:p>
            <w:r>
              <w:t>273</w:t>
            </w:r>
          </w:p>
        </w:tc>
      </w:tr>
      <w:tr>
        <w:trPr>
          <w:cantSplit/>
        </w:trPr>
        <w:tc>
          <w:tcPr>
            <w:tcW w:type="dxa" w:w="5040"/>
          </w:tcPr>
          <w:p>
            <w:r>
              <w:t>China</w:t>
            </w:r>
          </w:p>
        </w:tc>
        <w:tc>
          <w:tcPr>
            <w:tcW w:type="dxa" w:w="5040"/>
          </w:tcPr>
          <w:p>
            <w:r>
              <w:t>96</w:t>
            </w:r>
          </w:p>
        </w:tc>
      </w:tr>
      <w:tr>
        <w:trPr>
          <w:cantSplit/>
        </w:trPr>
        <w:tc>
          <w:tcPr>
            <w:tcW w:type="dxa" w:w="5040"/>
          </w:tcPr>
          <w:p>
            <w:r>
              <w:t>United Kingdom</w:t>
            </w:r>
          </w:p>
        </w:tc>
        <w:tc>
          <w:tcPr>
            <w:tcW w:type="dxa" w:w="5040"/>
          </w:tcPr>
          <w:p>
            <w:r>
              <w:t>89</w:t>
            </w:r>
          </w:p>
        </w:tc>
      </w:tr>
      <w:tr>
        <w:trPr>
          <w:cantSplit/>
        </w:trPr>
        <w:tc>
          <w:tcPr>
            <w:tcW w:type="dxa" w:w="5040"/>
          </w:tcPr>
          <w:p>
            <w:r>
              <w:t>Japan</w:t>
            </w:r>
          </w:p>
        </w:tc>
        <w:tc>
          <w:tcPr>
            <w:tcW w:type="dxa" w:w="5040"/>
          </w:tcPr>
          <w:p>
            <w:r>
              <w:t>81</w:t>
            </w:r>
          </w:p>
        </w:tc>
      </w:tr>
      <w:tr>
        <w:trPr>
          <w:cantSplit/>
        </w:trPr>
        <w:tc>
          <w:tcPr>
            <w:tcW w:type="dxa" w:w="5040"/>
          </w:tcPr>
          <w:p>
            <w:r>
              <w:t>Germany</w:t>
            </w:r>
          </w:p>
        </w:tc>
        <w:tc>
          <w:tcPr>
            <w:tcW w:type="dxa" w:w="5040"/>
          </w:tcPr>
          <w:p>
            <w:r>
              <w:t>68</w:t>
            </w:r>
          </w:p>
        </w:tc>
      </w:tr>
      <w:tr>
        <w:trPr>
          <w:cantSplit/>
        </w:trPr>
        <w:tc>
          <w:tcPr>
            <w:tcW w:type="dxa" w:w="5040"/>
          </w:tcPr>
          <w:p>
            <w:r>
              <w:t>France</w:t>
            </w:r>
          </w:p>
        </w:tc>
        <w:tc>
          <w:tcPr>
            <w:tcW w:type="dxa" w:w="5040"/>
          </w:tcPr>
          <w:p>
            <w:r>
              <w:t>68</w:t>
            </w:r>
          </w:p>
        </w:tc>
      </w:tr>
      <w:tr>
        <w:trPr>
          <w:cantSplit/>
        </w:trPr>
        <w:tc>
          <w:tcPr>
            <w:tcW w:type="dxa" w:w="5040"/>
          </w:tcPr>
          <w:p>
            <w:r>
              <w:t>Italy</w:t>
            </w:r>
          </w:p>
        </w:tc>
        <w:tc>
          <w:tcPr>
            <w:tcW w:type="dxa" w:w="5040"/>
          </w:tcPr>
          <w:p>
            <w:r>
              <w:t>54</w:t>
            </w:r>
          </w:p>
        </w:tc>
      </w:tr>
      <w:tr>
        <w:trPr>
          <w:cantSplit/>
        </w:trPr>
        <w:tc>
          <w:tcPr>
            <w:tcW w:type="dxa" w:w="5040"/>
          </w:tcPr>
          <w:p>
            <w:r>
              <w:t>Spain</w:t>
            </w:r>
          </w:p>
        </w:tc>
        <w:tc>
          <w:tcPr>
            <w:tcW w:type="dxa" w:w="5040"/>
          </w:tcPr>
          <w:p>
            <w:r>
              <w:t>43</w:t>
            </w:r>
          </w:p>
        </w:tc>
      </w:tr>
      <w:tr>
        <w:trPr>
          <w:cantSplit/>
        </w:trPr>
        <w:tc>
          <w:tcPr>
            <w:tcW w:type="dxa" w:w="5040"/>
          </w:tcPr>
          <w:p>
            <w:r>
              <w:t>South Korea</w:t>
            </w:r>
          </w:p>
        </w:tc>
        <w:tc>
          <w:tcPr>
            <w:tcW w:type="dxa" w:w="5040"/>
          </w:tcPr>
          <w:p>
            <w:r>
              <w:t>37</w:t>
            </w:r>
          </w:p>
        </w:tc>
      </w:tr>
      <w:tr>
        <w:trPr>
          <w:cantSplit/>
        </w:trPr>
        <w:tc>
          <w:tcPr>
            <w:tcW w:type="dxa" w:w="5040"/>
          </w:tcPr>
          <w:p>
            <w:r>
              <w:t>Canada</w:t>
            </w:r>
          </w:p>
        </w:tc>
        <w:tc>
          <w:tcPr>
            <w:tcW w:type="dxa" w:w="5040"/>
          </w:tcPr>
          <w:p>
            <w:r>
              <w:t>37</w:t>
            </w:r>
          </w:p>
        </w:tc>
      </w:tr>
    </w:tbl>
    <w:p>
      <w:r>
        <w:t>These counts describe only the universities represented in this dataset, not the total number of universities operating in each country.</w:t>
      </w:r>
    </w:p>
    <w:p>
      <w:pPr>
        <w:pStyle w:val="Heading2"/>
      </w:pPr>
      <w:r>
        <w:t>6.2 International-student percentage in 2016</w:t>
      </w:r>
    </w:p>
    <w:p>
      <w:r>
        <w:t>Among the countries shown in the saved top results, the United Kingdom had an average international-student percentage of 34.25% across 20 universities, followed by Australia at 33.25% across 4 universities. Canada was 20.00% across 5 universities, France 18.00% across 3 universities, and the United States of America 17.53% across 36 universities.</w:t>
      </w:r>
    </w:p>
    <w:p>
      <w:r>
        <w:t>These are unweighted averages of university-level percentages, not student-weighted national estimates. The displayed Python output contained nine rows rather than ten, so confirm the tenth result before describing it as a complete top ten.</w:t>
      </w:r>
    </w:p>
    <w:p>
      <w:pPr>
        <w:pStyle w:val="Heading2"/>
      </w:pPr>
      <w:r>
        <w:t>6.3 Yearly student metrics</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rPr>
          <w:cantSplit/>
        </w:trPr>
        <w:tc>
          <w:tcPr>
            <w:tcW w:type="dxa" w:w="1680"/>
          </w:tcPr>
          <w:p>
            <w:r>
              <w:t>Year</w:t>
            </w:r>
          </w:p>
        </w:tc>
        <w:tc>
          <w:tcPr>
            <w:tcW w:type="dxa" w:w="1680"/>
          </w:tcPr>
          <w:p>
            <w:r>
              <w:t>Universities</w:t>
            </w:r>
          </w:p>
        </w:tc>
        <w:tc>
          <w:tcPr>
            <w:tcW w:type="dxa" w:w="1680"/>
          </w:tcPr>
          <w:p>
            <w:r>
              <w:t>Total students</w:t>
            </w:r>
          </w:p>
        </w:tc>
        <w:tc>
          <w:tcPr>
            <w:tcW w:type="dxa" w:w="1680"/>
          </w:tcPr>
          <w:p>
            <w:r>
              <w:t>Avg. student–staff ratio</w:t>
            </w:r>
          </w:p>
        </w:tc>
        <w:tc>
          <w:tcPr>
            <w:tcW w:type="dxa" w:w="1680"/>
          </w:tcPr>
          <w:p>
            <w:r>
              <w:t>Avg. international %</w:t>
            </w:r>
          </w:p>
        </w:tc>
        <w:tc>
          <w:tcPr>
            <w:tcW w:type="dxa" w:w="1680"/>
          </w:tcPr>
          <w:p>
            <w:r>
              <w:t>Avg. female %</w:t>
            </w:r>
          </w:p>
        </w:tc>
      </w:tr>
      <w:tr>
        <w:trPr>
          <w:cantSplit/>
        </w:trPr>
        <w:tc>
          <w:tcPr>
            <w:tcW w:type="dxa" w:w="1680"/>
          </w:tcPr>
          <w:p>
            <w:r>
              <w:t>2011</w:t>
            </w:r>
          </w:p>
        </w:tc>
        <w:tc>
          <w:tcPr>
            <w:tcW w:type="dxa" w:w="1680"/>
          </w:tcPr>
          <w:p>
            <w:r>
              <w:t>185</w:t>
            </w:r>
          </w:p>
        </w:tc>
        <w:tc>
          <w:tcPr>
            <w:tcW w:type="dxa" w:w="1680"/>
          </w:tcPr>
          <w:p>
            <w:r>
              <w:t>4,463,626</w:t>
            </w:r>
          </w:p>
        </w:tc>
        <w:tc>
          <w:tcPr>
            <w:tcW w:type="dxa" w:w="1680"/>
          </w:tcPr>
          <w:p>
            <w:r>
              <w:t>15.67</w:t>
            </w:r>
          </w:p>
        </w:tc>
        <w:tc>
          <w:tcPr>
            <w:tcW w:type="dxa" w:w="1680"/>
          </w:tcPr>
          <w:p>
            <w:r>
              <w:t>19.31</w:t>
            </w:r>
          </w:p>
        </w:tc>
        <w:tc>
          <w:tcPr>
            <w:tcW w:type="dxa" w:w="1680"/>
          </w:tcPr>
          <w:p>
            <w:r>
              <w:t>48.98</w:t>
            </w:r>
          </w:p>
        </w:tc>
      </w:tr>
      <w:tr>
        <w:trPr>
          <w:cantSplit/>
        </w:trPr>
        <w:tc>
          <w:tcPr>
            <w:tcW w:type="dxa" w:w="1680"/>
          </w:tcPr>
          <w:p>
            <w:r>
              <w:t>2012</w:t>
            </w:r>
          </w:p>
        </w:tc>
        <w:tc>
          <w:tcPr>
            <w:tcW w:type="dxa" w:w="1680"/>
          </w:tcPr>
          <w:p>
            <w:r>
              <w:t>196</w:t>
            </w:r>
          </w:p>
        </w:tc>
        <w:tc>
          <w:tcPr>
            <w:tcW w:type="dxa" w:w="1680"/>
          </w:tcPr>
          <w:p>
            <w:r>
              <w:t>4,683,788</w:t>
            </w:r>
          </w:p>
        </w:tc>
        <w:tc>
          <w:tcPr>
            <w:tcW w:type="dxa" w:w="1680"/>
          </w:tcPr>
          <w:p>
            <w:r>
              <w:t>15.39</w:t>
            </w:r>
          </w:p>
        </w:tc>
        <w:tc>
          <w:tcPr>
            <w:tcW w:type="dxa" w:w="1680"/>
          </w:tcPr>
          <w:p>
            <w:r>
              <w:t>19.68</w:t>
            </w:r>
          </w:p>
        </w:tc>
        <w:tc>
          <w:tcPr>
            <w:tcW w:type="dxa" w:w="1680"/>
          </w:tcPr>
          <w:p>
            <w:r>
              <w:t>49.85</w:t>
            </w:r>
          </w:p>
        </w:tc>
      </w:tr>
      <w:tr>
        <w:trPr>
          <w:cantSplit/>
        </w:trPr>
        <w:tc>
          <w:tcPr>
            <w:tcW w:type="dxa" w:w="1680"/>
          </w:tcPr>
          <w:p>
            <w:r>
              <w:t>2013</w:t>
            </w:r>
          </w:p>
        </w:tc>
        <w:tc>
          <w:tcPr>
            <w:tcW w:type="dxa" w:w="1680"/>
          </w:tcPr>
          <w:p>
            <w:r>
              <w:t>197</w:t>
            </w:r>
          </w:p>
        </w:tc>
        <w:tc>
          <w:tcPr>
            <w:tcW w:type="dxa" w:w="1680"/>
          </w:tcPr>
          <w:p>
            <w:r>
              <w:t>4,738,181</w:t>
            </w:r>
          </w:p>
        </w:tc>
        <w:tc>
          <w:tcPr>
            <w:tcW w:type="dxa" w:w="1680"/>
          </w:tcPr>
          <w:p>
            <w:r>
              <w:t>15.54</w:t>
            </w:r>
          </w:p>
        </w:tc>
        <w:tc>
          <w:tcPr>
            <w:tcW w:type="dxa" w:w="1680"/>
          </w:tcPr>
          <w:p>
            <w:r>
              <w:t>19.74</w:t>
            </w:r>
          </w:p>
        </w:tc>
        <w:tc>
          <w:tcPr>
            <w:tcW w:type="dxa" w:w="1680"/>
          </w:tcPr>
          <w:p>
            <w:r>
              <w:t>49.33</w:t>
            </w:r>
          </w:p>
        </w:tc>
      </w:tr>
      <w:tr>
        <w:trPr>
          <w:cantSplit/>
        </w:trPr>
        <w:tc>
          <w:tcPr>
            <w:tcW w:type="dxa" w:w="1680"/>
          </w:tcPr>
          <w:p>
            <w:r>
              <w:t>2014</w:t>
            </w:r>
          </w:p>
        </w:tc>
        <w:tc>
          <w:tcPr>
            <w:tcW w:type="dxa" w:w="1680"/>
          </w:tcPr>
          <w:p>
            <w:r>
              <w:t>198</w:t>
            </w:r>
          </w:p>
        </w:tc>
        <w:tc>
          <w:tcPr>
            <w:tcW w:type="dxa" w:w="1680"/>
          </w:tcPr>
          <w:p>
            <w:r>
              <w:t>4,660,093</w:t>
            </w:r>
          </w:p>
        </w:tc>
        <w:tc>
          <w:tcPr>
            <w:tcW w:type="dxa" w:w="1680"/>
          </w:tcPr>
          <w:p>
            <w:r>
              <w:t>15.56</w:t>
            </w:r>
          </w:p>
        </w:tc>
        <w:tc>
          <w:tcPr>
            <w:tcW w:type="dxa" w:w="1680"/>
          </w:tcPr>
          <w:p>
            <w:r>
              <w:t>19.93</w:t>
            </w:r>
          </w:p>
        </w:tc>
        <w:tc>
          <w:tcPr>
            <w:tcW w:type="dxa" w:w="1680"/>
          </w:tcPr>
          <w:p>
            <w:r>
              <w:t>49.23</w:t>
            </w:r>
          </w:p>
        </w:tc>
      </w:tr>
      <w:tr>
        <w:trPr>
          <w:cantSplit/>
        </w:trPr>
        <w:tc>
          <w:tcPr>
            <w:tcW w:type="dxa" w:w="1680"/>
          </w:tcPr>
          <w:p>
            <w:r>
              <w:t>2015</w:t>
            </w:r>
          </w:p>
        </w:tc>
        <w:tc>
          <w:tcPr>
            <w:tcW w:type="dxa" w:w="1680"/>
          </w:tcPr>
          <w:p>
            <w:r>
              <w:t>199</w:t>
            </w:r>
          </w:p>
        </w:tc>
        <w:tc>
          <w:tcPr>
            <w:tcW w:type="dxa" w:w="1680"/>
          </w:tcPr>
          <w:p>
            <w:r>
              <w:t>4,751,004</w:t>
            </w:r>
          </w:p>
        </w:tc>
        <w:tc>
          <w:tcPr>
            <w:tcW w:type="dxa" w:w="1680"/>
          </w:tcPr>
          <w:p>
            <w:r>
              <w:t>15.93</w:t>
            </w:r>
          </w:p>
        </w:tc>
        <w:tc>
          <w:tcPr>
            <w:tcW w:type="dxa" w:w="1680"/>
          </w:tcPr>
          <w:p>
            <w:r>
              <w:t>19.42</w:t>
            </w:r>
          </w:p>
        </w:tc>
        <w:tc>
          <w:tcPr>
            <w:tcW w:type="dxa" w:w="1680"/>
          </w:tcPr>
          <w:p>
            <w:r>
              <w:t>49.14</w:t>
            </w:r>
          </w:p>
        </w:tc>
      </w:tr>
      <w:tr>
        <w:trPr>
          <w:cantSplit/>
        </w:trPr>
        <w:tc>
          <w:tcPr>
            <w:tcW w:type="dxa" w:w="1680"/>
          </w:tcPr>
          <w:p>
            <w:r>
              <w:t>2016</w:t>
            </w:r>
          </w:p>
        </w:tc>
        <w:tc>
          <w:tcPr>
            <w:tcW w:type="dxa" w:w="1680"/>
          </w:tcPr>
          <w:p>
            <w:r>
              <w:t>110</w:t>
            </w:r>
          </w:p>
        </w:tc>
        <w:tc>
          <w:tcPr>
            <w:tcW w:type="dxa" w:w="1680"/>
          </w:tcPr>
          <w:p>
            <w:r>
              <w:t>2,754,163</w:t>
            </w:r>
          </w:p>
        </w:tc>
        <w:tc>
          <w:tcPr>
            <w:tcW w:type="dxa" w:w="1680"/>
          </w:tcPr>
          <w:p>
            <w:r>
              <w:t>16.5</w:t>
            </w:r>
          </w:p>
        </w:tc>
        <w:tc>
          <w:tcPr>
            <w:tcW w:type="dxa" w:w="1680"/>
          </w:tcPr>
          <w:p>
            <w:r>
              <w:t>20.69</w:t>
            </w:r>
          </w:p>
        </w:tc>
        <w:tc>
          <w:tcPr>
            <w:tcW w:type="dxa" w:w="1680"/>
          </w:tcPr>
          <w:p>
            <w:r>
              <w:t>50.27</w:t>
            </w:r>
          </w:p>
        </w:tc>
      </w:tr>
    </w:tbl>
    <w:p>
      <w:r>
        <w:t>University coverage falls from 199 records in 2015 to 110 in 2016. This may reflect differences in data coverage and should not be interpreted as a real-world decline without further evidence. Average percentages are averages across university records, not weighted by student population.</w:t>
      </w:r>
    </w:p>
    <w:p>
      <w:pPr>
        <w:pStyle w:val="Heading2"/>
      </w:pPr>
      <w:r>
        <w:t>6.4 Ranking analysis</w:t>
      </w:r>
    </w:p>
    <w:p>
      <w:r>
        <w:t>Ranking records were joined with ranking criteria and ranking-system tables. In the CWUR 2014 subset, 8,000 records covered 1,000 universities and eight criteria, consistent with one record per university and criterion in that subset.</w:t>
      </w:r>
    </w:p>
    <w:p>
      <w:r>
        <w:t>For CWUR 2014 'Quality of Education Rank', the lowest rank values in the available result included Harvard University (1), University of Cambridge (2), MIT (3), and University of California, Berkeley (4). Rank-style metrics generally treat smaller values as better, and scores should be interpreted within the relevant ranking system and criterion.</w:t>
      </w:r>
    </w:p>
    <w:p>
      <w:r>
        <w:t>The CWUR 'Total CWUR' data expanded from 100 universities in 2012–2013 to 1,000 in 2014–2015. Average ranks across those years are not directly comparable without accounting for the change in ranking coverage.</w:t>
      </w:r>
    </w:p>
    <w:p>
      <w:pPr>
        <w:pStyle w:val="Heading1"/>
      </w:pPr>
      <w:r>
        <w:t>7. Excel Validation</w:t>
      </w:r>
    </w:p>
    <w:p>
      <w:r>
        <w:t>The Python summary files were exported to the python_outputs folder: yearly_student_summary.csv, country_university_count.csv, country_student_summary_2016.csv, and cwur_total_rank_trend.csv. The 2016 country summary was reopened successfully in Python. An Excel PivotTable was created; document the validation as complete only after the values have actually been compared and matched.</w:t>
      </w:r>
    </w:p>
    <w:p>
      <w:pPr>
        <w:pStyle w:val="Heading1"/>
      </w:pPr>
      <w:r>
        <w:t>8. Power BI Dashboard</w:t>
      </w:r>
    </w:p>
    <w:p>
      <w:r>
        <w:t>The existing Power BI file is reported to contain five pages: Overview, Country Analysis, University Analysis, Ranking Analysis, and Yearly Analysis. This document describes the existing dashboard and does not imply it was rebuilt during the Python and Excel validation steps.</w:t>
      </w:r>
    </w:p>
    <w:p>
      <w:pPr>
        <w:pStyle w:val="Heading1"/>
      </w:pPr>
      <w:r>
        <w:t>9. Limitations</w:t>
      </w:r>
    </w:p>
    <w:p>
      <w:pPr>
        <w:pStyle w:val="ListBullet"/>
      </w:pPr>
      <w:r>
        <w:t>The analysis is limited to the records and years present in the supplied CSV files.</w:t>
      </w:r>
    </w:p>
    <w:p>
      <w:pPr>
        <w:pStyle w:val="ListBullet"/>
      </w:pPr>
      <w:r>
        <w:t>Missing ranking scores and female-student percentages may affect some summaries.</w:t>
      </w:r>
    </w:p>
    <w:p>
      <w:pPr>
        <w:pStyle w:val="ListBullet"/>
      </w:pPr>
      <w:r>
        <w:t>Yearly university coverage varies, which limits direct comparisons over time.</w:t>
      </w:r>
    </w:p>
    <w:p>
      <w:pPr>
        <w:pStyle w:val="ListBullet"/>
      </w:pPr>
      <w:r>
        <w:t>Country-level international-student percentages are unweighted averages of university percentages.</w:t>
      </w:r>
    </w:p>
    <w:p>
      <w:pPr>
        <w:pStyle w:val="ListBullet"/>
      </w:pPr>
      <w:r>
        <w:t>Ranking values are system- and criterion-specific.</w:t>
      </w:r>
    </w:p>
    <w:p>
      <w:pPr>
        <w:pStyle w:val="ListBullet"/>
      </w:pPr>
      <w:r>
        <w:t>Relationship-check outputs still need review before stating that all key relationships are valid.</w:t>
      </w:r>
    </w:p>
    <w:p>
      <w:pPr>
        <w:pStyle w:val="Heading1"/>
      </w:pPr>
      <w:r>
        <w:t>10. Recommendations and Next Steps</w:t>
      </w:r>
    </w:p>
    <w:p>
      <w:pPr>
        <w:pStyle w:val="ListBullet"/>
      </w:pPr>
      <w:r>
        <w:t>Finish comparing the Excel PivotTable values with the Python summary.</w:t>
      </w:r>
    </w:p>
    <w:p>
      <w:pPr>
        <w:pStyle w:val="ListBullet"/>
      </w:pPr>
      <w:r>
        <w:t>Review relationship-check outputs and investigate any unmatched keys.</w:t>
      </w:r>
    </w:p>
    <w:p>
      <w:pPr>
        <w:pStyle w:val="ListBullet"/>
      </w:pPr>
      <w:r>
        <w:t>Confirm why the saved 2016 country summary displays nine rows when earlier notes referred to a top ten.</w:t>
      </w:r>
    </w:p>
    <w:p>
      <w:pPr>
        <w:pStyle w:val="ListBullet"/>
      </w:pPr>
      <w:r>
        <w:t>Keep missing values unless a documented and defensible treatment is chosen.</w:t>
      </w:r>
    </w:p>
    <w:p>
      <w:pPr>
        <w:pStyle w:val="ListBullet"/>
      </w:pPr>
      <w:r>
        <w:t>Add data-source attribution and metric definitions when source documentation is available.</w:t>
      </w:r>
    </w:p>
    <w:p>
      <w:pPr>
        <w:pStyle w:val="ListBullet"/>
      </w:pPr>
      <w:r>
        <w:t>Keep original CSV files and the existing Power BI dashboard unchanged; store exports separately.</w:t>
      </w:r>
    </w:p>
    <w:p>
      <w:pPr>
        <w:pStyle w:val="Heading1"/>
      </w:pPr>
      <w:r>
        <w:t>11. Conclusion</w:t>
      </w:r>
    </w:p>
    <w:p>
      <w:r>
        <w:t>This project combines structured CSV data, Pandas-based data validation and exploratory analysis, Excel review, and Power BI reporting. Conclusions should stay within the evidence available in the dataset and account for missing values, varying yearly coverage, and differences among ranking systems.</w:t>
      </w:r>
    </w:p>
    <w:p>
      <w:pPr>
        <w:pStyle w:val="Heading1"/>
      </w:pPr>
      <w:r>
        <w:t>Appendix A. Exported Summary Files</w:t>
      </w:r>
    </w:p>
    <w:p>
      <w:pPr>
        <w:pStyle w:val="ListBullet"/>
      </w:pPr>
      <w:r>
        <w:t>yearly_student_summary.csv — yearly student metrics.</w:t>
      </w:r>
    </w:p>
    <w:p>
      <w:pPr>
        <w:pStyle w:val="ListBullet"/>
      </w:pPr>
      <w:r>
        <w:t>country_university_count.csv — university counts by country.</w:t>
      </w:r>
    </w:p>
    <w:p>
      <w:pPr>
        <w:pStyle w:val="ListBullet"/>
      </w:pPr>
      <w:r>
        <w:t>country_student_summary_2016.csv — 2016 country-level student metrics.</w:t>
      </w:r>
    </w:p>
    <w:p>
      <w:pPr>
        <w:pStyle w:val="ListBullet"/>
      </w:pPr>
      <w:r>
        <w:t>cwur_total_rank_trend.csv — CWUR total-ranking trend summary.</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Project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GLOBAL UNIVERSITIES SUCCESS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