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2E74B5"/>
          <w:sz w:val="20"/>
        </w:rPr>
        <w:t>PROGRESS REPORT SOURCE PACK</w:t>
      </w:r>
    </w:p>
    <w:p>
      <w:pPr>
        <w:spacing w:after="80"/>
      </w:pPr>
      <w:r>
        <w:rPr>
          <w:rFonts w:ascii="Calibri" w:hAnsi="Calibri"/>
          <w:b/>
          <w:color w:val="0B2545"/>
          <w:sz w:val="52"/>
        </w:rPr>
        <w:t>On-Premises Dental Appointment Scheduler</w:t>
      </w:r>
    </w:p>
    <w:p>
      <w:pPr>
        <w:spacing w:after="320"/>
      </w:pPr>
      <w:r>
        <w:rPr>
          <w:rFonts w:ascii="Calibri" w:hAnsi="Calibri"/>
          <w:color w:val="1F4D78"/>
          <w:sz w:val="28"/>
        </w:rPr>
        <w:t>Combined product, technical, data, validation, and measurement brief</w:t>
      </w:r>
    </w:p>
    <w:p>
      <w:pPr>
        <w:spacing w:after="40"/>
      </w:pPr>
      <w:r>
        <w:rPr>
          <w:rFonts w:ascii="Calibri" w:hAnsi="Calibri"/>
          <w:b/>
          <w:color w:val="0B2545"/>
        </w:rPr>
        <w:t xml:space="preserve">Evidence cutoff: </w:t>
      </w:r>
      <w:r>
        <w:rPr>
          <w:rFonts w:ascii="Calibri" w:hAnsi="Calibri"/>
          <w:color w:val="0B2545"/>
        </w:rPr>
        <w:t>26 August 2026</w:t>
      </w:r>
    </w:p>
    <w:p>
      <w:pPr>
        <w:spacing w:after="40"/>
      </w:pPr>
      <w:r>
        <w:rPr>
          <w:rFonts w:ascii="Calibri" w:hAnsi="Calibri"/>
          <w:b/>
          <w:color w:val="0B2545"/>
        </w:rPr>
        <w:t xml:space="preserve">Document revision: </w:t>
      </w:r>
      <w:r>
        <w:rPr>
          <w:rFonts w:ascii="Calibri" w:hAnsi="Calibri"/>
          <w:color w:val="0B2545"/>
        </w:rPr>
        <w:t>Rules-first installation and optional local-AI deployment update</w:t>
      </w:r>
    </w:p>
    <w:p>
      <w:pPr>
        <w:spacing w:after="40"/>
      </w:pPr>
      <w:r>
        <w:rPr>
          <w:rFonts w:ascii="Calibri" w:hAnsi="Calibri"/>
          <w:b/>
          <w:color w:val="0B2545"/>
        </w:rPr>
        <w:t xml:space="preserve">Current stage: </w:t>
      </w:r>
      <w:r>
        <w:rPr>
          <w:rFonts w:ascii="Calibri" w:hAnsi="Calibri"/>
          <w:color w:val="0B2545"/>
        </w:rPr>
        <w:t>Production candidate; suitable for controlled staging</w:t>
      </w:r>
    </w:p>
    <w:p>
      <w:pPr>
        <w:spacing w:after="40"/>
      </w:pPr>
      <w:r>
        <w:rPr>
          <w:rFonts w:ascii="Calibri" w:hAnsi="Calibri"/>
          <w:b/>
          <w:color w:val="0B2545"/>
        </w:rPr>
        <w:t xml:space="preserve">Intended use: </w:t>
      </w:r>
      <w:r>
        <w:rPr>
          <w:rFonts w:ascii="Calibri" w:hAnsi="Calibri"/>
          <w:color w:val="0B2545"/>
        </w:rPr>
        <w:t>Drafting weekly, milestone, internship, or stakeholder progress reports</w:t>
      </w:r>
    </w:p>
    <w:p>
      <w:pPr>
        <w:spacing w:after="40"/>
      </w:pPr>
      <w:r>
        <w:rPr>
          <w:rFonts w:ascii="Calibri" w:hAnsi="Calibri"/>
          <w:b/>
          <w:color w:val="0B2545"/>
        </w:rPr>
        <w:t xml:space="preserve">Information posture: </w:t>
      </w:r>
      <w:r>
        <w:rPr>
          <w:rFonts w:ascii="Calibri" w:hAnsi="Calibri"/>
          <w:color w:val="0B2545"/>
        </w:rPr>
        <w:t>Organization-neutral; synthetic validation evidence; no patient data or credentials</w:t>
      </w:r>
    </w:p>
    <w:p>
      <w:pPr>
        <w:spacing w:before="80" w:after="200" w:line="264" w:lineRule="auto"/>
        <w:ind w:left="173" w:right="173"/>
        <w:shd w:fill="F4F6F9"/>
        <w:pBdr>
          <w:left w:val="single" w:sz="18" w:space="6" w:color="2E74B5"/>
        </w:pBdr>
      </w:pPr>
      <w:r>
        <w:rPr>
          <w:rFonts w:ascii="Calibri" w:hAnsi="Calibri"/>
          <w:b/>
          <w:color w:val="2E74B5"/>
        </w:rPr>
        <w:t xml:space="preserve">How to use this pack: </w:t>
      </w:r>
      <w:r>
        <w:rPr>
          <w:rFonts w:ascii="Calibri" w:hAnsi="Calibri"/>
          <w:color w:val="0B2545"/>
        </w:rPr>
        <w:t>Use the report-ready statements and verified evidence as source material. Replace bracketed fields in the final template with the current reporting period, owner, decisions, and newly measured results. Reverify time-sensitive runtime and production-readiness claims before publishing.</w:t>
      </w:r>
    </w:p>
    <w:p>
      <w:pPr>
        <w:pStyle w:val="Heading1"/>
        <w:keepNext/>
      </w:pPr>
      <w:r>
        <w:rPr>
          <w:rFonts w:ascii="Calibri" w:hAnsi="Calibri"/>
          <w:b/>
          <w:color w:val="2E74B5"/>
        </w:rPr>
        <w:t>Report-Ready Executive Summary</w:t>
      </w:r>
    </w:p>
    <w:p>
      <w:pPr>
        <w:spacing w:before="0" w:after="120" w:line="264" w:lineRule="auto"/>
      </w:pPr>
      <w:r>
        <w:rPr>
          <w:rFonts w:ascii="Calibri" w:hAnsi="Calibri"/>
          <w:i w:val="0"/>
          <w:color w:val="0B2545"/>
        </w:rPr>
        <w:t>The project has delivered a runnable, fully on-premises dental scheduling application that searches a rolling 365-day horizon and returns ranked doctor-and-timeslot options for human confirmation. Deterministic intake rules and scheduling logic operate out of the box with no language model. An optional, separately installed local-AI pack may propose allowlisted context tags, but hard constraints, ranking policy, database transactions, and explicit user action remain authoritative. Confirmed appointments are locked and cannot be moved without an exact, short-lived, single-use authorization.</w:t>
      </w:r>
    </w:p>
    <w:p>
      <w:pPr>
        <w:spacing w:before="0" w:after="120" w:line="264" w:lineRule="auto"/>
      </w:pPr>
      <w:r>
        <w:rPr>
          <w:rFonts w:ascii="Calibri" w:hAnsi="Calibri"/>
          <w:i w:val="0"/>
          <w:color w:val="0B2545"/>
        </w:rPr>
        <w:t>The current production-candidate build covers phased multi-room scheduling, workforce and equipment capacity, emergency blocks, waitlist recovery, walk-ins, linked follow-up visits, daily operations, annual calendar views, local analytics, role-based access, append-only audit evidence, and optional de-identified duration calibration. Historical performance data is not required; validated reference defaults make the product operational from first use, while later observations may propose prospective policy refinements after an evidence threshold and human approval.</w:t>
      </w:r>
    </w:p>
    <w:p>
      <w:pPr>
        <w:spacing w:before="0" w:after="120" w:line="264" w:lineRule="auto"/>
      </w:pPr>
      <w:r>
        <w:rPr>
          <w:rFonts w:ascii="Calibri" w:hAnsi="Calibri"/>
          <w:i w:val="0"/>
          <w:color w:val="0B2545"/>
        </w:rPr>
        <w:t>Automated unit, contract, database, clean-install, installer-profile, simulation, and live HTTPS workflows have passed with synthetic data. The software is ready for controlled staging, but real-patient production use still requires practice-specific clinical configuration, target-host performance and browser acceptance, production TLS and encryption, backup restoration evidence, security and access governance, optional-model validation when that profile is selected, and the deploying practice's HIPAA risk-management program.</w:t>
      </w:r>
    </w:p>
    <w:p>
      <w:pPr>
        <w:pStyle w:val="Heading1"/>
        <w:keepNext/>
      </w:pPr>
      <w:r>
        <w:rPr>
          <w:rFonts w:ascii="Calibri" w:hAnsi="Calibri"/>
          <w:b/>
          <w:color w:val="2E74B5"/>
        </w:rPr>
        <w:t>1. Progress at a Glance</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1700"/>
        <w:gridCol w:w="5660"/>
        <w:gridCol w:w="2000"/>
      </w:tblGrid>
      <w:tr>
        <w:trPr>
          <w:tblHeader w:val="true"/>
          <w:cantSplit w:val="true"/>
        </w:trPr>
        <w:tc>
          <w:tcPr>
            <w:tcW w:type="dxa" w:w="1700"/>
            <w:shd w:fill="F2F4F7"/>
            <w:tcMar>
              <w:top w:w="80" w:type="dxa"/>
              <w:start w:w="120" w:type="dxa"/>
              <w:bottom w:w="80" w:type="dxa"/>
              <w:end w:w="120" w:type="dxa"/>
            </w:tcMar>
            <w:vAlign w:val="center"/>
          </w:tcPr>
          <w:p>
            <w:pPr>
              <w:spacing w:after="0"/>
              <w:jc w:val="center"/>
            </w:pPr>
            <w:r>
              <w:rPr>
                <w:rFonts w:ascii="Calibri" w:hAnsi="Calibri"/>
                <w:b/>
                <w:color w:val="0B2545"/>
                <w:sz w:val="18"/>
              </w:rPr>
              <w:t>Area</w:t>
            </w:r>
          </w:p>
        </w:tc>
        <w:tc>
          <w:tcPr>
            <w:tcW w:type="dxa" w:w="5660"/>
            <w:shd w:fill="F2F4F7"/>
            <w:tcMar>
              <w:top w:w="80" w:type="dxa"/>
              <w:start w:w="120" w:type="dxa"/>
              <w:bottom w:w="80" w:type="dxa"/>
              <w:end w:w="120" w:type="dxa"/>
            </w:tcMar>
            <w:vAlign w:val="center"/>
          </w:tcPr>
          <w:p>
            <w:pPr>
              <w:spacing w:after="0"/>
              <w:jc w:val="center"/>
            </w:pPr>
            <w:r>
              <w:rPr>
                <w:rFonts w:ascii="Calibri" w:hAnsi="Calibri"/>
                <w:b/>
                <w:color w:val="0B2545"/>
                <w:sz w:val="18"/>
              </w:rPr>
              <w:t>Current position</w:t>
            </w:r>
          </w:p>
        </w:tc>
        <w:tc>
          <w:tcPr>
            <w:tcW w:type="dxa" w:w="2000"/>
            <w:shd w:fill="F2F4F7"/>
            <w:tcMar>
              <w:top w:w="80" w:type="dxa"/>
              <w:start w:w="120" w:type="dxa"/>
              <w:bottom w:w="80" w:type="dxa"/>
              <w:end w:w="120" w:type="dxa"/>
            </w:tcMar>
            <w:vAlign w:val="center"/>
          </w:tcPr>
          <w:p>
            <w:pPr>
              <w:spacing w:after="0"/>
              <w:jc w:val="center"/>
            </w:pPr>
            <w:r>
              <w:rPr>
                <w:rFonts w:ascii="Calibri" w:hAnsi="Calibri"/>
                <w:b/>
                <w:color w:val="0B2545"/>
                <w:sz w:val="18"/>
              </w:rPr>
              <w:t>Status</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Product</w:t>
            </w:r>
          </w:p>
        </w:tc>
        <w:tc>
          <w:tcPr>
            <w:tcW w:type="dxa" w:w="5660"/>
            <w:tcMar>
              <w:top w:w="80" w:type="dxa"/>
              <w:start w:w="120" w:type="dxa"/>
              <w:bottom w:w="80" w:type="dxa"/>
              <w:end w:w="120" w:type="dxa"/>
            </w:tcMar>
            <w:vAlign w:val="center"/>
          </w:tcPr>
          <w:p>
            <w:pPr>
              <w:spacing w:after="0" w:line="252" w:lineRule="auto"/>
            </w:pPr>
            <w:r>
              <w:rPr>
                <w:rFonts w:ascii="Calibri" w:hAnsi="Calibri"/>
                <w:b w:val="0"/>
                <w:color w:val="0B2545"/>
                <w:sz w:val="17"/>
              </w:rPr>
              <w:t>End-to-end scheduling and operational workflows are implemented across the rolling annual horizon.</w:t>
            </w:r>
          </w:p>
        </w:tc>
        <w:tc>
          <w:tcPr>
            <w:tcW w:type="dxa" w:w="2000"/>
            <w:tcMar>
              <w:top w:w="80" w:type="dxa"/>
              <w:start w:w="120" w:type="dxa"/>
              <w:bottom w:w="80" w:type="dxa"/>
              <w:end w:w="120" w:type="dxa"/>
            </w:tcMar>
            <w:vAlign w:val="center"/>
          </w:tcPr>
          <w:p>
            <w:pPr>
              <w:spacing w:after="0" w:line="252" w:lineRule="auto"/>
            </w:pPr>
            <w:r>
              <w:rPr>
                <w:rFonts w:ascii="Calibri" w:hAnsi="Calibri"/>
                <w:b/>
                <w:color w:val="276749"/>
                <w:sz w:val="17"/>
              </w:rPr>
              <w:t>Implemented</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Optimization</w:t>
            </w:r>
          </w:p>
        </w:tc>
        <w:tc>
          <w:tcPr>
            <w:tcW w:type="dxa" w:w="5660"/>
            <w:tcMar>
              <w:top w:w="80" w:type="dxa"/>
              <w:start w:w="120" w:type="dxa"/>
              <w:bottom w:w="80" w:type="dxa"/>
              <w:end w:w="120" w:type="dxa"/>
            </w:tcMar>
            <w:vAlign w:val="center"/>
          </w:tcPr>
          <w:p>
            <w:pPr>
              <w:spacing w:after="0" w:line="252" w:lineRule="auto"/>
            </w:pPr>
            <w:r>
              <w:rPr>
                <w:rFonts w:ascii="Calibri" w:hAnsi="Calibri"/>
                <w:b w:val="0"/>
                <w:color w:val="0B2545"/>
                <w:sz w:val="17"/>
              </w:rPr>
              <w:t>Deterministic phased resource feasibility, ranking, explanations, and transaction-time rechecks are implemented.</w:t>
            </w:r>
          </w:p>
        </w:tc>
        <w:tc>
          <w:tcPr>
            <w:tcW w:type="dxa" w:w="2000"/>
            <w:tcMar>
              <w:top w:w="80" w:type="dxa"/>
              <w:start w:w="120" w:type="dxa"/>
              <w:bottom w:w="80" w:type="dxa"/>
              <w:end w:w="120" w:type="dxa"/>
            </w:tcMar>
            <w:vAlign w:val="center"/>
          </w:tcPr>
          <w:p>
            <w:pPr>
              <w:spacing w:after="0" w:line="252" w:lineRule="auto"/>
            </w:pPr>
            <w:r>
              <w:rPr>
                <w:rFonts w:ascii="Calibri" w:hAnsi="Calibri"/>
                <w:b/>
                <w:color w:val="276749"/>
                <w:sz w:val="17"/>
              </w:rPr>
              <w:t>Verified</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Intake assistance</w:t>
            </w:r>
          </w:p>
        </w:tc>
        <w:tc>
          <w:tcPr>
            <w:tcW w:type="dxa" w:w="5660"/>
            <w:tcMar>
              <w:top w:w="80" w:type="dxa"/>
              <w:start w:w="120" w:type="dxa"/>
              <w:bottom w:w="80" w:type="dxa"/>
              <w:end w:w="120" w:type="dxa"/>
            </w:tcMar>
            <w:vAlign w:val="center"/>
          </w:tcPr>
          <w:p>
            <w:pPr>
              <w:spacing w:after="0" w:line="252" w:lineRule="auto"/>
            </w:pPr>
            <w:r>
              <w:rPr>
                <w:rFonts w:ascii="Calibri" w:hAnsi="Calibri"/>
                <w:b w:val="0"/>
                <w:color w:val="0B2545"/>
                <w:sz w:val="17"/>
              </w:rPr>
              <w:t>Deterministic rules are the default. An optional on-premises model can add allowlisted tags under staff review.</w:t>
            </w:r>
          </w:p>
        </w:tc>
        <w:tc>
          <w:tcPr>
            <w:tcW w:type="dxa" w:w="2000"/>
            <w:tcMar>
              <w:top w:w="80" w:type="dxa"/>
              <w:start w:w="120" w:type="dxa"/>
              <w:bottom w:w="80" w:type="dxa"/>
              <w:end w:w="120" w:type="dxa"/>
            </w:tcMar>
            <w:vAlign w:val="center"/>
          </w:tcPr>
          <w:p>
            <w:pPr>
              <w:spacing w:after="0" w:line="252" w:lineRule="auto"/>
            </w:pPr>
            <w:r>
              <w:rPr>
                <w:rFonts w:ascii="Calibri" w:hAnsi="Calibri"/>
                <w:b/>
                <w:color w:val="276749"/>
                <w:sz w:val="17"/>
              </w:rPr>
              <w:t>Core verified; optional model gate remains</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Data</w:t>
            </w:r>
          </w:p>
        </w:tc>
        <w:tc>
          <w:tcPr>
            <w:tcW w:type="dxa" w:w="5660"/>
            <w:tcMar>
              <w:top w:w="80" w:type="dxa"/>
              <w:start w:w="120" w:type="dxa"/>
              <w:bottom w:w="80" w:type="dxa"/>
              <w:end w:w="120" w:type="dxa"/>
            </w:tcMar>
            <w:vAlign w:val="center"/>
          </w:tcPr>
          <w:p>
            <w:pPr>
              <w:spacing w:after="0" w:line="252" w:lineRule="auto"/>
            </w:pPr>
            <w:r>
              <w:rPr>
                <w:rFonts w:ascii="Calibri" w:hAnsi="Calibri"/>
                <w:b w:val="0"/>
                <w:color w:val="0B2545"/>
                <w:sz w:val="17"/>
              </w:rPr>
              <w:t>Reference defaults support zero-data startup; operational evidence may refine future duration policy without retraining the model.</w:t>
            </w:r>
          </w:p>
        </w:tc>
        <w:tc>
          <w:tcPr>
            <w:tcW w:type="dxa" w:w="2000"/>
            <w:tcMar>
              <w:top w:w="80" w:type="dxa"/>
              <w:start w:w="120" w:type="dxa"/>
              <w:bottom w:w="80" w:type="dxa"/>
              <w:end w:w="120" w:type="dxa"/>
            </w:tcMar>
            <w:vAlign w:val="center"/>
          </w:tcPr>
          <w:p>
            <w:pPr>
              <w:spacing w:after="0" w:line="252" w:lineRule="auto"/>
            </w:pPr>
            <w:r>
              <w:rPr>
                <w:rFonts w:ascii="Calibri" w:hAnsi="Calibri"/>
                <w:b/>
                <w:color w:val="276749"/>
                <w:sz w:val="17"/>
              </w:rPr>
              <w:t>Verified</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Security/offline</w:t>
            </w:r>
          </w:p>
        </w:tc>
        <w:tc>
          <w:tcPr>
            <w:tcW w:type="dxa" w:w="5660"/>
            <w:tcMar>
              <w:top w:w="80" w:type="dxa"/>
              <w:start w:w="120" w:type="dxa"/>
              <w:bottom w:w="80" w:type="dxa"/>
              <w:end w:w="120" w:type="dxa"/>
            </w:tcMar>
            <w:vAlign w:val="center"/>
          </w:tcPr>
          <w:p>
            <w:pPr>
              <w:spacing w:after="0" w:line="252" w:lineRule="auto"/>
            </w:pPr>
            <w:r>
              <w:rPr>
                <w:rFonts w:ascii="Calibri" w:hAnsi="Calibri"/>
                <w:b w:val="0"/>
                <w:color w:val="0B2545"/>
                <w:sz w:val="17"/>
              </w:rPr>
              <w:t>Unique accounts, roles, TLS, local-only services, append-only audit, container hardening, and no-runtime-download behavior exist.</w:t>
            </w:r>
          </w:p>
        </w:tc>
        <w:tc>
          <w:tcPr>
            <w:tcW w:type="dxa" w:w="2000"/>
            <w:tcMar>
              <w:top w:w="80" w:type="dxa"/>
              <w:start w:w="120" w:type="dxa"/>
              <w:bottom w:w="80" w:type="dxa"/>
              <w:end w:w="120" w:type="dxa"/>
            </w:tcMar>
            <w:vAlign w:val="center"/>
          </w:tcPr>
          <w:p>
            <w:pPr>
              <w:spacing w:after="0" w:line="252" w:lineRule="auto"/>
            </w:pPr>
            <w:r>
              <w:rPr>
                <w:rFonts w:ascii="Calibri" w:hAnsi="Calibri"/>
                <w:b/>
                <w:color w:val="276749"/>
                <w:sz w:val="17"/>
              </w:rPr>
              <w:t>Implemented; deployment controls remain</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Deployment</w:t>
            </w:r>
          </w:p>
        </w:tc>
        <w:tc>
          <w:tcPr>
            <w:tcW w:type="dxa" w:w="5660"/>
            <w:tcMar>
              <w:top w:w="80" w:type="dxa"/>
              <w:start w:w="120" w:type="dxa"/>
              <w:bottom w:w="80" w:type="dxa"/>
              <w:end w:w="120" w:type="dxa"/>
            </w:tcMar>
            <w:vAlign w:val="center"/>
          </w:tcPr>
          <w:p>
            <w:pPr>
              <w:spacing w:after="0" w:line="252" w:lineRule="auto"/>
            </w:pPr>
            <w:r>
              <w:rPr>
                <w:rFonts w:ascii="Calibri" w:hAnsi="Calibri"/>
                <w:b w:val="0"/>
                <w:color w:val="0B2545"/>
                <w:sz w:val="17"/>
              </w:rPr>
              <w:t>Rules-only and optional-AI profiles, first-run-safe setup, artifact/architecture checks, controlled lifecycle, and desktop launchers are available.</w:t>
            </w:r>
          </w:p>
        </w:tc>
        <w:tc>
          <w:tcPr>
            <w:tcW w:type="dxa" w:w="2000"/>
            <w:tcMar>
              <w:top w:w="80" w:type="dxa"/>
              <w:start w:w="120" w:type="dxa"/>
              <w:bottom w:w="80" w:type="dxa"/>
              <w:end w:w="120" w:type="dxa"/>
            </w:tcMar>
            <w:vAlign w:val="center"/>
          </w:tcPr>
          <w:p>
            <w:pPr>
              <w:spacing w:after="0" w:line="252" w:lineRule="auto"/>
            </w:pPr>
            <w:r>
              <w:rPr>
                <w:rFonts w:ascii="Calibri" w:hAnsi="Calibri"/>
                <w:b/>
                <w:color w:val="276749"/>
                <w:sz w:val="17"/>
              </w:rPr>
              <w:t>Both profiles verified locally</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Production acceptance</w:t>
            </w:r>
          </w:p>
        </w:tc>
        <w:tc>
          <w:tcPr>
            <w:tcW w:type="dxa" w:w="5660"/>
            <w:tcMar>
              <w:top w:w="80" w:type="dxa"/>
              <w:start w:w="120" w:type="dxa"/>
              <w:bottom w:w="80" w:type="dxa"/>
              <w:end w:w="120" w:type="dxa"/>
            </w:tcMar>
            <w:vAlign w:val="center"/>
          </w:tcPr>
          <w:p>
            <w:pPr>
              <w:spacing w:after="0" w:line="252" w:lineRule="auto"/>
            </w:pPr>
            <w:r>
              <w:rPr>
                <w:rFonts w:ascii="Calibri" w:hAnsi="Calibri"/>
                <w:b w:val="0"/>
                <w:color w:val="0B2545"/>
                <w:sz w:val="17"/>
              </w:rPr>
              <w:t>Practice, infrastructure, organizational, browser, accessibility, recovery, and pilot evidence remain required.</w:t>
            </w:r>
          </w:p>
        </w:tc>
        <w:tc>
          <w:tcPr>
            <w:tcW w:type="dxa" w:w="2000"/>
            <w:tcMar>
              <w:top w:w="80" w:type="dxa"/>
              <w:start w:w="120" w:type="dxa"/>
              <w:bottom w:w="80" w:type="dxa"/>
              <w:end w:w="120" w:type="dxa"/>
            </w:tcMar>
            <w:vAlign w:val="center"/>
          </w:tcPr>
          <w:p>
            <w:pPr>
              <w:spacing w:after="0" w:line="252" w:lineRule="auto"/>
            </w:pPr>
            <w:r>
              <w:rPr>
                <w:rFonts w:ascii="Calibri" w:hAnsi="Calibri"/>
                <w:b/>
                <w:color w:val="7A5A00"/>
                <w:sz w:val="17"/>
              </w:rPr>
              <w:t>Pending deployment approval</w:t>
            </w:r>
          </w:p>
        </w:tc>
      </w:tr>
    </w:tbl>
    <w:p>
      <w:pPr>
        <w:spacing w:after="80"/>
      </w:pPr>
    </w:p>
    <w:p>
      <w:pPr>
        <w:pStyle w:val="Heading1"/>
        <w:keepNext/>
      </w:pPr>
      <w:r>
        <w:rPr>
          <w:rFonts w:ascii="Calibri" w:hAnsi="Calibri"/>
          <w:b/>
          <w:color w:val="2E74B5"/>
        </w:rPr>
        <w:t>2. Product Objective and Boundaries</w:t>
      </w:r>
    </w:p>
    <w:p>
      <w:pPr>
        <w:pStyle w:val="Heading2"/>
        <w:keepNext/>
      </w:pPr>
      <w:r>
        <w:rPr>
          <w:rFonts w:ascii="Calibri" w:hAnsi="Calibri"/>
          <w:b/>
          <w:color w:val="2E74B5"/>
        </w:rPr>
        <w:t>2.1 Objective</w:t>
      </w:r>
    </w:p>
    <w:p>
      <w:pPr>
        <w:spacing w:before="0" w:after="120" w:line="264" w:lineRule="auto"/>
      </w:pPr>
      <w:r>
        <w:t>Given patient identity and a clinician-approved procedure, return feasible combinations of doctor, supporting providers, room, equipment, and timeslot. The basic workflow assumes the patient can accept any opening in the rolling year; staff records context, complexity, preferences, or a custom date and time window only when they apply. Staff reviews and confirms one option. Each new request is evaluated against the latest calendar without rebuilding the full year.</w:t>
      </w:r>
    </w:p>
    <w:p>
      <w:pPr>
        <w:pStyle w:val="Heading2"/>
        <w:keepNext/>
      </w:pPr>
      <w:r>
        <w:rPr>
          <w:rFonts w:ascii="Calibri" w:hAnsi="Calibri"/>
          <w:b/>
          <w:color w:val="2E74B5"/>
        </w:rPr>
        <w:t>2.2 Non-Negotiable Boundaries</w:t>
      </w:r>
    </w:p>
    <w:p>
      <w:pPr>
        <w:pStyle w:val="ListBullet"/>
        <w:spacing w:after="160" w:line="280" w:lineRule="auto"/>
        <w:ind w:left="720" w:hanging="360"/>
      </w:pPr>
      <w:r>
        <w:rPr>
          <w:rFonts w:ascii="Calibri" w:hAnsi="Calibri"/>
          <w:color w:val="0B2545"/>
        </w:rPr>
        <w:t>The product recommends and manages appointments; it does not diagnose, prescribe, choose treatment, or replace clinical triage.</w:t>
      </w:r>
    </w:p>
    <w:p>
      <w:pPr>
        <w:pStyle w:val="ListBullet"/>
        <w:spacing w:after="160" w:line="280" w:lineRule="auto"/>
        <w:ind w:left="720" w:hanging="360"/>
      </w:pPr>
      <w:r>
        <w:rPr>
          <w:rFonts w:ascii="Calibri" w:hAnsi="Calibri"/>
          <w:color w:val="0B2545"/>
        </w:rPr>
        <w:t>Deterministic intake rules are always available. If enabled, the optional local model structures intake only and cannot book, cancel, reschedule, change duration policy, or weaken a hard constraint.</w:t>
      </w:r>
    </w:p>
    <w:p>
      <w:pPr>
        <w:pStyle w:val="ListBullet"/>
        <w:spacing w:after="160" w:line="280" w:lineRule="auto"/>
        <w:ind w:left="720" w:hanging="360"/>
      </w:pPr>
      <w:r>
        <w:rPr>
          <w:rFonts w:ascii="Calibri" w:hAnsi="Calibri"/>
          <w:color w:val="0B2545"/>
        </w:rPr>
        <w:t>Confirmed appointments remain fixed unless an authorized user approves one exact replacement through the protected transaction.</w:t>
      </w:r>
    </w:p>
    <w:p>
      <w:pPr>
        <w:pStyle w:val="ListBullet"/>
        <w:spacing w:after="160" w:line="280" w:lineRule="auto"/>
        <w:ind w:left="720" w:hanging="360"/>
      </w:pPr>
      <w:r>
        <w:rPr>
          <w:rFonts w:ascii="Calibri" w:hAnsi="Calibri"/>
          <w:color w:val="0B2545"/>
        </w:rPr>
        <w:t>Runtime internet access, cloud inference, telemetry, remote assets, automatic downloads, and external PHI transmission are prohibited.</w:t>
      </w:r>
    </w:p>
    <w:p>
      <w:pPr>
        <w:pStyle w:val="ListBullet"/>
        <w:spacing w:after="160" w:line="280" w:lineRule="auto"/>
        <w:ind w:left="720" w:hanging="360"/>
      </w:pPr>
      <w:r>
        <w:rPr>
          <w:rFonts w:ascii="Calibri" w:hAnsi="Calibri"/>
          <w:color w:val="0B2545"/>
        </w:rPr>
        <w:t>Software safeguards support a HIPAA compliance program but do not independently establish organizational compliance.</w:t>
      </w:r>
    </w:p>
    <w:p>
      <w:pPr>
        <w:pStyle w:val="Heading1"/>
        <w:keepNext/>
      </w:pPr>
      <w:r>
        <w:rPr>
          <w:rFonts w:ascii="Calibri" w:hAnsi="Calibri"/>
          <w:b/>
          <w:color w:val="2E74B5"/>
        </w:rPr>
        <w:t>3. How the Product Works</w:t>
      </w:r>
    </w:p>
    <w:p>
      <w:pPr>
        <w:pStyle w:val="Heading2"/>
        <w:keepNext/>
      </w:pPr>
      <w:r>
        <w:rPr>
          <w:rFonts w:ascii="Calibri" w:hAnsi="Calibri"/>
          <w:b/>
          <w:color w:val="2E74B5"/>
        </w:rPr>
        <w:t>3.1 Decision Ownership</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1700"/>
        <w:gridCol w:w="4020"/>
        <w:gridCol w:w="3640"/>
      </w:tblGrid>
      <w:tr>
        <w:trPr>
          <w:tblHeader w:val="true"/>
          <w:cantSplit w:val="true"/>
        </w:trPr>
        <w:tc>
          <w:tcPr>
            <w:tcW w:type="dxa" w:w="1700"/>
            <w:shd w:fill="F2F4F7"/>
            <w:tcMar>
              <w:top w:w="80" w:type="dxa"/>
              <w:start w:w="120" w:type="dxa"/>
              <w:bottom w:w="80" w:type="dxa"/>
              <w:end w:w="120" w:type="dxa"/>
            </w:tcMar>
            <w:vAlign w:val="center"/>
          </w:tcPr>
          <w:p>
            <w:pPr>
              <w:spacing w:after="0"/>
              <w:jc w:val="center"/>
            </w:pPr>
            <w:r>
              <w:rPr>
                <w:rFonts w:ascii="Calibri" w:hAnsi="Calibri"/>
                <w:b/>
                <w:color w:val="0B2545"/>
                <w:sz w:val="18"/>
              </w:rPr>
              <w:t>Layer</w:t>
            </w:r>
          </w:p>
        </w:tc>
        <w:tc>
          <w:tcPr>
            <w:tcW w:type="dxa" w:w="4020"/>
            <w:shd w:fill="F2F4F7"/>
            <w:tcMar>
              <w:top w:w="80" w:type="dxa"/>
              <w:start w:w="120" w:type="dxa"/>
              <w:bottom w:w="80" w:type="dxa"/>
              <w:end w:w="120" w:type="dxa"/>
            </w:tcMar>
            <w:vAlign w:val="center"/>
          </w:tcPr>
          <w:p>
            <w:pPr>
              <w:spacing w:after="0"/>
              <w:jc w:val="center"/>
            </w:pPr>
            <w:r>
              <w:rPr>
                <w:rFonts w:ascii="Calibri" w:hAnsi="Calibri"/>
                <w:b/>
                <w:color w:val="0B2545"/>
                <w:sz w:val="18"/>
              </w:rPr>
              <w:t>Role</w:t>
            </w:r>
          </w:p>
        </w:tc>
        <w:tc>
          <w:tcPr>
            <w:tcW w:type="dxa" w:w="3640"/>
            <w:shd w:fill="F2F4F7"/>
            <w:tcMar>
              <w:top w:w="80" w:type="dxa"/>
              <w:start w:w="120" w:type="dxa"/>
              <w:bottom w:w="80" w:type="dxa"/>
              <w:end w:w="120" w:type="dxa"/>
            </w:tcMar>
            <w:vAlign w:val="center"/>
          </w:tcPr>
          <w:p>
            <w:pPr>
              <w:spacing w:after="0"/>
              <w:jc w:val="left"/>
            </w:pPr>
            <w:r>
              <w:rPr>
                <w:rFonts w:ascii="Calibri" w:hAnsi="Calibri"/>
                <w:b/>
                <w:color w:val="0B2545"/>
                <w:sz w:val="18"/>
              </w:rPr>
              <w:t>Authority boundary</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User interface</w:t>
            </w:r>
          </w:p>
        </w:tc>
        <w:tc>
          <w:tcPr>
            <w:tcW w:type="dxa" w:w="4020"/>
            <w:tcMar>
              <w:top w:w="80" w:type="dxa"/>
              <w:start w:w="120" w:type="dxa"/>
              <w:bottom w:w="80" w:type="dxa"/>
              <w:end w:w="120" w:type="dxa"/>
            </w:tcMar>
            <w:vAlign w:val="center"/>
          </w:tcPr>
          <w:p>
            <w:pPr>
              <w:spacing w:after="0" w:line="252" w:lineRule="auto"/>
            </w:pPr>
            <w:r>
              <w:rPr>
                <w:rFonts w:ascii="Calibri" w:hAnsi="Calibri"/>
                <w:b w:val="0"/>
                <w:color w:val="0B2545"/>
                <w:sz w:val="17"/>
              </w:rPr>
              <w:t>Collect request data, display options, and request confirmation</w:t>
            </w:r>
          </w:p>
        </w:tc>
        <w:tc>
          <w:tcPr>
            <w:tcW w:type="dxa" w:w="3640"/>
            <w:tcMar>
              <w:top w:w="80" w:type="dxa"/>
              <w:start w:w="120" w:type="dxa"/>
              <w:bottom w:w="80" w:type="dxa"/>
              <w:end w:w="120" w:type="dxa"/>
            </w:tcMar>
            <w:vAlign w:val="center"/>
          </w:tcPr>
          <w:p>
            <w:pPr>
              <w:spacing w:after="0" w:line="252" w:lineRule="auto"/>
            </w:pPr>
            <w:r>
              <w:rPr>
                <w:rFonts w:ascii="Calibri" w:hAnsi="Calibri"/>
                <w:b w:val="0"/>
                <w:color w:val="0B2545"/>
                <w:sz w:val="17"/>
              </w:rPr>
              <w:t>Cannot bypass server validation</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Deterministic intake rules</w:t>
            </w:r>
          </w:p>
        </w:tc>
        <w:tc>
          <w:tcPr>
            <w:tcW w:type="dxa" w:w="4020"/>
            <w:tcMar>
              <w:top w:w="80" w:type="dxa"/>
              <w:start w:w="120" w:type="dxa"/>
              <w:bottom w:w="80" w:type="dxa"/>
              <w:end w:w="120" w:type="dxa"/>
            </w:tcMar>
            <w:vAlign w:val="center"/>
          </w:tcPr>
          <w:p>
            <w:pPr>
              <w:spacing w:after="0" w:line="252" w:lineRule="auto"/>
            </w:pPr>
            <w:r>
              <w:rPr>
                <w:rFonts w:ascii="Calibri" w:hAnsi="Calibri"/>
                <w:b w:val="0"/>
                <w:color w:val="0B2545"/>
                <w:sz w:val="17"/>
              </w:rPr>
              <w:t>Normalize supported scheduling context without a model</w:t>
            </w:r>
          </w:p>
        </w:tc>
        <w:tc>
          <w:tcPr>
            <w:tcW w:type="dxa" w:w="3640"/>
            <w:tcMar>
              <w:top w:w="80" w:type="dxa"/>
              <w:start w:w="120" w:type="dxa"/>
              <w:bottom w:w="80" w:type="dxa"/>
              <w:end w:w="120" w:type="dxa"/>
            </w:tcMar>
            <w:vAlign w:val="center"/>
          </w:tcPr>
          <w:p>
            <w:pPr>
              <w:spacing w:after="0" w:line="252" w:lineRule="auto"/>
            </w:pPr>
            <w:r>
              <w:rPr>
                <w:rFonts w:ascii="Calibri" w:hAnsi="Calibri"/>
                <w:b w:val="0"/>
                <w:color w:val="0B2545"/>
                <w:sz w:val="17"/>
              </w:rPr>
              <w:t>No diagnosis, feasibility, or booking authority</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Optional local intake model</w:t>
            </w:r>
          </w:p>
        </w:tc>
        <w:tc>
          <w:tcPr>
            <w:tcW w:type="dxa" w:w="4020"/>
            <w:tcMar>
              <w:top w:w="80" w:type="dxa"/>
              <w:start w:w="120" w:type="dxa"/>
              <w:bottom w:w="80" w:type="dxa"/>
              <w:end w:w="120" w:type="dxa"/>
            </w:tcMar>
            <w:vAlign w:val="center"/>
          </w:tcPr>
          <w:p>
            <w:pPr>
              <w:spacing w:after="0" w:line="252" w:lineRule="auto"/>
            </w:pPr>
            <w:r>
              <w:rPr>
                <w:rFonts w:ascii="Calibri" w:hAnsi="Calibri"/>
                <w:b w:val="0"/>
                <w:color w:val="0B2545"/>
                <w:sz w:val="17"/>
              </w:rPr>
              <w:t>Propose allowlisted condition tags and confidence when enabled</w:t>
            </w:r>
          </w:p>
        </w:tc>
        <w:tc>
          <w:tcPr>
            <w:tcW w:type="dxa" w:w="3640"/>
            <w:tcMar>
              <w:top w:w="80" w:type="dxa"/>
              <w:start w:w="120" w:type="dxa"/>
              <w:bottom w:w="80" w:type="dxa"/>
              <w:end w:w="120" w:type="dxa"/>
            </w:tcMar>
            <w:vAlign w:val="center"/>
          </w:tcPr>
          <w:p>
            <w:pPr>
              <w:spacing w:after="0" w:line="252" w:lineRule="auto"/>
            </w:pPr>
            <w:r>
              <w:rPr>
                <w:rFonts w:ascii="Calibri" w:hAnsi="Calibri"/>
                <w:b w:val="0"/>
                <w:color w:val="0B2545"/>
                <w:sz w:val="17"/>
              </w:rPr>
              <w:t>No diagnosis, feasibility, or booking authority</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Deterministic policy</w:t>
            </w:r>
          </w:p>
        </w:tc>
        <w:tc>
          <w:tcPr>
            <w:tcW w:type="dxa" w:w="4020"/>
            <w:tcMar>
              <w:top w:w="80" w:type="dxa"/>
              <w:start w:w="120" w:type="dxa"/>
              <w:bottom w:w="80" w:type="dxa"/>
              <w:end w:w="120" w:type="dxa"/>
            </w:tcMar>
            <w:vAlign w:val="center"/>
          </w:tcPr>
          <w:p>
            <w:pPr>
              <w:spacing w:after="0" w:line="252" w:lineRule="auto"/>
            </w:pPr>
            <w:r>
              <w:rPr>
                <w:rFonts w:ascii="Calibri" w:hAnsi="Calibri"/>
                <w:b w:val="0"/>
                <w:color w:val="0B2545"/>
                <w:sz w:val="17"/>
              </w:rPr>
              <w:t>Validate tags and assign approved scheduling priority</w:t>
            </w:r>
          </w:p>
        </w:tc>
        <w:tc>
          <w:tcPr>
            <w:tcW w:type="dxa" w:w="3640"/>
            <w:tcMar>
              <w:top w:w="80" w:type="dxa"/>
              <w:start w:w="120" w:type="dxa"/>
              <w:bottom w:w="80" w:type="dxa"/>
              <w:end w:w="120" w:type="dxa"/>
            </w:tcMar>
            <w:vAlign w:val="center"/>
          </w:tcPr>
          <w:p>
            <w:pPr>
              <w:spacing w:after="0" w:line="252" w:lineRule="auto"/>
            </w:pPr>
            <w:r>
              <w:rPr>
                <w:rFonts w:ascii="Calibri" w:hAnsi="Calibri"/>
                <w:b w:val="0"/>
                <w:color w:val="0B2545"/>
                <w:sz w:val="17"/>
              </w:rPr>
              <w:t>Uses approved rules only</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Optimizer</w:t>
            </w:r>
          </w:p>
        </w:tc>
        <w:tc>
          <w:tcPr>
            <w:tcW w:type="dxa" w:w="4020"/>
            <w:tcMar>
              <w:top w:w="80" w:type="dxa"/>
              <w:start w:w="120" w:type="dxa"/>
              <w:bottom w:w="80" w:type="dxa"/>
              <w:end w:w="120" w:type="dxa"/>
            </w:tcMar>
            <w:vAlign w:val="center"/>
          </w:tcPr>
          <w:p>
            <w:pPr>
              <w:spacing w:after="0" w:line="252" w:lineRule="auto"/>
            </w:pPr>
            <w:r>
              <w:rPr>
                <w:rFonts w:ascii="Calibri" w:hAnsi="Calibri"/>
                <w:b w:val="0"/>
                <w:color w:val="0B2545"/>
                <w:sz w:val="17"/>
              </w:rPr>
              <w:t>Generate and rank candidates satisfying every hard constraint</w:t>
            </w:r>
          </w:p>
        </w:tc>
        <w:tc>
          <w:tcPr>
            <w:tcW w:type="dxa" w:w="3640"/>
            <w:tcMar>
              <w:top w:w="80" w:type="dxa"/>
              <w:start w:w="120" w:type="dxa"/>
              <w:bottom w:w="80" w:type="dxa"/>
              <w:end w:w="120" w:type="dxa"/>
            </w:tcMar>
            <w:vAlign w:val="center"/>
          </w:tcPr>
          <w:p>
            <w:pPr>
              <w:spacing w:after="0" w:line="252" w:lineRule="auto"/>
            </w:pPr>
            <w:r>
              <w:rPr>
                <w:rFonts w:ascii="Calibri" w:hAnsi="Calibri"/>
                <w:b w:val="0"/>
                <w:color w:val="0B2545"/>
                <w:sz w:val="17"/>
              </w:rPr>
              <w:t>Cannot move locked bookings or write appointments</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PostgreSQL transaction</w:t>
            </w:r>
          </w:p>
        </w:tc>
        <w:tc>
          <w:tcPr>
            <w:tcW w:type="dxa" w:w="4020"/>
            <w:tcMar>
              <w:top w:w="80" w:type="dxa"/>
              <w:start w:w="120" w:type="dxa"/>
              <w:bottom w:w="80" w:type="dxa"/>
              <w:end w:w="120" w:type="dxa"/>
            </w:tcMar>
            <w:vAlign w:val="center"/>
          </w:tcPr>
          <w:p>
            <w:pPr>
              <w:spacing w:after="0" w:line="252" w:lineRule="auto"/>
            </w:pPr>
            <w:r>
              <w:rPr>
                <w:rFonts w:ascii="Calibri" w:hAnsi="Calibri"/>
                <w:b w:val="0"/>
                <w:color w:val="0B2545"/>
                <w:sz w:val="17"/>
              </w:rPr>
              <w:t>Recheck live state and enforce final resource, lock, capacity, and audit invariants</w:t>
            </w:r>
          </w:p>
        </w:tc>
        <w:tc>
          <w:tcPr>
            <w:tcW w:type="dxa" w:w="3640"/>
            <w:tcMar>
              <w:top w:w="80" w:type="dxa"/>
              <w:start w:w="120" w:type="dxa"/>
              <w:bottom w:w="80" w:type="dxa"/>
              <w:end w:w="120" w:type="dxa"/>
            </w:tcMar>
            <w:vAlign w:val="center"/>
          </w:tcPr>
          <w:p>
            <w:pPr>
              <w:spacing w:after="0" w:line="252" w:lineRule="auto"/>
            </w:pPr>
            <w:r>
              <w:rPr>
                <w:rFonts w:ascii="Calibri" w:hAnsi="Calibri"/>
                <w:b w:val="0"/>
                <w:color w:val="0B2545"/>
                <w:sz w:val="17"/>
              </w:rPr>
              <w:t>Authoritative commit or safe rejection</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Authorized staff</w:t>
            </w:r>
          </w:p>
        </w:tc>
        <w:tc>
          <w:tcPr>
            <w:tcW w:type="dxa" w:w="4020"/>
            <w:tcMar>
              <w:top w:w="80" w:type="dxa"/>
              <w:start w:w="120" w:type="dxa"/>
              <w:bottom w:w="80" w:type="dxa"/>
              <w:end w:w="120" w:type="dxa"/>
            </w:tcMar>
            <w:vAlign w:val="center"/>
          </w:tcPr>
          <w:p>
            <w:pPr>
              <w:spacing w:after="0" w:line="252" w:lineRule="auto"/>
            </w:pPr>
            <w:r>
              <w:rPr>
                <w:rFonts w:ascii="Calibri" w:hAnsi="Calibri"/>
                <w:b w:val="0"/>
                <w:color w:val="0B2545"/>
                <w:sz w:val="17"/>
              </w:rPr>
              <w:t>Confirm or explicitly authorize an exact reschedule</w:t>
            </w:r>
          </w:p>
        </w:tc>
        <w:tc>
          <w:tcPr>
            <w:tcW w:type="dxa" w:w="3640"/>
            <w:tcMar>
              <w:top w:w="80" w:type="dxa"/>
              <w:start w:w="120" w:type="dxa"/>
              <w:bottom w:w="80" w:type="dxa"/>
              <w:end w:w="120" w:type="dxa"/>
            </w:tcMar>
            <w:vAlign w:val="center"/>
          </w:tcPr>
          <w:p>
            <w:pPr>
              <w:spacing w:after="0" w:line="252" w:lineRule="auto"/>
            </w:pPr>
            <w:r>
              <w:rPr>
                <w:rFonts w:ascii="Calibri" w:hAnsi="Calibri"/>
                <w:b w:val="0"/>
                <w:color w:val="0B2545"/>
                <w:sz w:val="17"/>
              </w:rPr>
              <w:t>Final human action is required</w:t>
            </w:r>
          </w:p>
        </w:tc>
      </w:tr>
    </w:tbl>
    <w:p>
      <w:pPr>
        <w:spacing w:after="80"/>
      </w:pPr>
    </w:p>
    <w:p>
      <w:pPr>
        <w:pStyle w:val="Heading2"/>
        <w:keepNext/>
      </w:pPr>
      <w:r>
        <w:rPr>
          <w:rFonts w:ascii="Calibri" w:hAnsi="Calibri"/>
          <w:b/>
          <w:color w:val="2E74B5"/>
        </w:rPr>
        <w:t>3.2 End-to-End Flow</w:t>
      </w:r>
    </w:p>
    <w:p>
      <w:pPr>
        <w:numPr>
          <w:ilvl w:val="0"/>
          <w:numId w:val="10"/>
        </w:numPr>
        <w:spacing w:after="160" w:line="280" w:lineRule="auto"/>
        <w:ind w:left="720" w:hanging="360"/>
      </w:pPr>
      <w:r>
        <w:t>Capture. Staff enters or selects the patient and provides the clinician-approved procedure. The default searches any opening in the rolling year. Staff adds condition context, complexity, preferences, or a custom date and daily-time window only when they apply.</w:t>
      </w:r>
    </w:p>
    <w:p>
      <w:pPr>
        <w:numPr>
          <w:ilvl w:val="0"/>
          <w:numId w:val="10"/>
        </w:numPr>
        <w:spacing w:after="160" w:line="280" w:lineRule="auto"/>
        <w:ind w:left="720" w:hanging="360"/>
      </w:pPr>
      <w:r>
        <w:rPr>
          <w:rFonts w:ascii="Calibri" w:hAnsi="Calibri"/>
          <w:b/>
          <w:color w:val="1F4D78"/>
        </w:rPr>
        <w:t xml:space="preserve">Normalize. </w:t>
      </w:r>
      <w:r>
        <w:rPr>
          <w:rFonts w:ascii="Calibri" w:hAnsi="Calibri"/>
          <w:color w:val="0B2545"/>
        </w:rPr>
        <w:t>Deterministic local rules produce validated scheduling context. If the optional local-AI profile is enabled, its allowlisted tags and confidence are advisory and staff reviews when required.</w:t>
      </w:r>
    </w:p>
    <w:p>
      <w:pPr>
        <w:numPr>
          <w:ilvl w:val="0"/>
          <w:numId w:val="10"/>
        </w:numPr>
        <w:spacing w:after="160" w:line="280" w:lineRule="auto"/>
        <w:ind w:left="720" w:hanging="360"/>
      </w:pPr>
      <w:r>
        <w:rPr>
          <w:rFonts w:ascii="Calibri" w:hAnsi="Calibri"/>
          <w:b/>
          <w:color w:val="1F4D78"/>
        </w:rPr>
        <w:t xml:space="preserve">Snapshot. </w:t>
      </w:r>
      <w:r>
        <w:rPr>
          <w:rFonts w:ascii="Calibri" w:hAnsi="Calibri"/>
          <w:color w:val="0B2545"/>
        </w:rPr>
        <w:t>The service loads current policy, qualifications, shifts, leave, closures, rooms, equipment, protected capacity, and locked bookings.</w:t>
      </w:r>
    </w:p>
    <w:p>
      <w:pPr>
        <w:numPr>
          <w:ilvl w:val="0"/>
          <w:numId w:val="10"/>
        </w:numPr>
        <w:spacing w:after="160" w:line="280" w:lineRule="auto"/>
        <w:ind w:left="720" w:hanging="360"/>
      </w:pPr>
      <w:r>
        <w:rPr>
          <w:rFonts w:ascii="Calibri" w:hAnsi="Calibri"/>
          <w:b/>
          <w:color w:val="1F4D78"/>
        </w:rPr>
        <w:t xml:space="preserve">Optimize. </w:t>
      </w:r>
      <w:r>
        <w:rPr>
          <w:rFonts w:ascii="Calibri" w:hAnsi="Calibri"/>
          <w:color w:val="0B2545"/>
        </w:rPr>
        <w:t>The deterministic engine rejects candidates that violate hard constraints and ranks the feasible remainder.</w:t>
      </w:r>
    </w:p>
    <w:p>
      <w:pPr>
        <w:numPr>
          <w:ilvl w:val="0"/>
          <w:numId w:val="10"/>
        </w:numPr>
        <w:spacing w:after="160" w:line="280" w:lineRule="auto"/>
        <w:ind w:left="720" w:hanging="360"/>
      </w:pPr>
      <w:r>
        <w:rPr>
          <w:rFonts w:ascii="Calibri" w:hAnsi="Calibri"/>
          <w:b/>
          <w:color w:val="1F4D78"/>
        </w:rPr>
        <w:t xml:space="preserve">Explain. </w:t>
      </w:r>
      <w:r>
        <w:rPr>
          <w:rFonts w:ascii="Calibri" w:hAnsi="Calibri"/>
          <w:color w:val="0B2545"/>
        </w:rPr>
        <w:t>The UI displays doctor, start/end time, room, phase/resource plan, rank factors, and important policy notes.</w:t>
      </w:r>
    </w:p>
    <w:p>
      <w:pPr>
        <w:numPr>
          <w:ilvl w:val="0"/>
          <w:numId w:val="10"/>
        </w:numPr>
        <w:spacing w:after="160" w:line="280" w:lineRule="auto"/>
        <w:ind w:left="720" w:hanging="360"/>
      </w:pPr>
      <w:r>
        <w:rPr>
          <w:rFonts w:ascii="Calibri" w:hAnsi="Calibri"/>
          <w:b/>
          <w:color w:val="1F4D78"/>
        </w:rPr>
        <w:t xml:space="preserve">Confirm. </w:t>
      </w:r>
      <w:r>
        <w:rPr>
          <w:rFonts w:ascii="Calibri" w:hAnsi="Calibri"/>
          <w:color w:val="0B2545"/>
        </w:rPr>
        <w:t>The database rechecks current state and atomically writes the appointment, reservations, status history, and audit evidence.</w:t>
      </w:r>
    </w:p>
    <w:p>
      <w:pPr>
        <w:numPr>
          <w:ilvl w:val="0"/>
          <w:numId w:val="10"/>
        </w:numPr>
        <w:spacing w:after="160" w:line="280" w:lineRule="auto"/>
        <w:ind w:left="720" w:hanging="360"/>
      </w:pPr>
      <w:r>
        <w:rPr>
          <w:rFonts w:ascii="Calibri" w:hAnsi="Calibri"/>
          <w:b/>
          <w:color w:val="1F4D78"/>
        </w:rPr>
        <w:t xml:space="preserve">Operate. </w:t>
      </w:r>
      <w:r>
        <w:rPr>
          <w:rFonts w:ascii="Calibri" w:hAnsi="Calibri"/>
          <w:color w:val="0B2545"/>
        </w:rPr>
        <w:t>Staff records check-in, seating, completion, cancellation, no-show, walk-in, waitlist, and follow-up activity through supported workflows.</w:t>
      </w:r>
    </w:p>
    <w:p>
      <w:pPr>
        <w:pStyle w:val="Heading1"/>
        <w:keepNext/>
      </w:pPr>
      <w:r>
        <w:rPr>
          <w:rFonts w:ascii="Calibri" w:hAnsi="Calibri"/>
          <w:b/>
          <w:color w:val="2E74B5"/>
        </w:rPr>
        <w:t>4. Delivered Capability by Workstream</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1650"/>
        <w:gridCol w:w="5000"/>
        <w:gridCol w:w="2710"/>
      </w:tblGrid>
      <w:tr>
        <w:trPr>
          <w:tblHeader w:val="true"/>
          <w:cantSplit w:val="true"/>
        </w:trPr>
        <w:tc>
          <w:tcPr>
            <w:tcW w:type="dxa" w:w="1650"/>
            <w:shd w:fill="F2F4F7"/>
            <w:tcMar>
              <w:top w:w="80" w:type="dxa"/>
              <w:start w:w="120" w:type="dxa"/>
              <w:bottom w:w="80" w:type="dxa"/>
              <w:end w:w="120" w:type="dxa"/>
            </w:tcMar>
            <w:vAlign w:val="center"/>
          </w:tcPr>
          <w:p>
            <w:pPr>
              <w:spacing w:after="0"/>
              <w:jc w:val="center"/>
            </w:pPr>
            <w:r>
              <w:rPr>
                <w:rFonts w:ascii="Calibri" w:hAnsi="Calibri"/>
                <w:b/>
                <w:color w:val="0B2545"/>
                <w:sz w:val="18"/>
              </w:rPr>
              <w:t>Workstream</w:t>
            </w:r>
          </w:p>
        </w:tc>
        <w:tc>
          <w:tcPr>
            <w:tcW w:type="dxa" w:w="5000"/>
            <w:shd w:fill="F2F4F7"/>
            <w:tcMar>
              <w:top w:w="80" w:type="dxa"/>
              <w:start w:w="120" w:type="dxa"/>
              <w:bottom w:w="80" w:type="dxa"/>
              <w:end w:w="120" w:type="dxa"/>
            </w:tcMar>
            <w:vAlign w:val="center"/>
          </w:tcPr>
          <w:p>
            <w:pPr>
              <w:spacing w:after="0"/>
              <w:jc w:val="left"/>
            </w:pPr>
            <w:r>
              <w:rPr>
                <w:rFonts w:ascii="Calibri" w:hAnsi="Calibri"/>
                <w:b/>
                <w:color w:val="0B2545"/>
                <w:sz w:val="18"/>
              </w:rPr>
              <w:t>Delivered capability</w:t>
            </w:r>
          </w:p>
        </w:tc>
        <w:tc>
          <w:tcPr>
            <w:tcW w:type="dxa" w:w="2710"/>
            <w:shd w:fill="F2F4F7"/>
            <w:tcMar>
              <w:top w:w="80" w:type="dxa"/>
              <w:start w:w="120" w:type="dxa"/>
              <w:bottom w:w="80" w:type="dxa"/>
              <w:end w:w="120" w:type="dxa"/>
            </w:tcMar>
            <w:vAlign w:val="center"/>
          </w:tcPr>
          <w:p>
            <w:pPr>
              <w:spacing w:after="0"/>
              <w:jc w:val="center"/>
            </w:pPr>
            <w:r>
              <w:rPr>
                <w:rFonts w:ascii="Calibri" w:hAnsi="Calibri"/>
                <w:b/>
                <w:color w:val="0B2545"/>
                <w:sz w:val="18"/>
              </w:rPr>
              <w:t>Progress evidence</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Core scheduling</w:t>
            </w:r>
          </w:p>
        </w:tc>
        <w:tc>
          <w:tcPr>
            <w:tcW w:type="dxa" w:w="5000"/>
            <w:tcMar>
              <w:top w:w="80" w:type="dxa"/>
              <w:start w:w="120" w:type="dxa"/>
              <w:bottom w:w="80" w:type="dxa"/>
              <w:end w:w="120" w:type="dxa"/>
            </w:tcMar>
            <w:vAlign w:val="center"/>
          </w:tcPr>
          <w:p>
            <w:pPr>
              <w:spacing w:after="0" w:line="252" w:lineRule="auto"/>
            </w:pPr>
            <w:r>
              <w:rPr>
                <w:rFonts w:ascii="Calibri" w:hAnsi="Calibri"/>
                <w:b w:val="0"/>
                <w:color w:val="0B2545"/>
                <w:sz w:val="17"/>
              </w:rPr>
              <w:t>Rolling-year search, incremental patients, standard/complex duration, patient windows, provider preference, ranked options</w:t>
            </w:r>
          </w:p>
        </w:tc>
        <w:tc>
          <w:tcPr>
            <w:tcW w:type="dxa" w:w="2710"/>
            <w:tcMar>
              <w:top w:w="80" w:type="dxa"/>
              <w:start w:w="120" w:type="dxa"/>
              <w:bottom w:w="80" w:type="dxa"/>
              <w:end w:w="120" w:type="dxa"/>
            </w:tcMar>
            <w:vAlign w:val="center"/>
          </w:tcPr>
          <w:p>
            <w:pPr>
              <w:spacing w:after="0" w:line="252" w:lineRule="auto"/>
            </w:pPr>
            <w:r>
              <w:rPr>
                <w:rFonts w:ascii="Calibri" w:hAnsi="Calibri"/>
                <w:b w:val="0"/>
                <w:color w:val="0B2545"/>
                <w:sz w:val="17"/>
              </w:rPr>
              <w:t>Live workflow and annual simulation passed</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Clinical resources</w:t>
            </w:r>
          </w:p>
        </w:tc>
        <w:tc>
          <w:tcPr>
            <w:tcW w:type="dxa" w:w="5000"/>
            <w:tcMar>
              <w:top w:w="80" w:type="dxa"/>
              <w:start w:w="120" w:type="dxa"/>
              <w:bottom w:w="80" w:type="dxa"/>
              <w:end w:w="120" w:type="dxa"/>
            </w:tcMar>
            <w:vAlign w:val="center"/>
          </w:tcPr>
          <w:p>
            <w:pPr>
              <w:spacing w:after="0" w:line="252" w:lineRule="auto"/>
            </w:pPr>
            <w:r>
              <w:rPr>
                <w:rFonts w:ascii="Calibri" w:hAnsi="Calibri"/>
                <w:b w:val="0"/>
                <w:color w:val="0B2545"/>
                <w:sz w:val="17"/>
              </w:rPr>
              <w:t>Ordered dentist/hygienist/assistant/room phases, qualifications, leave, rota/cover, closures, buffers, supervision limits</w:t>
            </w:r>
          </w:p>
        </w:tc>
        <w:tc>
          <w:tcPr>
            <w:tcW w:type="dxa" w:w="2710"/>
            <w:tcMar>
              <w:top w:w="80" w:type="dxa"/>
              <w:start w:w="120" w:type="dxa"/>
              <w:bottom w:w="80" w:type="dxa"/>
              <w:end w:w="120" w:type="dxa"/>
            </w:tcMar>
            <w:vAlign w:val="center"/>
          </w:tcPr>
          <w:p>
            <w:pPr>
              <w:spacing w:after="0" w:line="252" w:lineRule="auto"/>
            </w:pPr>
            <w:r>
              <w:rPr>
                <w:rFonts w:ascii="Calibri" w:hAnsi="Calibri"/>
                <w:b w:val="0"/>
                <w:color w:val="0B2545"/>
                <w:sz w:val="17"/>
              </w:rPr>
              <w:t>Optimizer and database invariants passed</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Rooms/equipment</w:t>
            </w:r>
          </w:p>
        </w:tc>
        <w:tc>
          <w:tcPr>
            <w:tcW w:type="dxa" w:w="5000"/>
            <w:tcMar>
              <w:top w:w="80" w:type="dxa"/>
              <w:start w:w="120" w:type="dxa"/>
              <w:bottom w:w="80" w:type="dxa"/>
              <w:end w:w="120" w:type="dxa"/>
            </w:tcMar>
            <w:vAlign w:val="center"/>
          </w:tcPr>
          <w:p>
            <w:pPr>
              <w:spacing w:after="0" w:line="252" w:lineRule="auto"/>
            </w:pPr>
            <w:r>
              <w:rPr>
                <w:rFonts w:ascii="Calibri" w:hAnsi="Calibri"/>
                <w:b w:val="0"/>
                <w:color w:val="0B2545"/>
                <w:sz w:val="17"/>
              </w:rPr>
              <w:t>Room eligibility, turnover, equipment quantity and numbered-unit reservations</w:t>
            </w:r>
          </w:p>
        </w:tc>
        <w:tc>
          <w:tcPr>
            <w:tcW w:type="dxa" w:w="2710"/>
            <w:tcMar>
              <w:top w:w="80" w:type="dxa"/>
              <w:start w:w="120" w:type="dxa"/>
              <w:bottom w:w="80" w:type="dxa"/>
              <w:end w:w="120" w:type="dxa"/>
            </w:tcMar>
            <w:vAlign w:val="center"/>
          </w:tcPr>
          <w:p>
            <w:pPr>
              <w:spacing w:after="0" w:line="252" w:lineRule="auto"/>
            </w:pPr>
            <w:r>
              <w:rPr>
                <w:rFonts w:ascii="Calibri" w:hAnsi="Calibri"/>
                <w:b w:val="0"/>
                <w:color w:val="0B2545"/>
                <w:sz w:val="17"/>
              </w:rPr>
              <w:t>Conflict and capacity tests passed</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Locked appointments</w:t>
            </w:r>
          </w:p>
        </w:tc>
        <w:tc>
          <w:tcPr>
            <w:tcW w:type="dxa" w:w="5000"/>
            <w:tcMar>
              <w:top w:w="80" w:type="dxa"/>
              <w:start w:w="120" w:type="dxa"/>
              <w:bottom w:w="80" w:type="dxa"/>
              <w:end w:w="120" w:type="dxa"/>
            </w:tcMar>
            <w:vAlign w:val="center"/>
          </w:tcPr>
          <w:p>
            <w:pPr>
              <w:spacing w:after="0" w:line="252" w:lineRule="auto"/>
            </w:pPr>
            <w:r>
              <w:rPr>
                <w:rFonts w:ascii="Calibri" w:hAnsi="Calibri"/>
                <w:b w:val="0"/>
                <w:color w:val="0B2545"/>
                <w:sz w:val="17"/>
              </w:rPr>
              <w:t>Protected preview, exact replacement, reason, acknowledgement, two-minute permission, single-use commit</w:t>
            </w:r>
          </w:p>
        </w:tc>
        <w:tc>
          <w:tcPr>
            <w:tcW w:type="dxa" w:w="2710"/>
            <w:tcMar>
              <w:top w:w="80" w:type="dxa"/>
              <w:start w:w="120" w:type="dxa"/>
              <w:bottom w:w="80" w:type="dxa"/>
              <w:end w:w="120" w:type="dxa"/>
            </w:tcMar>
            <w:vAlign w:val="center"/>
          </w:tcPr>
          <w:p>
            <w:pPr>
              <w:spacing w:after="0" w:line="252" w:lineRule="auto"/>
            </w:pPr>
            <w:r>
              <w:rPr>
                <w:rFonts w:ascii="Calibri" w:hAnsi="Calibri"/>
                <w:b w:val="0"/>
                <w:color w:val="0B2545"/>
                <w:sz w:val="17"/>
              </w:rPr>
              <w:t>Unauthorized and concurrent-change cases rejected</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Operational flow</w:t>
            </w:r>
          </w:p>
        </w:tc>
        <w:tc>
          <w:tcPr>
            <w:tcW w:type="dxa" w:w="5000"/>
            <w:tcMar>
              <w:top w:w="80" w:type="dxa"/>
              <w:start w:w="120" w:type="dxa"/>
              <w:bottom w:w="80" w:type="dxa"/>
              <w:end w:w="120" w:type="dxa"/>
            </w:tcMar>
            <w:vAlign w:val="center"/>
          </w:tcPr>
          <w:p>
            <w:pPr>
              <w:spacing w:after="0" w:line="252" w:lineRule="auto"/>
            </w:pPr>
            <w:r>
              <w:rPr>
                <w:rFonts w:ascii="Calibri" w:hAnsi="Calibri"/>
                <w:b w:val="0"/>
                <w:color w:val="0B2545"/>
                <w:sz w:val="17"/>
              </w:rPr>
              <w:t>Today board, walk-ins, check-in, seating, completion, cancellation, no-show, capacity release</w:t>
            </w:r>
          </w:p>
        </w:tc>
        <w:tc>
          <w:tcPr>
            <w:tcW w:type="dxa" w:w="2710"/>
            <w:tcMar>
              <w:top w:w="80" w:type="dxa"/>
              <w:start w:w="120" w:type="dxa"/>
              <w:bottom w:w="80" w:type="dxa"/>
              <w:end w:w="120" w:type="dxa"/>
            </w:tcMar>
            <w:vAlign w:val="center"/>
          </w:tcPr>
          <w:p>
            <w:pPr>
              <w:spacing w:after="0" w:line="252" w:lineRule="auto"/>
            </w:pPr>
            <w:r>
              <w:rPr>
                <w:rFonts w:ascii="Calibri" w:hAnsi="Calibri"/>
                <w:b w:val="0"/>
                <w:color w:val="0B2545"/>
                <w:sz w:val="17"/>
              </w:rPr>
              <w:t>Authenticated end-to-end workflow passed</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Recovery/follow-up</w:t>
            </w:r>
          </w:p>
        </w:tc>
        <w:tc>
          <w:tcPr>
            <w:tcW w:type="dxa" w:w="5000"/>
            <w:tcMar>
              <w:top w:w="80" w:type="dxa"/>
              <w:start w:w="120" w:type="dxa"/>
              <w:bottom w:w="80" w:type="dxa"/>
              <w:end w:w="120" w:type="dxa"/>
            </w:tcMar>
            <w:vAlign w:val="center"/>
          </w:tcPr>
          <w:p>
            <w:pPr>
              <w:spacing w:after="0" w:line="252" w:lineRule="auto"/>
            </w:pPr>
            <w:r>
              <w:rPr>
                <w:rFonts w:ascii="Calibri" w:hAnsi="Calibri"/>
                <w:b w:val="0"/>
                <w:color w:val="0B2545"/>
                <w:sz w:val="17"/>
              </w:rPr>
              <w:t>ASAP waitlist, contact outcomes, incentives, cancellation matching, linked lab-return windows</w:t>
            </w:r>
          </w:p>
        </w:tc>
        <w:tc>
          <w:tcPr>
            <w:tcW w:type="dxa" w:w="2710"/>
            <w:tcMar>
              <w:top w:w="80" w:type="dxa"/>
              <w:start w:w="120" w:type="dxa"/>
              <w:bottom w:w="80" w:type="dxa"/>
              <w:end w:w="120" w:type="dxa"/>
            </w:tcMar>
            <w:vAlign w:val="center"/>
          </w:tcPr>
          <w:p>
            <w:pPr>
              <w:spacing w:after="0" w:line="252" w:lineRule="auto"/>
            </w:pPr>
            <w:r>
              <w:rPr>
                <w:rFonts w:ascii="Calibri" w:hAnsi="Calibri"/>
                <w:b w:val="0"/>
                <w:color w:val="0B2545"/>
                <w:sz w:val="17"/>
              </w:rPr>
              <w:t>Workflow tests and defect regression passed</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Administration</w:t>
            </w:r>
          </w:p>
        </w:tc>
        <w:tc>
          <w:tcPr>
            <w:tcW w:type="dxa" w:w="5000"/>
            <w:tcMar>
              <w:top w:w="80" w:type="dxa"/>
              <w:start w:w="120" w:type="dxa"/>
              <w:bottom w:w="80" w:type="dxa"/>
              <w:end w:w="120" w:type="dxa"/>
            </w:tcMar>
            <w:vAlign w:val="center"/>
          </w:tcPr>
          <w:p>
            <w:pPr>
              <w:spacing w:after="0" w:line="252" w:lineRule="auto"/>
            </w:pPr>
            <w:r>
              <w:rPr>
                <w:rFonts w:ascii="Calibri" w:hAnsi="Calibri"/>
                <w:b w:val="0"/>
                <w:color w:val="0B2545"/>
                <w:sz w:val="17"/>
              </w:rPr>
              <w:t>Unique users/roles, providers, rooms, equipment, shifts, leave, procedure phases, preferences, targets, closures</w:t>
            </w:r>
          </w:p>
        </w:tc>
        <w:tc>
          <w:tcPr>
            <w:tcW w:type="dxa" w:w="2710"/>
            <w:tcMar>
              <w:top w:w="80" w:type="dxa"/>
              <w:start w:w="120" w:type="dxa"/>
              <w:bottom w:w="80" w:type="dxa"/>
              <w:end w:w="120" w:type="dxa"/>
            </w:tcMar>
            <w:vAlign w:val="center"/>
          </w:tcPr>
          <w:p>
            <w:pPr>
              <w:spacing w:after="0" w:line="252" w:lineRule="auto"/>
            </w:pPr>
            <w:r>
              <w:rPr>
                <w:rFonts w:ascii="Calibri" w:hAnsi="Calibri"/>
                <w:b w:val="0"/>
                <w:color w:val="0B2545"/>
                <w:sz w:val="17"/>
              </w:rPr>
              <w:t>Configuration and authorization tests passed</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Analytics</w:t>
            </w:r>
          </w:p>
        </w:tc>
        <w:tc>
          <w:tcPr>
            <w:tcW w:type="dxa" w:w="5000"/>
            <w:tcMar>
              <w:top w:w="80" w:type="dxa"/>
              <w:start w:w="120" w:type="dxa"/>
              <w:bottom w:w="80" w:type="dxa"/>
              <w:end w:w="120" w:type="dxa"/>
            </w:tcMar>
            <w:vAlign w:val="center"/>
          </w:tcPr>
          <w:p>
            <w:pPr>
              <w:spacing w:after="0" w:line="252" w:lineRule="auto"/>
            </w:pPr>
            <w:r>
              <w:rPr>
                <w:rFonts w:ascii="Calibri" w:hAnsi="Calibri"/>
                <w:b w:val="0"/>
                <w:color w:val="0B2545"/>
                <w:sz w:val="17"/>
              </w:rPr>
              <w:t>Utilization, attendance, wait, booking lead time, production, provider workload/revenue per booked hour</w:t>
            </w:r>
          </w:p>
        </w:tc>
        <w:tc>
          <w:tcPr>
            <w:tcW w:type="dxa" w:w="2710"/>
            <w:tcMar>
              <w:top w:w="80" w:type="dxa"/>
              <w:start w:w="120" w:type="dxa"/>
              <w:bottom w:w="80" w:type="dxa"/>
              <w:end w:w="120" w:type="dxa"/>
            </w:tcMar>
            <w:vAlign w:val="center"/>
          </w:tcPr>
          <w:p>
            <w:pPr>
              <w:spacing w:after="0" w:line="252" w:lineRule="auto"/>
            </w:pPr>
            <w:r>
              <w:rPr>
                <w:rFonts w:ascii="Calibri" w:hAnsi="Calibri"/>
                <w:b w:val="0"/>
                <w:color w:val="0B2545"/>
                <w:sz w:val="17"/>
              </w:rPr>
              <w:t>Local analytics workflow passed</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Calibration</w:t>
            </w:r>
          </w:p>
        </w:tc>
        <w:tc>
          <w:tcPr>
            <w:tcW w:type="dxa" w:w="5000"/>
            <w:tcMar>
              <w:top w:w="80" w:type="dxa"/>
              <w:start w:w="120" w:type="dxa"/>
              <w:bottom w:w="80" w:type="dxa"/>
              <w:end w:w="120" w:type="dxa"/>
            </w:tcMar>
            <w:vAlign w:val="center"/>
          </w:tcPr>
          <w:p>
            <w:pPr>
              <w:spacing w:after="0" w:line="252" w:lineRule="auto"/>
            </w:pPr>
            <w:r>
              <w:rPr>
                <w:rFonts w:ascii="Calibri" w:hAnsi="Calibri"/>
                <w:b w:val="0"/>
                <w:color w:val="0B2545"/>
                <w:sz w:val="17"/>
              </w:rPr>
              <w:t>Zero-data defaults, native de-identified observations, optional restricted import, thresholded median/p90 proposal, approval/audit</w:t>
            </w:r>
          </w:p>
        </w:tc>
        <w:tc>
          <w:tcPr>
            <w:tcW w:type="dxa" w:w="2710"/>
            <w:tcMar>
              <w:top w:w="80" w:type="dxa"/>
              <w:start w:w="120" w:type="dxa"/>
              <w:bottom w:w="80" w:type="dxa"/>
              <w:end w:w="120" w:type="dxa"/>
            </w:tcMar>
            <w:vAlign w:val="center"/>
          </w:tcPr>
          <w:p>
            <w:pPr>
              <w:spacing w:after="0" w:line="252" w:lineRule="auto"/>
            </w:pPr>
            <w:r>
              <w:rPr>
                <w:rFonts w:ascii="Calibri" w:hAnsi="Calibri"/>
                <w:b w:val="0"/>
                <w:color w:val="0B2545"/>
                <w:sz w:val="17"/>
              </w:rPr>
              <w:t>Clean-install and threshold workflows passed</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Offline lifecycle</w:t>
            </w:r>
          </w:p>
        </w:tc>
        <w:tc>
          <w:tcPr>
            <w:tcW w:type="dxa" w:w="5000"/>
            <w:tcMar>
              <w:top w:w="80" w:type="dxa"/>
              <w:start w:w="120" w:type="dxa"/>
              <w:bottom w:w="80" w:type="dxa"/>
              <w:end w:w="120" w:type="dxa"/>
            </w:tcMar>
            <w:vAlign w:val="center"/>
          </w:tcPr>
          <w:p>
            <w:pPr>
              <w:spacing w:after="0" w:line="252" w:lineRule="auto"/>
            </w:pPr>
            <w:r>
              <w:rPr>
                <w:rFonts w:ascii="Calibri" w:hAnsi="Calibri"/>
                <w:b w:val="0"/>
                <w:color w:val="0B2545"/>
                <w:sz w:val="17"/>
              </w:rPr>
              <w:t>Rules-only core; optional AI pack; first-run setup; manifest/architecture checks; safe lifecycle, migrations, and launchers</w:t>
            </w:r>
          </w:p>
        </w:tc>
        <w:tc>
          <w:tcPr>
            <w:tcW w:type="dxa" w:w="2710"/>
            <w:tcMar>
              <w:top w:w="80" w:type="dxa"/>
              <w:start w:w="120" w:type="dxa"/>
              <w:bottom w:w="80" w:type="dxa"/>
              <w:end w:w="120" w:type="dxa"/>
            </w:tcMar>
            <w:vAlign w:val="center"/>
          </w:tcPr>
          <w:p>
            <w:pPr>
              <w:spacing w:after="0" w:line="252" w:lineRule="auto"/>
            </w:pPr>
            <w:r>
              <w:rPr>
                <w:rFonts w:ascii="Calibri" w:hAnsi="Calibri"/>
                <w:b w:val="0"/>
                <w:color w:val="0B2545"/>
                <w:sz w:val="17"/>
              </w:rPr>
              <w:t>Both profiles, lifecycle, launcher, and health checks passed</w:t>
            </w:r>
          </w:p>
        </w:tc>
      </w:tr>
    </w:tbl>
    <w:p>
      <w:pPr>
        <w:spacing w:after="80"/>
      </w:pPr>
    </w:p>
    <w:p>
      <w:pPr>
        <w:pStyle w:val="Heading1"/>
        <w:keepNext/>
      </w:pPr>
      <w:r>
        <w:rPr>
          <w:rFonts w:ascii="Calibri" w:hAnsi="Calibri"/>
          <w:b/>
          <w:color w:val="2E74B5"/>
        </w:rPr>
        <w:t>5. Data Use and Refinement</w:t>
      </w:r>
    </w:p>
    <w:p>
      <w:pPr>
        <w:pStyle w:val="Heading2"/>
        <w:keepNext/>
      </w:pPr>
      <w:r>
        <w:rPr>
          <w:rFonts w:ascii="Calibri" w:hAnsi="Calibri"/>
          <w:b/>
          <w:color w:val="2E74B5"/>
        </w:rPr>
        <w:t>5.1 Required Versus Optional Data</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1700"/>
        <w:gridCol w:w="3000"/>
        <w:gridCol w:w="2480"/>
        <w:gridCol w:w="2180"/>
      </w:tblGrid>
      <w:tr>
        <w:trPr>
          <w:tblHeader w:val="true"/>
          <w:cantSplit w:val="true"/>
        </w:trPr>
        <w:tc>
          <w:tcPr>
            <w:tcW w:type="dxa" w:w="1700"/>
            <w:shd w:fill="F2F4F7"/>
            <w:tcMar>
              <w:top w:w="80" w:type="dxa"/>
              <w:start w:w="120" w:type="dxa"/>
              <w:bottom w:w="80" w:type="dxa"/>
              <w:end w:w="120" w:type="dxa"/>
            </w:tcMar>
            <w:vAlign w:val="center"/>
          </w:tcPr>
          <w:p>
            <w:pPr>
              <w:spacing w:after="0"/>
              <w:jc w:val="center"/>
            </w:pPr>
            <w:r>
              <w:rPr>
                <w:rFonts w:ascii="Calibri" w:hAnsi="Calibri"/>
                <w:b/>
                <w:color w:val="0B2545"/>
                <w:sz w:val="18"/>
              </w:rPr>
              <w:t>Data group</w:t>
            </w:r>
          </w:p>
        </w:tc>
        <w:tc>
          <w:tcPr>
            <w:tcW w:type="dxa" w:w="3000"/>
            <w:shd w:fill="F2F4F7"/>
            <w:tcMar>
              <w:top w:w="80" w:type="dxa"/>
              <w:start w:w="120" w:type="dxa"/>
              <w:bottom w:w="80" w:type="dxa"/>
              <w:end w:w="120" w:type="dxa"/>
            </w:tcMar>
            <w:vAlign w:val="center"/>
          </w:tcPr>
          <w:p>
            <w:pPr>
              <w:spacing w:after="0"/>
              <w:jc w:val="center"/>
            </w:pPr>
            <w:r>
              <w:rPr>
                <w:rFonts w:ascii="Calibri" w:hAnsi="Calibri"/>
                <w:b/>
                <w:color w:val="0B2545"/>
                <w:sz w:val="18"/>
              </w:rPr>
              <w:t>Use</w:t>
            </w:r>
          </w:p>
        </w:tc>
        <w:tc>
          <w:tcPr>
            <w:tcW w:type="dxa" w:w="2480"/>
            <w:shd w:fill="F2F4F7"/>
            <w:tcMar>
              <w:top w:w="80" w:type="dxa"/>
              <w:start w:w="120" w:type="dxa"/>
              <w:bottom w:w="80" w:type="dxa"/>
              <w:end w:w="120" w:type="dxa"/>
            </w:tcMar>
            <w:vAlign w:val="center"/>
          </w:tcPr>
          <w:p>
            <w:pPr>
              <w:spacing w:after="0"/>
              <w:jc w:val="center"/>
            </w:pPr>
            <w:r>
              <w:rPr>
                <w:rFonts w:ascii="Calibri" w:hAnsi="Calibri"/>
                <w:b/>
                <w:color w:val="0B2545"/>
                <w:sz w:val="18"/>
              </w:rPr>
              <w:t>Required?</w:t>
            </w:r>
          </w:p>
        </w:tc>
        <w:tc>
          <w:tcPr>
            <w:tcW w:type="dxa" w:w="2180"/>
            <w:shd w:fill="F2F4F7"/>
            <w:tcMar>
              <w:top w:w="80" w:type="dxa"/>
              <w:start w:w="120" w:type="dxa"/>
              <w:bottom w:w="80" w:type="dxa"/>
              <w:end w:w="120" w:type="dxa"/>
            </w:tcMar>
            <w:vAlign w:val="center"/>
          </w:tcPr>
          <w:p>
            <w:pPr>
              <w:spacing w:after="0"/>
              <w:jc w:val="center"/>
            </w:pPr>
            <w:r>
              <w:rPr>
                <w:rFonts w:ascii="Calibri" w:hAnsi="Calibri"/>
                <w:b/>
                <w:color w:val="0B2545"/>
                <w:sz w:val="18"/>
              </w:rPr>
              <w:t>Protection</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Validated practice configuration</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B2545"/>
                <w:sz w:val="17"/>
              </w:rPr>
              <w:t>Defines procedures, capacity, resources, and hard constraints</w:t>
            </w:r>
          </w:p>
        </w:tc>
        <w:tc>
          <w:tcPr>
            <w:tcW w:type="dxa" w:w="2480"/>
            <w:tcMar>
              <w:top w:w="80" w:type="dxa"/>
              <w:start w:w="120" w:type="dxa"/>
              <w:bottom w:w="80" w:type="dxa"/>
              <w:end w:w="120" w:type="dxa"/>
            </w:tcMar>
            <w:vAlign w:val="center"/>
          </w:tcPr>
          <w:p>
            <w:pPr>
              <w:spacing w:after="0" w:line="252" w:lineRule="auto"/>
            </w:pPr>
            <w:r>
              <w:rPr>
                <w:rFonts w:ascii="Calibri" w:hAnsi="Calibri"/>
                <w:b w:val="0"/>
                <w:color w:val="0B2545"/>
                <w:sz w:val="17"/>
              </w:rPr>
              <w:t>Reference defaults exist; practice validation is required before real-patient use</w:t>
            </w:r>
          </w:p>
        </w:tc>
        <w:tc>
          <w:tcPr>
            <w:tcW w:type="dxa" w:w="2180"/>
            <w:tcMar>
              <w:top w:w="80" w:type="dxa"/>
              <w:start w:w="120" w:type="dxa"/>
              <w:bottom w:w="80" w:type="dxa"/>
              <w:end w:w="120" w:type="dxa"/>
            </w:tcMar>
            <w:vAlign w:val="center"/>
          </w:tcPr>
          <w:p>
            <w:pPr>
              <w:spacing w:after="0" w:line="252" w:lineRule="auto"/>
            </w:pPr>
            <w:r>
              <w:rPr>
                <w:rFonts w:ascii="Calibri" w:hAnsi="Calibri"/>
                <w:b w:val="0"/>
                <w:color w:val="0B2545"/>
                <w:sz w:val="17"/>
              </w:rPr>
              <w:t>Versioned, approved, auditable</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Current request</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B2545"/>
                <w:sz w:val="17"/>
              </w:rPr>
              <w:t>Constrains the individual search</w:t>
            </w:r>
          </w:p>
        </w:tc>
        <w:tc>
          <w:tcPr>
            <w:tcW w:type="dxa" w:w="2480"/>
            <w:tcMar>
              <w:top w:w="80" w:type="dxa"/>
              <w:start w:w="120" w:type="dxa"/>
              <w:bottom w:w="80" w:type="dxa"/>
              <w:end w:w="120" w:type="dxa"/>
            </w:tcMar>
            <w:vAlign w:val="center"/>
          </w:tcPr>
          <w:p>
            <w:pPr>
              <w:spacing w:after="0" w:line="252" w:lineRule="auto"/>
            </w:pPr>
            <w:r>
              <w:rPr>
                <w:rFonts w:ascii="Calibri" w:hAnsi="Calibri"/>
                <w:b w:val="0"/>
                <w:color w:val="0B2545"/>
                <w:sz w:val="17"/>
              </w:rPr>
              <w:t>Yes for the workflow</w:t>
            </w:r>
          </w:p>
        </w:tc>
        <w:tc>
          <w:tcPr>
            <w:tcW w:type="dxa" w:w="2180"/>
            <w:tcMar>
              <w:top w:w="80" w:type="dxa"/>
              <w:start w:w="120" w:type="dxa"/>
              <w:bottom w:w="80" w:type="dxa"/>
              <w:end w:w="120" w:type="dxa"/>
            </w:tcMar>
            <w:vAlign w:val="center"/>
          </w:tcPr>
          <w:p>
            <w:pPr>
              <w:spacing w:after="0" w:line="252" w:lineRule="auto"/>
            </w:pPr>
            <w:r>
              <w:rPr>
                <w:rFonts w:ascii="Calibri" w:hAnsi="Calibri"/>
                <w:b w:val="0"/>
                <w:color w:val="0B2545"/>
                <w:sz w:val="17"/>
              </w:rPr>
              <w:t>Minimum necessary scheduling context</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Current calendar/resources</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B2545"/>
                <w:sz w:val="17"/>
              </w:rPr>
              <w:t>Prevents conflicts and protects existing commitments</w:t>
            </w:r>
          </w:p>
        </w:tc>
        <w:tc>
          <w:tcPr>
            <w:tcW w:type="dxa" w:w="2480"/>
            <w:tcMar>
              <w:top w:w="80" w:type="dxa"/>
              <w:start w:w="120" w:type="dxa"/>
              <w:bottom w:w="80" w:type="dxa"/>
              <w:end w:w="120" w:type="dxa"/>
            </w:tcMar>
            <w:vAlign w:val="center"/>
          </w:tcPr>
          <w:p>
            <w:pPr>
              <w:spacing w:after="0" w:line="252" w:lineRule="auto"/>
            </w:pPr>
            <w:r>
              <w:rPr>
                <w:rFonts w:ascii="Calibri" w:hAnsi="Calibri"/>
                <w:b w:val="0"/>
                <w:color w:val="0B2545"/>
                <w:sz w:val="17"/>
              </w:rPr>
              <w:t>Maintained by normal use</w:t>
            </w:r>
          </w:p>
        </w:tc>
        <w:tc>
          <w:tcPr>
            <w:tcW w:type="dxa" w:w="2180"/>
            <w:tcMar>
              <w:top w:w="80" w:type="dxa"/>
              <w:start w:w="120" w:type="dxa"/>
              <w:bottom w:w="80" w:type="dxa"/>
              <w:end w:w="120" w:type="dxa"/>
            </w:tcMar>
            <w:vAlign w:val="center"/>
          </w:tcPr>
          <w:p>
            <w:pPr>
              <w:spacing w:after="0" w:line="252" w:lineRule="auto"/>
            </w:pPr>
            <w:r>
              <w:rPr>
                <w:rFonts w:ascii="Calibri" w:hAnsi="Calibri"/>
                <w:b w:val="0"/>
                <w:color w:val="0B2545"/>
                <w:sz w:val="17"/>
              </w:rPr>
              <w:t>Confirmed visits remain locked</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Local intake text</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B2545"/>
                <w:sz w:val="17"/>
              </w:rPr>
              <w:t>Rules may normalize it; an enabled local model may add allowlisted tags</w:t>
            </w:r>
          </w:p>
        </w:tc>
        <w:tc>
          <w:tcPr>
            <w:tcW w:type="dxa" w:w="2480"/>
            <w:tcMar>
              <w:top w:w="80" w:type="dxa"/>
              <w:start w:w="120" w:type="dxa"/>
              <w:bottom w:w="80" w:type="dxa"/>
              <w:end w:w="120" w:type="dxa"/>
            </w:tcMar>
            <w:vAlign w:val="center"/>
          </w:tcPr>
          <w:p>
            <w:pPr>
              <w:spacing w:after="0" w:line="252" w:lineRule="auto"/>
            </w:pPr>
            <w:r>
              <w:rPr>
                <w:rFonts w:ascii="Calibri" w:hAnsi="Calibri"/>
                <w:b w:val="0"/>
                <w:color w:val="0B2545"/>
                <w:sz w:val="17"/>
              </w:rPr>
              <w:t>Optional when structured fields are used</w:t>
            </w:r>
          </w:p>
        </w:tc>
        <w:tc>
          <w:tcPr>
            <w:tcW w:type="dxa" w:w="2180"/>
            <w:tcMar>
              <w:top w:w="80" w:type="dxa"/>
              <w:start w:w="120" w:type="dxa"/>
              <w:bottom w:w="80" w:type="dxa"/>
              <w:end w:w="120" w:type="dxa"/>
            </w:tcMar>
            <w:vAlign w:val="center"/>
          </w:tcPr>
          <w:p>
            <w:pPr>
              <w:spacing w:after="0" w:line="252" w:lineRule="auto"/>
            </w:pPr>
            <w:r>
              <w:rPr>
                <w:rFonts w:ascii="Calibri" w:hAnsi="Calibri"/>
                <w:b w:val="0"/>
                <w:color w:val="0B2545"/>
                <w:sz w:val="17"/>
              </w:rPr>
              <w:t>Local only; no raw-text logging or training</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Operational lifecycle</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B2545"/>
                <w:sz w:val="17"/>
              </w:rPr>
              <w:t>Supports workflow state, audit, and descriptive analytics</w:t>
            </w:r>
          </w:p>
        </w:tc>
        <w:tc>
          <w:tcPr>
            <w:tcW w:type="dxa" w:w="2480"/>
            <w:tcMar>
              <w:top w:w="80" w:type="dxa"/>
              <w:start w:w="120" w:type="dxa"/>
              <w:bottom w:w="80" w:type="dxa"/>
              <w:end w:w="120" w:type="dxa"/>
            </w:tcMar>
            <w:vAlign w:val="center"/>
          </w:tcPr>
          <w:p>
            <w:pPr>
              <w:spacing w:after="0" w:line="252" w:lineRule="auto"/>
            </w:pPr>
            <w:r>
              <w:rPr>
                <w:rFonts w:ascii="Calibri" w:hAnsi="Calibri"/>
                <w:b w:val="0"/>
                <w:color w:val="0B2545"/>
                <w:sz w:val="17"/>
              </w:rPr>
              <w:t>Accumulates during use</w:t>
            </w:r>
          </w:p>
        </w:tc>
        <w:tc>
          <w:tcPr>
            <w:tcW w:type="dxa" w:w="2180"/>
            <w:tcMar>
              <w:top w:w="80" w:type="dxa"/>
              <w:start w:w="120" w:type="dxa"/>
              <w:bottom w:w="80" w:type="dxa"/>
              <w:end w:w="120" w:type="dxa"/>
            </w:tcMar>
            <w:vAlign w:val="center"/>
          </w:tcPr>
          <w:p>
            <w:pPr>
              <w:spacing w:after="0" w:line="252" w:lineRule="auto"/>
            </w:pPr>
            <w:r>
              <w:rPr>
                <w:rFonts w:ascii="Calibri" w:hAnsi="Calibri"/>
                <w:b w:val="0"/>
                <w:color w:val="0B2545"/>
                <w:sz w:val="17"/>
              </w:rPr>
              <w:t>Local access controls and approved retention</w:t>
            </w:r>
          </w:p>
        </w:tc>
      </w:tr>
      <w:tr>
        <w:trPr>
          <w:cantSplit w:val="true"/>
        </w:trPr>
        <w:tc>
          <w:tcPr>
            <w:tcW w:type="dxa" w:w="1700"/>
            <w:tcMar>
              <w:top w:w="80" w:type="dxa"/>
              <w:start w:w="120" w:type="dxa"/>
              <w:bottom w:w="80" w:type="dxa"/>
              <w:end w:w="120" w:type="dxa"/>
            </w:tcMar>
            <w:vAlign w:val="center"/>
          </w:tcPr>
          <w:p>
            <w:pPr>
              <w:spacing w:after="0" w:line="252" w:lineRule="auto"/>
            </w:pPr>
            <w:r>
              <w:rPr>
                <w:rFonts w:ascii="Calibri" w:hAnsi="Calibri"/>
                <w:b w:val="0"/>
                <w:color w:val="0B2545"/>
                <w:sz w:val="17"/>
              </w:rPr>
              <w:t>Historical duration evidence</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B2545"/>
                <w:sz w:val="17"/>
              </w:rPr>
              <w:t>May refine future standard/complex duration proposals</w:t>
            </w:r>
          </w:p>
        </w:tc>
        <w:tc>
          <w:tcPr>
            <w:tcW w:type="dxa" w:w="2480"/>
            <w:tcMar>
              <w:top w:w="80" w:type="dxa"/>
              <w:start w:w="120" w:type="dxa"/>
              <w:bottom w:w="80" w:type="dxa"/>
              <w:end w:w="120" w:type="dxa"/>
            </w:tcMar>
            <w:vAlign w:val="center"/>
          </w:tcPr>
          <w:p>
            <w:pPr>
              <w:spacing w:after="0" w:line="252" w:lineRule="auto"/>
            </w:pPr>
            <w:r>
              <w:rPr>
                <w:rFonts w:ascii="Calibri" w:hAnsi="Calibri"/>
                <w:b w:val="0"/>
                <w:color w:val="0B2545"/>
                <w:sz w:val="17"/>
              </w:rPr>
              <w:t>No</w:t>
            </w:r>
          </w:p>
        </w:tc>
        <w:tc>
          <w:tcPr>
            <w:tcW w:type="dxa" w:w="2180"/>
            <w:tcMar>
              <w:top w:w="80" w:type="dxa"/>
              <w:start w:w="120" w:type="dxa"/>
              <w:bottom w:w="80" w:type="dxa"/>
              <w:end w:w="120" w:type="dxa"/>
            </w:tcMar>
            <w:vAlign w:val="center"/>
          </w:tcPr>
          <w:p>
            <w:pPr>
              <w:spacing w:after="0" w:line="252" w:lineRule="auto"/>
            </w:pPr>
            <w:r>
              <w:rPr>
                <w:rFonts w:ascii="Calibri" w:hAnsi="Calibri"/>
                <w:b w:val="0"/>
                <w:color w:val="0B2545"/>
                <w:sz w:val="17"/>
              </w:rPr>
              <w:t>De-identified; no patient identifier or appointment link</w:t>
            </w:r>
          </w:p>
        </w:tc>
      </w:tr>
    </w:tbl>
    <w:p>
      <w:pPr>
        <w:spacing w:after="80"/>
      </w:pPr>
    </w:p>
    <w:p>
      <w:pPr>
        <w:pStyle w:val="Heading2"/>
        <w:keepNext/>
      </w:pPr>
      <w:r>
        <w:rPr>
          <w:rFonts w:ascii="Calibri" w:hAnsi="Calibri"/>
          <w:b/>
          <w:color w:val="2E74B5"/>
        </w:rPr>
        <w:t>5.2 Optional Duration Refinement</w:t>
      </w:r>
    </w:p>
    <w:p>
      <w:pPr>
        <w:numPr>
          <w:ilvl w:val="0"/>
          <w:numId w:val="11"/>
        </w:numPr>
        <w:spacing w:after="160" w:line="280" w:lineRule="auto"/>
        <w:ind w:left="720" w:hanging="360"/>
      </w:pPr>
      <w:r>
        <w:rPr>
          <w:rFonts w:ascii="Calibri" w:hAnsi="Calibri"/>
          <w:b/>
          <w:color w:val="1F4D78"/>
        </w:rPr>
        <w:t xml:space="preserve">Start. </w:t>
      </w:r>
      <w:r>
        <w:rPr>
          <w:rFonts w:ascii="Calibri" w:hAnsi="Calibri"/>
          <w:color w:val="0B2545"/>
        </w:rPr>
        <w:t>Use versioned standard and complex reference durations immediately; historical data is not a startup dependency.</w:t>
      </w:r>
    </w:p>
    <w:p>
      <w:pPr>
        <w:numPr>
          <w:ilvl w:val="0"/>
          <w:numId w:val="11"/>
        </w:numPr>
        <w:spacing w:after="160" w:line="280" w:lineRule="auto"/>
        <w:ind w:left="720" w:hanging="360"/>
      </w:pPr>
      <w:r>
        <w:rPr>
          <w:rFonts w:ascii="Calibri" w:hAnsi="Calibri"/>
          <w:b/>
          <w:color w:val="1F4D78"/>
        </w:rPr>
        <w:t xml:space="preserve">Observe. </w:t>
      </w:r>
      <w:r>
        <w:rPr>
          <w:rFonts w:ascii="Calibri" w:hAnsi="Calibri"/>
          <w:color w:val="0B2545"/>
        </w:rPr>
        <w:t>Eligible completed visits may create procedure/provider/date/scheduled/actual/outcome timing evidence without patient identifiers or appointment links.</w:t>
      </w:r>
    </w:p>
    <w:p>
      <w:pPr>
        <w:numPr>
          <w:ilvl w:val="0"/>
          <w:numId w:val="11"/>
        </w:numPr>
        <w:spacing w:after="160" w:line="280" w:lineRule="auto"/>
        <w:ind w:left="720" w:hanging="360"/>
      </w:pPr>
      <w:r>
        <w:rPr>
          <w:rFonts w:ascii="Calibri" w:hAnsi="Calibri"/>
          <w:b/>
          <w:color w:val="1F4D78"/>
        </w:rPr>
        <w:t xml:space="preserve">Import. </w:t>
      </w:r>
      <w:r>
        <w:rPr>
          <w:rFonts w:ascii="Calibri" w:hAnsi="Calibri"/>
          <w:color w:val="0B2545"/>
        </w:rPr>
        <w:t>An approved local CSV may add the same restricted fields; direct identifiers, uncontrolled text, and unexpected columns are rejected.</w:t>
      </w:r>
    </w:p>
    <w:p>
      <w:pPr>
        <w:numPr>
          <w:ilvl w:val="0"/>
          <w:numId w:val="11"/>
        </w:numPr>
        <w:spacing w:after="160" w:line="280" w:lineRule="auto"/>
        <w:ind w:left="720" w:hanging="360"/>
      </w:pPr>
      <w:r>
        <w:rPr>
          <w:rFonts w:ascii="Calibri" w:hAnsi="Calibri"/>
          <w:b/>
          <w:color w:val="1F4D78"/>
        </w:rPr>
        <w:t xml:space="preserve">Threshold. </w:t>
      </w:r>
      <w:r>
        <w:rPr>
          <w:rFonts w:ascii="Calibri" w:hAnsi="Calibri"/>
          <w:color w:val="0B2545"/>
        </w:rPr>
        <w:t>Keep active defaults unchanged until at least 20 eligible observations by default.</w:t>
      </w:r>
    </w:p>
    <w:p>
      <w:pPr>
        <w:numPr>
          <w:ilvl w:val="0"/>
          <w:numId w:val="11"/>
        </w:numPr>
        <w:spacing w:after="160" w:line="280" w:lineRule="auto"/>
        <w:ind w:left="720" w:hanging="360"/>
      </w:pPr>
      <w:r>
        <w:rPr>
          <w:rFonts w:ascii="Calibri" w:hAnsi="Calibri"/>
          <w:b/>
          <w:color w:val="1F4D78"/>
        </w:rPr>
        <w:t xml:space="preserve">Propose. </w:t>
      </w:r>
      <w:r>
        <w:rPr>
          <w:rFonts w:ascii="Calibri" w:hAnsi="Calibri"/>
          <w:color w:val="0B2545"/>
        </w:rPr>
        <w:t>Use deterministic median duration for standard and 90th percentile for complex, rounded to five minutes.</w:t>
      </w:r>
    </w:p>
    <w:p>
      <w:pPr>
        <w:numPr>
          <w:ilvl w:val="0"/>
          <w:numId w:val="11"/>
        </w:numPr>
        <w:spacing w:after="160" w:line="280" w:lineRule="auto"/>
        <w:ind w:left="720" w:hanging="360"/>
      </w:pPr>
      <w:r>
        <w:rPr>
          <w:rFonts w:ascii="Calibri" w:hAnsi="Calibri"/>
          <w:b/>
          <w:color w:val="1F4D78"/>
        </w:rPr>
        <w:t xml:space="preserve">Approve. </w:t>
      </w:r>
      <w:r>
        <w:rPr>
          <w:rFonts w:ascii="Calibri" w:hAnsi="Calibri"/>
          <w:color w:val="0B2545"/>
        </w:rPr>
        <w:t>Stage the proposal with sample evidence; an administrator or clinician records a reason and explicitly approves or rejects it.</w:t>
      </w:r>
    </w:p>
    <w:p>
      <w:pPr>
        <w:numPr>
          <w:ilvl w:val="0"/>
          <w:numId w:val="11"/>
        </w:numPr>
        <w:spacing w:after="160" w:line="280" w:lineRule="auto"/>
        <w:ind w:left="720" w:hanging="360"/>
      </w:pPr>
      <w:r>
        <w:rPr>
          <w:rFonts w:ascii="Calibri" w:hAnsi="Calibri"/>
          <w:b/>
          <w:color w:val="1F4D78"/>
        </w:rPr>
        <w:t xml:space="preserve">Apply. </w:t>
      </w:r>
      <w:r>
        <w:rPr>
          <w:rFonts w:ascii="Calibri" w:hAnsi="Calibri"/>
          <w:color w:val="0B2545"/>
        </w:rPr>
        <w:t>Create a prospective policy version. Existing confirmed appointments never change through calibration.</w:t>
      </w:r>
    </w:p>
    <w:p>
      <w:pPr>
        <w:spacing w:before="80" w:after="200" w:line="264" w:lineRule="auto"/>
        <w:ind w:left="173" w:right="173"/>
        <w:shd w:fill="F4F6F9"/>
        <w:pBdr>
          <w:left w:val="single" w:sz="18" w:space="6" w:color="2E74B5"/>
        </w:pBdr>
      </w:pPr>
      <w:r>
        <w:rPr>
          <w:rFonts w:ascii="Calibri" w:hAnsi="Calibri"/>
          <w:b/>
          <w:color w:val="2E74B5"/>
        </w:rPr>
        <w:t xml:space="preserve">Important distinction: </w:t>
      </w:r>
      <w:r>
        <w:rPr>
          <w:rFonts w:ascii="Calibri" w:hAnsi="Calibri"/>
          <w:color w:val="0B2545"/>
        </w:rPr>
        <w:t>Practice data does not train or fine-tune the optional pretrained intake model. Current refinement is deterministic duration-policy calibration. The core product does not require a model or historical data. Any future model-training project requires separate authorization, data governance, privacy review, validation, artifact provenance, and release acceptance.</w:t>
      </w:r>
    </w:p>
    <w:p>
      <w:pPr>
        <w:pStyle w:val="Heading1"/>
        <w:keepNext/>
      </w:pPr>
      <w:r>
        <w:rPr>
          <w:rFonts w:ascii="Calibri" w:hAnsi="Calibri"/>
          <w:b/>
          <w:color w:val="2E74B5"/>
        </w:rPr>
        <w:t>6. Verification Evidence</w:t>
      </w:r>
    </w:p>
    <w:p>
      <w:pPr>
        <w:spacing w:before="0" w:after="120" w:line="264" w:lineRule="auto"/>
      </w:pPr>
      <w:r>
        <w:rPr>
          <w:rFonts w:ascii="Calibri" w:hAnsi="Calibri"/>
          <w:i w:val="0"/>
          <w:color w:val="0B2545"/>
        </w:rPr>
        <w:t>The following evidence was verified with synthetic data in the local on-premises acceptance environment. It demonstrates software behavior, not clinical configuration approval or HIPAA certification.</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2100"/>
        <w:gridCol w:w="3150"/>
        <w:gridCol w:w="4110"/>
      </w:tblGrid>
      <w:tr>
        <w:trPr>
          <w:tblHeader w:val="true"/>
          <w:cantSplit w:val="true"/>
        </w:trPr>
        <w:tc>
          <w:tcPr>
            <w:tcW w:type="dxa" w:w="2100"/>
            <w:shd w:fill="F2F4F7"/>
            <w:tcMar>
              <w:top w:w="80" w:type="dxa"/>
              <w:start w:w="120" w:type="dxa"/>
              <w:bottom w:w="80" w:type="dxa"/>
              <w:end w:w="120" w:type="dxa"/>
            </w:tcMar>
            <w:vAlign w:val="center"/>
          </w:tcPr>
          <w:p>
            <w:pPr>
              <w:spacing w:after="0"/>
              <w:jc w:val="center"/>
            </w:pPr>
            <w:r>
              <w:rPr>
                <w:rFonts w:ascii="Calibri" w:hAnsi="Calibri"/>
                <w:b/>
                <w:color w:val="0B2545"/>
                <w:sz w:val="18"/>
              </w:rPr>
              <w:t>Verification area</w:t>
            </w:r>
          </w:p>
        </w:tc>
        <w:tc>
          <w:tcPr>
            <w:tcW w:type="dxa" w:w="3150"/>
            <w:shd w:fill="F2F4F7"/>
            <w:tcMar>
              <w:top w:w="80" w:type="dxa"/>
              <w:start w:w="120" w:type="dxa"/>
              <w:bottom w:w="80" w:type="dxa"/>
              <w:end w:w="120" w:type="dxa"/>
            </w:tcMar>
            <w:vAlign w:val="center"/>
          </w:tcPr>
          <w:p>
            <w:pPr>
              <w:spacing w:after="0"/>
              <w:jc w:val="center"/>
            </w:pPr>
            <w:r>
              <w:rPr>
                <w:rFonts w:ascii="Calibri" w:hAnsi="Calibri"/>
                <w:b/>
                <w:color w:val="0B2545"/>
                <w:sz w:val="18"/>
              </w:rPr>
              <w:t>Latest result</w:t>
            </w:r>
          </w:p>
        </w:tc>
        <w:tc>
          <w:tcPr>
            <w:tcW w:type="dxa" w:w="4110"/>
            <w:shd w:fill="F2F4F7"/>
            <w:tcMar>
              <w:top w:w="80" w:type="dxa"/>
              <w:start w:w="120" w:type="dxa"/>
              <w:bottom w:w="80" w:type="dxa"/>
              <w:end w:w="120" w:type="dxa"/>
            </w:tcMar>
            <w:vAlign w:val="center"/>
          </w:tcPr>
          <w:p>
            <w:pPr>
              <w:spacing w:after="0"/>
              <w:jc w:val="left"/>
            </w:pPr>
            <w:r>
              <w:rPr>
                <w:rFonts w:ascii="Calibri" w:hAnsi="Calibri"/>
                <w:b/>
                <w:color w:val="0B2545"/>
                <w:sz w:val="18"/>
              </w:rPr>
              <w:t>What it demonstrates</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color w:val="0B2545"/>
                <w:sz w:val="17"/>
              </w:rPr>
              <w:t>Backend, lifecycle, and intake tests</w:t>
            </w:r>
          </w:p>
        </w:tc>
        <w:tc>
          <w:tcPr>
            <w:tcW w:type="dxa" w:w="3150"/>
            <w:tcMar>
              <w:top w:w="80" w:type="dxa"/>
              <w:start w:w="120" w:type="dxa"/>
              <w:bottom w:w="80" w:type="dxa"/>
              <w:end w:w="120" w:type="dxa"/>
            </w:tcMar>
            <w:vAlign w:val="center"/>
          </w:tcPr>
          <w:p>
            <w:pPr>
              <w:spacing w:after="0" w:line="252" w:lineRule="auto"/>
            </w:pPr>
            <w:r>
              <w:rPr>
                <w:rFonts w:ascii="Calibri" w:hAnsi="Calibri"/>
                <w:b w:val="0"/>
                <w:color w:val="0B2545"/>
                <w:sz w:val="17"/>
              </w:rPr>
              <w:t>20 passed</w:t>
            </w:r>
          </w:p>
        </w:tc>
        <w:tc>
          <w:tcPr>
            <w:tcW w:type="dxa" w:w="4110"/>
            <w:tcMar>
              <w:top w:w="80" w:type="dxa"/>
              <w:start w:w="120" w:type="dxa"/>
              <w:bottom w:w="80" w:type="dxa"/>
              <w:end w:w="120" w:type="dxa"/>
            </w:tcMar>
            <w:vAlign w:val="center"/>
          </w:tcPr>
          <w:p>
            <w:pPr>
              <w:spacing w:after="0" w:line="252" w:lineRule="auto"/>
            </w:pPr>
            <w:r>
              <w:rPr>
                <w:rFonts w:ascii="Calibri" w:hAnsi="Calibri"/>
                <w:b w:val="0"/>
                <w:color w:val="0B2545"/>
                <w:sz w:val="17"/>
              </w:rPr>
              <w:t>Authentication, workflows, configuration, calibration, installer behavior, and intake regressions</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color w:val="0B2545"/>
                <w:sz w:val="17"/>
              </w:rPr>
              <w:t>Optimizer unit tests</w:t>
            </w:r>
          </w:p>
        </w:tc>
        <w:tc>
          <w:tcPr>
            <w:tcW w:type="dxa" w:w="3150"/>
            <w:tcMar>
              <w:top w:w="80" w:type="dxa"/>
              <w:start w:w="120" w:type="dxa"/>
              <w:bottom w:w="80" w:type="dxa"/>
              <w:end w:w="120" w:type="dxa"/>
            </w:tcMar>
            <w:vAlign w:val="center"/>
          </w:tcPr>
          <w:p>
            <w:pPr>
              <w:spacing w:after="0" w:line="252" w:lineRule="auto"/>
            </w:pPr>
            <w:r>
              <w:rPr>
                <w:rFonts w:ascii="Calibri" w:hAnsi="Calibri"/>
                <w:b w:val="0"/>
                <w:color w:val="0B2545"/>
                <w:sz w:val="17"/>
              </w:rPr>
              <w:t>11 passed</w:t>
            </w:r>
          </w:p>
        </w:tc>
        <w:tc>
          <w:tcPr>
            <w:tcW w:type="dxa" w:w="4110"/>
            <w:tcMar>
              <w:top w:w="80" w:type="dxa"/>
              <w:start w:w="120" w:type="dxa"/>
              <w:bottom w:w="80" w:type="dxa"/>
              <w:end w:w="120" w:type="dxa"/>
            </w:tcMar>
            <w:vAlign w:val="center"/>
          </w:tcPr>
          <w:p>
            <w:pPr>
              <w:spacing w:after="0" w:line="252" w:lineRule="auto"/>
            </w:pPr>
            <w:r>
              <w:rPr>
                <w:rFonts w:ascii="Calibri" w:hAnsi="Calibri"/>
                <w:b w:val="0"/>
                <w:color w:val="0B2545"/>
                <w:sz w:val="17"/>
              </w:rPr>
              <w:t>Locked visits, phases, qualifications, emergency reserve, supervision, equipment, ranking, horizon, and timezone</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color w:val="0B2545"/>
                <w:sz w:val="17"/>
              </w:rPr>
              <w:t>Frontend contract tests</w:t>
            </w:r>
          </w:p>
        </w:tc>
        <w:tc>
          <w:tcPr>
            <w:tcW w:type="dxa" w:w="3150"/>
            <w:tcMar>
              <w:top w:w="80" w:type="dxa"/>
              <w:start w:w="120" w:type="dxa"/>
              <w:bottom w:w="80" w:type="dxa"/>
              <w:end w:w="120" w:type="dxa"/>
            </w:tcMar>
            <w:vAlign w:val="center"/>
          </w:tcPr>
          <w:p>
            <w:pPr>
              <w:spacing w:after="0" w:line="252" w:lineRule="auto"/>
            </w:pPr>
            <w:r>
              <w:rPr>
                <w:rFonts w:ascii="Calibri" w:hAnsi="Calibri"/>
                <w:b w:val="0"/>
                <w:color w:val="0B2545"/>
                <w:sz w:val="17"/>
              </w:rPr>
              <w:t>5 passed</w:t>
            </w:r>
          </w:p>
        </w:tc>
        <w:tc>
          <w:tcPr>
            <w:tcW w:type="dxa" w:w="4110"/>
            <w:tcMar>
              <w:top w:w="80" w:type="dxa"/>
              <w:start w:w="120" w:type="dxa"/>
              <w:bottom w:w="80" w:type="dxa"/>
              <w:end w:w="120" w:type="dxa"/>
            </w:tcMar>
            <w:vAlign w:val="center"/>
          </w:tcPr>
          <w:p>
            <w:pPr>
              <w:spacing w:after="0" w:line="252" w:lineRule="auto"/>
            </w:pPr>
            <w:r>
              <w:rPr>
                <w:rFonts w:ascii="Calibri" w:hAnsi="Calibri"/>
                <w:b w:val="0"/>
                <w:color w:val="0B2545"/>
                <w:sz w:val="17"/>
              </w:rPr>
              <w:t>Required DOM surfaces, navigation mapping, offline asset posture, and default-first calibration copy</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color w:val="0B2545"/>
                <w:sz w:val="17"/>
              </w:rPr>
              <w:t>Installer profile audits</w:t>
            </w:r>
          </w:p>
        </w:tc>
        <w:tc>
          <w:tcPr>
            <w:tcW w:type="dxa" w:w="3150"/>
            <w:tcMar>
              <w:top w:w="80" w:type="dxa"/>
              <w:start w:w="120" w:type="dxa"/>
              <w:bottom w:w="80" w:type="dxa"/>
              <w:end w:w="120" w:type="dxa"/>
            </w:tcMar>
            <w:vAlign w:val="center"/>
          </w:tcPr>
          <w:p>
            <w:pPr>
              <w:spacing w:after="0" w:line="252" w:lineRule="auto"/>
            </w:pPr>
            <w:r>
              <w:rPr>
                <w:rFonts w:ascii="Calibri" w:hAnsi="Calibri"/>
                <w:b w:val="0"/>
                <w:color w:val="0B2545"/>
                <w:sz w:val="17"/>
              </w:rPr>
              <w:t>Rules-only and local-AI profiles passed</w:t>
            </w:r>
          </w:p>
        </w:tc>
        <w:tc>
          <w:tcPr>
            <w:tcW w:type="dxa" w:w="4110"/>
            <w:tcMar>
              <w:top w:w="80" w:type="dxa"/>
              <w:start w:w="120" w:type="dxa"/>
              <w:bottom w:w="80" w:type="dxa"/>
              <w:end w:w="120" w:type="dxa"/>
            </w:tcMar>
            <w:vAlign w:val="center"/>
          </w:tcPr>
          <w:p>
            <w:pPr>
              <w:spacing w:after="0" w:line="252" w:lineRule="auto"/>
            </w:pPr>
            <w:r>
              <w:rPr>
                <w:rFonts w:ascii="Calibri" w:hAnsi="Calibri"/>
                <w:b w:val="0"/>
                <w:color w:val="0B2545"/>
                <w:sz w:val="17"/>
              </w:rPr>
              <w:t>Default installation has no Ollama dependency; optional artifacts are validated when selected</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color w:val="0B2545"/>
                <w:sz w:val="17"/>
              </w:rPr>
              <w:t>Offline rebuild and lifecycle</w:t>
            </w:r>
          </w:p>
        </w:tc>
        <w:tc>
          <w:tcPr>
            <w:tcW w:type="dxa" w:w="3150"/>
            <w:tcMar>
              <w:top w:w="80" w:type="dxa"/>
              <w:start w:w="120" w:type="dxa"/>
              <w:bottom w:w="80" w:type="dxa"/>
              <w:end w:w="120" w:type="dxa"/>
            </w:tcMar>
            <w:vAlign w:val="center"/>
          </w:tcPr>
          <w:p>
            <w:pPr>
              <w:spacing w:after="0" w:line="252" w:lineRule="auto"/>
            </w:pPr>
            <w:r>
              <w:rPr>
                <w:rFonts w:ascii="Calibri" w:hAnsi="Calibri"/>
                <w:b w:val="0"/>
                <w:color w:val="0B2545"/>
                <w:sz w:val="17"/>
              </w:rPr>
              <w:t>Build, start, and health checks passed</w:t>
            </w:r>
          </w:p>
        </w:tc>
        <w:tc>
          <w:tcPr>
            <w:tcW w:type="dxa" w:w="4110"/>
            <w:tcMar>
              <w:top w:w="80" w:type="dxa"/>
              <w:start w:w="120" w:type="dxa"/>
              <w:bottom w:w="80" w:type="dxa"/>
              <w:end w:w="120" w:type="dxa"/>
            </w:tcMar>
            <w:vAlign w:val="center"/>
          </w:tcPr>
          <w:p>
            <w:pPr>
              <w:spacing w:after="0" w:line="252" w:lineRule="auto"/>
            </w:pPr>
            <w:r>
              <w:rPr>
                <w:rFonts w:ascii="Calibri" w:hAnsi="Calibri"/>
                <w:b w:val="0"/>
                <w:color w:val="0B2545"/>
                <w:sz w:val="17"/>
              </w:rPr>
              <w:t>The packaged stack can be rebuilt and operated without runtime internet access</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color w:val="0B2545"/>
                <w:sz w:val="17"/>
              </w:rPr>
              <w:t>Desktop launcher</w:t>
            </w:r>
          </w:p>
        </w:tc>
        <w:tc>
          <w:tcPr>
            <w:tcW w:type="dxa" w:w="3150"/>
            <w:tcMar>
              <w:top w:w="80" w:type="dxa"/>
              <w:start w:w="120" w:type="dxa"/>
              <w:bottom w:w="80" w:type="dxa"/>
              <w:end w:w="120" w:type="dxa"/>
            </w:tcMar>
            <w:vAlign w:val="center"/>
          </w:tcPr>
          <w:p>
            <w:pPr>
              <w:spacing w:after="0" w:line="252" w:lineRule="auto"/>
            </w:pPr>
            <w:r>
              <w:rPr>
                <w:rFonts w:ascii="Calibri" w:hAnsi="Calibri"/>
                <w:b w:val="0"/>
                <w:color w:val="0B2545"/>
                <w:sz w:val="17"/>
              </w:rPr>
              <w:t>Installed and local signature verified</w:t>
            </w:r>
          </w:p>
        </w:tc>
        <w:tc>
          <w:tcPr>
            <w:tcW w:type="dxa" w:w="4110"/>
            <w:tcMar>
              <w:top w:w="80" w:type="dxa"/>
              <w:start w:w="120" w:type="dxa"/>
              <w:bottom w:w="80" w:type="dxa"/>
              <w:end w:w="120" w:type="dxa"/>
            </w:tcMar>
            <w:vAlign w:val="center"/>
          </w:tcPr>
          <w:p>
            <w:pPr>
              <w:spacing w:after="0" w:line="252" w:lineRule="auto"/>
            </w:pPr>
            <w:r>
              <w:rPr>
                <w:rFonts w:ascii="Calibri" w:hAnsi="Calibri"/>
                <w:b w:val="0"/>
                <w:color w:val="0B2545"/>
                <w:sz w:val="17"/>
              </w:rPr>
              <w:t>Health-aware launch avoids unnecessary restarts and opens the local application</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color w:val="0B2545"/>
                <w:sz w:val="17"/>
              </w:rPr>
              <w:t>Clean installation</w:t>
            </w:r>
          </w:p>
        </w:tc>
        <w:tc>
          <w:tcPr>
            <w:tcW w:type="dxa" w:w="3150"/>
            <w:tcMar>
              <w:top w:w="80" w:type="dxa"/>
              <w:start w:w="120" w:type="dxa"/>
              <w:bottom w:w="80" w:type="dxa"/>
              <w:end w:w="120" w:type="dxa"/>
            </w:tcMar>
            <w:vAlign w:val="center"/>
          </w:tcPr>
          <w:p>
            <w:pPr>
              <w:spacing w:after="0" w:line="252" w:lineRule="auto"/>
            </w:pPr>
            <w:r>
              <w:rPr>
                <w:rFonts w:ascii="Calibri" w:hAnsi="Calibri"/>
                <w:b w:val="0"/>
                <w:color w:val="0B2545"/>
                <w:sz w:val="17"/>
              </w:rPr>
              <w:t>Passed with zero duration observations</w:t>
            </w:r>
          </w:p>
        </w:tc>
        <w:tc>
          <w:tcPr>
            <w:tcW w:type="dxa" w:w="4110"/>
            <w:tcMar>
              <w:top w:w="80" w:type="dxa"/>
              <w:start w:w="120" w:type="dxa"/>
              <w:bottom w:w="80" w:type="dxa"/>
              <w:end w:w="120" w:type="dxa"/>
            </w:tcMar>
            <w:vAlign w:val="center"/>
          </w:tcPr>
          <w:p>
            <w:pPr>
              <w:spacing w:after="0" w:line="252" w:lineRule="auto"/>
            </w:pPr>
            <w:r>
              <w:rPr>
                <w:rFonts w:ascii="Calibri" w:hAnsi="Calibri"/>
                <w:b w:val="0"/>
                <w:color w:val="0B2545"/>
                <w:sz w:val="17"/>
              </w:rPr>
              <w:t>Reference defaults can search and book without historical data</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color w:val="0B2545"/>
                <w:sz w:val="17"/>
              </w:rPr>
              <w:t>Database migrations</w:t>
            </w:r>
          </w:p>
        </w:tc>
        <w:tc>
          <w:tcPr>
            <w:tcW w:type="dxa" w:w="3150"/>
            <w:tcMar>
              <w:top w:w="80" w:type="dxa"/>
              <w:start w:w="120" w:type="dxa"/>
              <w:bottom w:w="80" w:type="dxa"/>
              <w:end w:w="120" w:type="dxa"/>
            </w:tcMar>
            <w:vAlign w:val="center"/>
          </w:tcPr>
          <w:p>
            <w:pPr>
              <w:spacing w:after="0" w:line="252" w:lineRule="auto"/>
            </w:pPr>
            <w:r>
              <w:rPr>
                <w:rFonts w:ascii="Calibri" w:hAnsi="Calibri"/>
                <w:b w:val="0"/>
                <w:color w:val="0B2545"/>
                <w:sz w:val="17"/>
              </w:rPr>
              <w:t>0001-0012 applied</w:t>
            </w:r>
          </w:p>
        </w:tc>
        <w:tc>
          <w:tcPr>
            <w:tcW w:type="dxa" w:w="4110"/>
            <w:tcMar>
              <w:top w:w="80" w:type="dxa"/>
              <w:start w:w="120" w:type="dxa"/>
              <w:bottom w:w="80" w:type="dxa"/>
              <w:end w:w="120" w:type="dxa"/>
            </w:tcMar>
            <w:vAlign w:val="center"/>
          </w:tcPr>
          <w:p>
            <w:pPr>
              <w:spacing w:after="0" w:line="252" w:lineRule="auto"/>
            </w:pPr>
            <w:r>
              <w:rPr>
                <w:rFonts w:ascii="Calibri" w:hAnsi="Calibri"/>
                <w:b w:val="0"/>
                <w:color w:val="0B2545"/>
                <w:sz w:val="17"/>
              </w:rPr>
              <w:t>Clean and upgraded schema compatibility, including unlinking native calibration from appointments</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color w:val="0B2545"/>
                <w:sz w:val="17"/>
              </w:rPr>
              <w:t>Database invariants</w:t>
            </w:r>
          </w:p>
        </w:tc>
        <w:tc>
          <w:tcPr>
            <w:tcW w:type="dxa" w:w="3150"/>
            <w:tcMar>
              <w:top w:w="80" w:type="dxa"/>
              <w:start w:w="120" w:type="dxa"/>
              <w:bottom w:w="80" w:type="dxa"/>
              <w:end w:w="120" w:type="dxa"/>
            </w:tcMar>
            <w:vAlign w:val="center"/>
          </w:tcPr>
          <w:p>
            <w:pPr>
              <w:spacing w:after="0" w:line="252" w:lineRule="auto"/>
            </w:pPr>
            <w:r>
              <w:rPr>
                <w:rFonts w:ascii="Calibri" w:hAnsi="Calibri"/>
                <w:b w:val="0"/>
                <w:color w:val="0B2545"/>
                <w:sz w:val="17"/>
              </w:rPr>
              <w:t>Passed; zero invariant failures</w:t>
            </w:r>
          </w:p>
        </w:tc>
        <w:tc>
          <w:tcPr>
            <w:tcW w:type="dxa" w:w="4110"/>
            <w:tcMar>
              <w:top w:w="80" w:type="dxa"/>
              <w:start w:w="120" w:type="dxa"/>
              <w:bottom w:w="80" w:type="dxa"/>
              <w:end w:w="120" w:type="dxa"/>
            </w:tcMar>
            <w:vAlign w:val="center"/>
          </w:tcPr>
          <w:p>
            <w:pPr>
              <w:spacing w:after="0" w:line="252" w:lineRule="auto"/>
            </w:pPr>
            <w:r>
              <w:rPr>
                <w:rFonts w:ascii="Calibri" w:hAnsi="Calibri"/>
                <w:b w:val="0"/>
                <w:color w:val="0B2545"/>
                <w:sz w:val="17"/>
              </w:rPr>
              <w:t>Unauthorized moves, overlaps, capacity violations, invalid equipment, and audit mutation are rejected</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color w:val="0B2545"/>
                <w:sz w:val="17"/>
              </w:rPr>
              <w:t>Annual baseline simulation</w:t>
            </w:r>
          </w:p>
        </w:tc>
        <w:tc>
          <w:tcPr>
            <w:tcW w:type="dxa" w:w="3150"/>
            <w:tcMar>
              <w:top w:w="80" w:type="dxa"/>
              <w:start w:w="120" w:type="dxa"/>
              <w:bottom w:w="80" w:type="dxa"/>
              <w:end w:w="120" w:type="dxa"/>
            </w:tcMar>
            <w:vAlign w:val="center"/>
          </w:tcPr>
          <w:p>
            <w:pPr>
              <w:spacing w:after="0" w:line="252" w:lineRule="auto"/>
            </w:pPr>
            <w:r>
              <w:rPr>
                <w:rFonts w:ascii="Calibri" w:hAnsi="Calibri"/>
                <w:b w:val="0"/>
                <w:color w:val="0B2545"/>
                <w:sz w:val="17"/>
              </w:rPr>
              <w:t>200/200 feasible scheduled; 20/20 intentionally infeasible rejected; 90 locked preserved</w:t>
            </w:r>
          </w:p>
        </w:tc>
        <w:tc>
          <w:tcPr>
            <w:tcW w:type="dxa" w:w="4110"/>
            <w:tcMar>
              <w:top w:w="80" w:type="dxa"/>
              <w:start w:w="120" w:type="dxa"/>
              <w:bottom w:w="80" w:type="dxa"/>
              <w:end w:w="120" w:type="dxa"/>
            </w:tcMar>
            <w:vAlign w:val="center"/>
          </w:tcPr>
          <w:p>
            <w:pPr>
              <w:spacing w:after="0" w:line="252" w:lineRule="auto"/>
            </w:pPr>
            <w:r>
              <w:rPr>
                <w:rFonts w:ascii="Calibri" w:hAnsi="Calibri"/>
                <w:b w:val="0"/>
                <w:color w:val="0B2545"/>
                <w:sz w:val="17"/>
              </w:rPr>
              <w:t>365-day incremental scheduling with zero unexpected failures</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color w:val="0B2545"/>
                <w:sz w:val="17"/>
              </w:rPr>
              <w:t>Practice-scale phased simulation</w:t>
            </w:r>
          </w:p>
        </w:tc>
        <w:tc>
          <w:tcPr>
            <w:tcW w:type="dxa" w:w="3150"/>
            <w:tcMar>
              <w:top w:w="80" w:type="dxa"/>
              <w:start w:w="120" w:type="dxa"/>
              <w:bottom w:w="80" w:type="dxa"/>
              <w:end w:w="120" w:type="dxa"/>
            </w:tcMar>
            <w:vAlign w:val="center"/>
          </w:tcPr>
          <w:p>
            <w:pPr>
              <w:spacing w:after="0" w:line="252" w:lineRule="auto"/>
            </w:pPr>
            <w:r>
              <w:rPr>
                <w:rFonts w:ascii="Calibri" w:hAnsi="Calibri"/>
                <w:b w:val="0"/>
                <w:color w:val="0B2545"/>
                <w:sz w:val="17"/>
              </w:rPr>
              <w:t>400/400 feasible scheduled; 20/20 intentionally infeasible rejected; 60 locked preserved; 47 safe whole-visit overlaps</w:t>
            </w:r>
          </w:p>
        </w:tc>
        <w:tc>
          <w:tcPr>
            <w:tcW w:type="dxa" w:w="4110"/>
            <w:tcMar>
              <w:top w:w="80" w:type="dxa"/>
              <w:start w:w="120" w:type="dxa"/>
              <w:bottom w:w="80" w:type="dxa"/>
              <w:end w:w="120" w:type="dxa"/>
            </w:tcMar>
            <w:vAlign w:val="center"/>
          </w:tcPr>
          <w:p>
            <w:pPr>
              <w:spacing w:after="0" w:line="252" w:lineRule="auto"/>
            </w:pPr>
            <w:r>
              <w:rPr>
                <w:rFonts w:ascii="Calibri" w:hAnsi="Calibri"/>
                <w:b w:val="0"/>
                <w:color w:val="0B2545"/>
                <w:sz w:val="17"/>
              </w:rPr>
              <w:t>Multi-room phase scheduling with zero invariant failures</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color w:val="0B2545"/>
                <w:sz w:val="17"/>
              </w:rPr>
              <w:t>Live HTTPS workflow</w:t>
            </w:r>
          </w:p>
        </w:tc>
        <w:tc>
          <w:tcPr>
            <w:tcW w:type="dxa" w:w="3150"/>
            <w:tcMar>
              <w:top w:w="80" w:type="dxa"/>
              <w:start w:w="120" w:type="dxa"/>
              <w:bottom w:w="80" w:type="dxa"/>
              <w:end w:w="120" w:type="dxa"/>
            </w:tcMar>
            <w:vAlign w:val="center"/>
          </w:tcPr>
          <w:p>
            <w:pPr>
              <w:spacing w:after="0" w:line="252" w:lineRule="auto"/>
            </w:pPr>
            <w:r>
              <w:rPr>
                <w:rFonts w:ascii="Calibri" w:hAnsi="Calibri"/>
                <w:b w:val="0"/>
                <w:color w:val="0B2545"/>
                <w:sz w:val="17"/>
              </w:rPr>
              <w:t>Passed</w:t>
            </w:r>
          </w:p>
        </w:tc>
        <w:tc>
          <w:tcPr>
            <w:tcW w:type="dxa" w:w="4110"/>
            <w:tcMar>
              <w:top w:w="80" w:type="dxa"/>
              <w:start w:w="120" w:type="dxa"/>
              <w:bottom w:w="80" w:type="dxa"/>
              <w:end w:w="120" w:type="dxa"/>
            </w:tcMar>
            <w:vAlign w:val="center"/>
          </w:tcPr>
          <w:p>
            <w:pPr>
              <w:spacing w:after="0" w:line="252" w:lineRule="auto"/>
            </w:pPr>
            <w:r>
              <w:rPr>
                <w:rFonts w:ascii="Calibri" w:hAnsi="Calibri"/>
                <w:b w:val="0"/>
                <w:color w:val="0B2545"/>
                <w:sz w:val="17"/>
              </w:rPr>
              <w:t>Login, intake, recommendations, booking, rescheduling, operations, waitlist, walk-in, equipment, calibration, analytics, and audit</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color w:val="0B2545"/>
                <w:sz w:val="17"/>
              </w:rPr>
              <w:t>Runtime health at evidence cutoff</w:t>
            </w:r>
          </w:p>
        </w:tc>
        <w:tc>
          <w:tcPr>
            <w:tcW w:type="dxa" w:w="3150"/>
            <w:tcMar>
              <w:top w:w="80" w:type="dxa"/>
              <w:start w:w="120" w:type="dxa"/>
              <w:bottom w:w="80" w:type="dxa"/>
              <w:end w:w="120" w:type="dxa"/>
            </w:tcMar>
            <w:vAlign w:val="center"/>
          </w:tcPr>
          <w:p>
            <w:pPr>
              <w:spacing w:after="0" w:line="252" w:lineRule="auto"/>
            </w:pPr>
            <w:r>
              <w:rPr>
                <w:rFonts w:ascii="Calibri" w:hAnsi="Calibri"/>
                <w:b w:val="0"/>
                <w:color w:val="0B2545"/>
                <w:sz w:val="17"/>
              </w:rPr>
              <w:t>API and database healthy; offline mode</w:t>
            </w:r>
          </w:p>
        </w:tc>
        <w:tc>
          <w:tcPr>
            <w:tcW w:type="dxa" w:w="4110"/>
            <w:tcMar>
              <w:top w:w="80" w:type="dxa"/>
              <w:start w:w="120" w:type="dxa"/>
              <w:bottom w:w="80" w:type="dxa"/>
              <w:end w:w="120" w:type="dxa"/>
            </w:tcMar>
            <w:vAlign w:val="center"/>
          </w:tcPr>
          <w:p>
            <w:pPr>
              <w:spacing w:after="0" w:line="252" w:lineRule="auto"/>
            </w:pPr>
            <w:r>
              <w:rPr>
                <w:rFonts w:ascii="Calibri" w:hAnsi="Calibri"/>
                <w:b w:val="0"/>
                <w:color w:val="0B2545"/>
                <w:sz w:val="17"/>
              </w:rPr>
              <w:t>Local stack was operational when evidence was captured; recheck for each report</w:t>
            </w:r>
          </w:p>
        </w:tc>
      </w:tr>
    </w:tbl>
    <w:p>
      <w:pPr>
        <w:spacing w:after="80"/>
      </w:pPr>
    </w:p>
    <w:p>
      <w:pPr>
        <w:pStyle w:val="Heading2"/>
        <w:keepNext/>
      </w:pPr>
      <w:r>
        <w:rPr>
          <w:rFonts w:ascii="Calibri" w:hAnsi="Calibri"/>
          <w:b/>
          <w:color w:val="2E74B5"/>
        </w:rPr>
        <w:t>6.1 Defects Found and Corrected</w:t>
      </w:r>
    </w:p>
    <w:p>
      <w:pPr>
        <w:pStyle w:val="ListBullet"/>
        <w:spacing w:after="160" w:line="280" w:lineRule="auto"/>
        <w:ind w:left="720" w:hanging="360"/>
      </w:pPr>
      <w:r>
        <w:rPr>
          <w:rFonts w:ascii="Calibri" w:hAnsi="Calibri"/>
          <w:color w:val="0B2545"/>
        </w:rPr>
        <w:t>Corrected waitlist matching so the actual procedure record, not the waitlist identifier, drives qualification checks.</w:t>
      </w:r>
    </w:p>
    <w:p>
      <w:pPr>
        <w:pStyle w:val="ListBullet"/>
        <w:spacing w:after="160" w:line="280" w:lineRule="auto"/>
        <w:ind w:left="720" w:hanging="360"/>
      </w:pPr>
      <w:r>
        <w:rPr>
          <w:rFonts w:ascii="Calibri" w:hAnsi="Calibri"/>
          <w:color w:val="0B2545"/>
        </w:rPr>
        <w:t>Added resource/day indexes to reduce repeated annual-horizon availability scans.</w:t>
      </w:r>
    </w:p>
    <w:p>
      <w:pPr>
        <w:pStyle w:val="ListBullet"/>
        <w:spacing w:after="160" w:line="280" w:lineRule="auto"/>
        <w:ind w:left="720" w:hanging="360"/>
      </w:pPr>
      <w:r>
        <w:rPr>
          <w:rFonts w:ascii="Calibri" w:hAnsi="Calibri"/>
          <w:color w:val="0B2545"/>
        </w:rPr>
        <w:t>Added global and daily load factors to deterministic tie-breaking to improve doctor distribution.</w:t>
      </w:r>
    </w:p>
    <w:p>
      <w:pPr>
        <w:pStyle w:val="ListBullet"/>
        <w:spacing w:after="160" w:line="280" w:lineRule="auto"/>
        <w:ind w:left="720" w:hanging="360"/>
      </w:pPr>
      <w:r>
        <w:rPr>
          <w:rFonts w:ascii="Calibri" w:hAnsi="Calibri"/>
          <w:color w:val="0B2545"/>
        </w:rPr>
        <w:t>Reworked reporting boundaries to use the configured practice timezone explicitly.</w:t>
      </w:r>
    </w:p>
    <w:p>
      <w:pPr>
        <w:pStyle w:val="ListBullet"/>
        <w:spacing w:after="160" w:line="280" w:lineRule="auto"/>
        <w:ind w:left="720" w:hanging="360"/>
      </w:pPr>
      <w:r>
        <w:rPr>
          <w:rFonts w:ascii="Calibri" w:hAnsi="Calibri"/>
          <w:color w:val="0B2545"/>
        </w:rPr>
        <w:t>Strengthened phase and equipment mutation guards to require the exact consumed reschedule permission.</w:t>
      </w:r>
    </w:p>
    <w:p>
      <w:pPr>
        <w:pStyle w:val="ListBullet"/>
        <w:spacing w:after="160" w:line="280" w:lineRule="auto"/>
        <w:ind w:left="720" w:hanging="360"/>
      </w:pPr>
      <w:r>
        <w:rPr>
          <w:rFonts w:ascii="Calibri" w:hAnsi="Calibri"/>
          <w:color w:val="0B2545"/>
        </w:rPr>
        <w:t>Preserved legacy completion compatibility while enforcing check-in-before-seat and timestamp order when those states are used.</w:t>
      </w:r>
    </w:p>
    <w:p>
      <w:pPr>
        <w:pStyle w:val="ListBullet"/>
        <w:spacing w:after="160" w:line="280" w:lineRule="auto"/>
        <w:ind w:left="720" w:hanging="360"/>
      </w:pPr>
      <w:r>
        <w:rPr>
          <w:rFonts w:ascii="Calibri" w:hAnsi="Calibri"/>
          <w:color w:val="0B2545"/>
        </w:rPr>
        <w:t>Added transaction-serialized database enforcement for dentist supervision capacity.</w:t>
      </w:r>
    </w:p>
    <w:p>
      <w:pPr>
        <w:pStyle w:val="ListBullet"/>
        <w:spacing w:after="160" w:line="280" w:lineRule="auto"/>
        <w:ind w:left="720" w:hanging="360"/>
      </w:pPr>
      <w:r>
        <w:rPr>
          <w:rFonts w:ascii="Calibri" w:hAnsi="Calibri"/>
          <w:color w:val="0B2545"/>
        </w:rPr>
        <w:t>Separated native calibration observations from appointment identity so refinement evidence cannot be linked back to a patient visit.</w:t>
      </w:r>
    </w:p>
    <w:p>
      <w:pPr>
        <w:pStyle w:val="ListBullet"/>
        <w:spacing w:after="160" w:line="280" w:lineRule="auto"/>
        <w:ind w:left="720" w:hanging="360"/>
      </w:pPr>
      <w:r>
        <w:rPr>
          <w:rFonts w:ascii="Calibri" w:hAnsi="Calibri"/>
          <w:color w:val="0B2545"/>
        </w:rPr>
        <w:t>Preserved practice-edited or calibrated duration policy across normal restarts instead of overwriting it from seed data.</w:t>
      </w:r>
    </w:p>
    <w:p>
      <w:pPr>
        <w:pStyle w:val="ListBullet"/>
        <w:spacing w:after="160" w:line="280" w:lineRule="auto"/>
        <w:ind w:left="720" w:hanging="360"/>
      </w:pPr>
      <w:r>
        <w:rPr>
          <w:rFonts w:ascii="Calibri" w:hAnsi="Calibri"/>
          <w:color w:val="0B2545"/>
        </w:rPr>
        <w:t>Reordered first-run setup so configuration and local TLS material are created before validation and startup checks.</w:t>
      </w:r>
    </w:p>
    <w:p>
      <w:pPr>
        <w:pStyle w:val="ListBullet"/>
        <w:spacing w:after="160" w:line="280" w:lineRule="auto"/>
        <w:ind w:left="720" w:hanging="360"/>
      </w:pPr>
      <w:r>
        <w:rPr>
          <w:rFonts w:ascii="Calibri" w:hAnsi="Calibri"/>
          <w:color w:val="0B2545"/>
        </w:rPr>
        <w:t>Removed Ollama and model pulls from the default installation while retaining an explicit optional local-AI profile.</w:t>
      </w:r>
    </w:p>
    <w:p>
      <w:pPr>
        <w:pStyle w:val="ListBullet"/>
        <w:spacing w:after="160" w:line="280" w:lineRule="auto"/>
        <w:ind w:left="720" w:hanging="360"/>
      </w:pPr>
      <w:r>
        <w:rPr>
          <w:rFonts w:ascii="Calibri" w:hAnsi="Calibri"/>
          <w:color w:val="0B2545"/>
        </w:rPr>
        <w:t>Added mutually exclusive installer flags, artifact identifiers, manifest validation, and container-image architecture checks.</w:t>
      </w:r>
    </w:p>
    <w:p>
      <w:pPr>
        <w:pStyle w:val="ListBullet"/>
        <w:spacing w:after="160" w:line="280" w:lineRule="auto"/>
        <w:ind w:left="720" w:hanging="360"/>
      </w:pPr>
      <w:r>
        <w:rPr>
          <w:rFonts w:ascii="Calibri" w:hAnsi="Calibri"/>
          <w:color w:val="0B2545"/>
        </w:rPr>
        <w:t>Added health-aware macOS and Windows launcher installers with local logs and no duplicate stack restart when already healthy.</w:t>
      </w:r>
    </w:p>
    <w:p>
      <w:pPr>
        <w:pStyle w:val="Heading1"/>
        <w:keepNext/>
      </w:pPr>
      <w:r>
        <w:rPr>
          <w:rFonts w:ascii="Calibri" w:hAnsi="Calibri"/>
          <w:b/>
          <w:color w:val="2E74B5"/>
        </w:rPr>
        <w:t>7. Success Metrics for Future Progress Reports</w:t>
      </w:r>
    </w:p>
    <w:p>
      <w:pPr>
        <w:spacing w:before="0" w:after="120" w:line="264" w:lineRule="auto"/>
      </w:pPr>
      <w:r>
        <w:rPr>
          <w:rFonts w:ascii="Calibri" w:hAnsi="Calibri"/>
          <w:i w:val="0"/>
          <w:color w:val="0B2545"/>
        </w:rPr>
        <w:t>Metrics are measurement evidence, not prerequisites for startup. The deploying practice should approve exact formulas, exclusions, owners, baselines, target hardware, reporting cadence, and escalation rules. Do not report recommended targets as achieved results.</w:t>
      </w:r>
    </w:p>
    <w:p>
      <w:pPr>
        <w:pStyle w:val="Heading2"/>
        <w:keepNext/>
      </w:pPr>
      <w:r>
        <w:rPr>
          <w:rFonts w:ascii="Calibri" w:hAnsi="Calibri"/>
          <w:b/>
          <w:color w:val="2E74B5"/>
        </w:rPr>
        <w:t>7.1 Non-Negotiable Guardrails</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4350"/>
        <w:gridCol w:w="1200"/>
        <w:gridCol w:w="3810"/>
      </w:tblGrid>
      <w:tr>
        <w:trPr>
          <w:tblHeader w:val="true"/>
          <w:cantSplit w:val="true"/>
        </w:trPr>
        <w:tc>
          <w:tcPr>
            <w:tcW w:type="dxa" w:w="4350"/>
            <w:shd w:fill="F2F4F7"/>
            <w:tcMar>
              <w:top w:w="80" w:type="dxa"/>
              <w:start w:w="120" w:type="dxa"/>
              <w:bottom w:w="80" w:type="dxa"/>
              <w:end w:w="120" w:type="dxa"/>
            </w:tcMar>
            <w:vAlign w:val="center"/>
          </w:tcPr>
          <w:p>
            <w:pPr>
              <w:spacing w:after="0"/>
              <w:jc w:val="center"/>
            </w:pPr>
            <w:r>
              <w:rPr>
                <w:rFonts w:ascii="Calibri" w:hAnsi="Calibri"/>
                <w:b/>
                <w:color w:val="0B2545"/>
                <w:sz w:val="18"/>
              </w:rPr>
              <w:t>Metric</w:t>
            </w:r>
          </w:p>
        </w:tc>
        <w:tc>
          <w:tcPr>
            <w:tcW w:type="dxa" w:w="1200"/>
            <w:shd w:fill="F2F4F7"/>
            <w:tcMar>
              <w:top w:w="80" w:type="dxa"/>
              <w:start w:w="120" w:type="dxa"/>
              <w:bottom w:w="80" w:type="dxa"/>
              <w:end w:w="120" w:type="dxa"/>
            </w:tcMar>
            <w:vAlign w:val="center"/>
          </w:tcPr>
          <w:p>
            <w:pPr>
              <w:spacing w:after="0"/>
              <w:jc w:val="center"/>
            </w:pPr>
            <w:r>
              <w:rPr>
                <w:rFonts w:ascii="Calibri" w:hAnsi="Calibri"/>
                <w:b/>
                <w:color w:val="0B2545"/>
                <w:sz w:val="18"/>
              </w:rPr>
              <w:t>Target</w:t>
            </w:r>
          </w:p>
        </w:tc>
        <w:tc>
          <w:tcPr>
            <w:tcW w:type="dxa" w:w="3810"/>
            <w:shd w:fill="F2F4F7"/>
            <w:tcMar>
              <w:top w:w="80" w:type="dxa"/>
              <w:start w:w="120" w:type="dxa"/>
              <w:bottom w:w="80" w:type="dxa"/>
              <w:end w:w="120" w:type="dxa"/>
            </w:tcMar>
            <w:vAlign w:val="center"/>
          </w:tcPr>
          <w:p>
            <w:pPr>
              <w:spacing w:after="0"/>
              <w:jc w:val="left"/>
            </w:pPr>
            <w:r>
              <w:rPr>
                <w:rFonts w:ascii="Calibri" w:hAnsi="Calibri"/>
                <w:b/>
                <w:color w:val="0B2545"/>
                <w:sz w:val="18"/>
              </w:rPr>
              <w:t>Reporting treatment</w:t>
            </w:r>
          </w:p>
        </w:tc>
      </w:tr>
      <w:tr>
        <w:trPr>
          <w:cantSplit w:val="true"/>
        </w:trPr>
        <w:tc>
          <w:tcPr>
            <w:tcW w:type="dxa" w:w="4350"/>
            <w:tcMar>
              <w:top w:w="80" w:type="dxa"/>
              <w:start w:w="120" w:type="dxa"/>
              <w:bottom w:w="80" w:type="dxa"/>
              <w:end w:w="120" w:type="dxa"/>
            </w:tcMar>
            <w:vAlign w:val="center"/>
          </w:tcPr>
          <w:p>
            <w:pPr>
              <w:spacing w:after="0" w:line="252" w:lineRule="auto"/>
            </w:pPr>
            <w:r>
              <w:rPr>
                <w:rFonts w:ascii="Calibri" w:hAnsi="Calibri"/>
                <w:b w:val="0"/>
                <w:color w:val="0B2545"/>
                <w:sz w:val="17"/>
              </w:rPr>
              <w:t>Unauthorized confirmed-appointment moves</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B2545"/>
                <w:sz w:val="17"/>
              </w:rPr>
              <w:t>0</w:t>
            </w:r>
          </w:p>
        </w:tc>
        <w:tc>
          <w:tcPr>
            <w:tcW w:type="dxa" w:w="3810"/>
            <w:tcMar>
              <w:top w:w="80" w:type="dxa"/>
              <w:start w:w="120" w:type="dxa"/>
              <w:bottom w:w="80" w:type="dxa"/>
              <w:end w:w="120" w:type="dxa"/>
            </w:tcMar>
            <w:vAlign w:val="center"/>
          </w:tcPr>
          <w:p>
            <w:pPr>
              <w:spacing w:after="0" w:line="252" w:lineRule="auto"/>
            </w:pPr>
            <w:r>
              <w:rPr>
                <w:rFonts w:ascii="Calibri" w:hAnsi="Calibri"/>
                <w:b w:val="0"/>
                <w:color w:val="0B2545"/>
                <w:sz w:val="17"/>
              </w:rPr>
              <w:t>Immediate incident and release review</w:t>
            </w:r>
          </w:p>
        </w:tc>
      </w:tr>
      <w:tr>
        <w:trPr>
          <w:cantSplit w:val="true"/>
        </w:trPr>
        <w:tc>
          <w:tcPr>
            <w:tcW w:type="dxa" w:w="4350"/>
            <w:tcMar>
              <w:top w:w="80" w:type="dxa"/>
              <w:start w:w="120" w:type="dxa"/>
              <w:bottom w:w="80" w:type="dxa"/>
              <w:end w:w="120" w:type="dxa"/>
            </w:tcMar>
            <w:vAlign w:val="center"/>
          </w:tcPr>
          <w:p>
            <w:pPr>
              <w:spacing w:after="0" w:line="252" w:lineRule="auto"/>
            </w:pPr>
            <w:r>
              <w:rPr>
                <w:rFonts w:ascii="Calibri" w:hAnsi="Calibri"/>
                <w:b w:val="0"/>
                <w:color w:val="0B2545"/>
                <w:sz w:val="17"/>
              </w:rPr>
              <w:t>Patient, room, provider-phase, or equipment overlaps</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B2545"/>
                <w:sz w:val="17"/>
              </w:rPr>
              <w:t>0</w:t>
            </w:r>
          </w:p>
        </w:tc>
        <w:tc>
          <w:tcPr>
            <w:tcW w:type="dxa" w:w="3810"/>
            <w:tcMar>
              <w:top w:w="80" w:type="dxa"/>
              <w:start w:w="120" w:type="dxa"/>
              <w:bottom w:w="80" w:type="dxa"/>
              <w:end w:w="120" w:type="dxa"/>
            </w:tcMar>
            <w:vAlign w:val="center"/>
          </w:tcPr>
          <w:p>
            <w:pPr>
              <w:spacing w:after="0" w:line="252" w:lineRule="auto"/>
            </w:pPr>
            <w:r>
              <w:rPr>
                <w:rFonts w:ascii="Calibri" w:hAnsi="Calibri"/>
                <w:b w:val="0"/>
                <w:color w:val="0B2545"/>
                <w:sz w:val="17"/>
              </w:rPr>
              <w:t>Immediate incident and daily exception review</w:t>
            </w:r>
          </w:p>
        </w:tc>
      </w:tr>
      <w:tr>
        <w:trPr>
          <w:cantSplit w:val="true"/>
        </w:trPr>
        <w:tc>
          <w:tcPr>
            <w:tcW w:type="dxa" w:w="4350"/>
            <w:tcMar>
              <w:top w:w="80" w:type="dxa"/>
              <w:start w:w="120" w:type="dxa"/>
              <w:bottom w:w="80" w:type="dxa"/>
              <w:end w:w="120" w:type="dxa"/>
            </w:tcMar>
            <w:vAlign w:val="center"/>
          </w:tcPr>
          <w:p>
            <w:pPr>
              <w:spacing w:after="0" w:line="252" w:lineRule="auto"/>
            </w:pPr>
            <w:r>
              <w:rPr>
                <w:rFonts w:ascii="Calibri" w:hAnsi="Calibri"/>
                <w:b w:val="0"/>
                <w:color w:val="0B2545"/>
                <w:sz w:val="17"/>
              </w:rPr>
              <w:t>Bookings that bypass or weaken a hard constraint</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B2545"/>
                <w:sz w:val="17"/>
              </w:rPr>
              <w:t>0</w:t>
            </w:r>
          </w:p>
        </w:tc>
        <w:tc>
          <w:tcPr>
            <w:tcW w:type="dxa" w:w="3810"/>
            <w:tcMar>
              <w:top w:w="80" w:type="dxa"/>
              <w:start w:w="120" w:type="dxa"/>
              <w:bottom w:w="80" w:type="dxa"/>
              <w:end w:w="120" w:type="dxa"/>
            </w:tcMar>
            <w:vAlign w:val="center"/>
          </w:tcPr>
          <w:p>
            <w:pPr>
              <w:spacing w:after="0" w:line="252" w:lineRule="auto"/>
            </w:pPr>
            <w:r>
              <w:rPr>
                <w:rFonts w:ascii="Calibri" w:hAnsi="Calibri"/>
                <w:b w:val="0"/>
                <w:color w:val="0B2545"/>
                <w:sz w:val="17"/>
              </w:rPr>
              <w:t>Release blocker</w:t>
            </w:r>
          </w:p>
        </w:tc>
      </w:tr>
      <w:tr>
        <w:trPr>
          <w:cantSplit w:val="true"/>
        </w:trPr>
        <w:tc>
          <w:tcPr>
            <w:tcW w:type="dxa" w:w="4350"/>
            <w:tcMar>
              <w:top w:w="80" w:type="dxa"/>
              <w:start w:w="120" w:type="dxa"/>
              <w:bottom w:w="80" w:type="dxa"/>
              <w:end w:w="120" w:type="dxa"/>
            </w:tcMar>
            <w:vAlign w:val="center"/>
          </w:tcPr>
          <w:p>
            <w:pPr>
              <w:spacing w:after="0" w:line="252" w:lineRule="auto"/>
            </w:pPr>
            <w:r>
              <w:rPr>
                <w:rFonts w:ascii="Calibri" w:hAnsi="Calibri"/>
                <w:b w:val="0"/>
                <w:color w:val="0B2545"/>
                <w:sz w:val="17"/>
              </w:rPr>
              <w:t>Protected changes with complete append-only audit evidence</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B2545"/>
                <w:sz w:val="17"/>
              </w:rPr>
              <w:t>100%</w:t>
            </w:r>
          </w:p>
        </w:tc>
        <w:tc>
          <w:tcPr>
            <w:tcW w:type="dxa" w:w="3810"/>
            <w:tcMar>
              <w:top w:w="80" w:type="dxa"/>
              <w:start w:w="120" w:type="dxa"/>
              <w:bottom w:w="80" w:type="dxa"/>
              <w:end w:w="120" w:type="dxa"/>
            </w:tcMar>
            <w:vAlign w:val="center"/>
          </w:tcPr>
          <w:p>
            <w:pPr>
              <w:spacing w:after="0" w:line="252" w:lineRule="auto"/>
            </w:pPr>
            <w:r>
              <w:rPr>
                <w:rFonts w:ascii="Calibri" w:hAnsi="Calibri"/>
                <w:b w:val="0"/>
                <w:color w:val="0B2545"/>
                <w:sz w:val="17"/>
              </w:rPr>
              <w:t>Daily exception review</w:t>
            </w:r>
          </w:p>
        </w:tc>
      </w:tr>
      <w:tr>
        <w:trPr>
          <w:cantSplit w:val="true"/>
        </w:trPr>
        <w:tc>
          <w:tcPr>
            <w:tcW w:type="dxa" w:w="4350"/>
            <w:tcMar>
              <w:top w:w="80" w:type="dxa"/>
              <w:start w:w="120" w:type="dxa"/>
              <w:bottom w:w="80" w:type="dxa"/>
              <w:end w:w="120" w:type="dxa"/>
            </w:tcMar>
            <w:vAlign w:val="center"/>
          </w:tcPr>
          <w:p>
            <w:pPr>
              <w:spacing w:after="0" w:line="252" w:lineRule="auto"/>
            </w:pPr>
            <w:r>
              <w:rPr>
                <w:rFonts w:ascii="Calibri" w:hAnsi="Calibri"/>
                <w:b w:val="0"/>
                <w:color w:val="0B2545"/>
                <w:sz w:val="17"/>
              </w:rPr>
              <w:t>Patient/condition data leaving the approved local boundary</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B2545"/>
                <w:sz w:val="17"/>
              </w:rPr>
              <w:t>0</w:t>
            </w:r>
          </w:p>
        </w:tc>
        <w:tc>
          <w:tcPr>
            <w:tcW w:type="dxa" w:w="3810"/>
            <w:tcMar>
              <w:top w:w="80" w:type="dxa"/>
              <w:start w:w="120" w:type="dxa"/>
              <w:bottom w:w="80" w:type="dxa"/>
              <w:end w:w="120" w:type="dxa"/>
            </w:tcMar>
            <w:vAlign w:val="center"/>
          </w:tcPr>
          <w:p>
            <w:pPr>
              <w:spacing w:after="0" w:line="252" w:lineRule="auto"/>
            </w:pPr>
            <w:r>
              <w:rPr>
                <w:rFonts w:ascii="Calibri" w:hAnsi="Calibri"/>
                <w:b w:val="0"/>
                <w:color w:val="0B2545"/>
                <w:sz w:val="17"/>
              </w:rPr>
              <w:t>Privacy/security incident</w:t>
            </w:r>
          </w:p>
        </w:tc>
      </w:tr>
      <w:tr>
        <w:trPr>
          <w:cantSplit w:val="true"/>
        </w:trPr>
        <w:tc>
          <w:tcPr>
            <w:tcW w:type="dxa" w:w="4350"/>
            <w:tcMar>
              <w:top w:w="80" w:type="dxa"/>
              <w:start w:w="120" w:type="dxa"/>
              <w:bottom w:w="80" w:type="dxa"/>
              <w:end w:w="120" w:type="dxa"/>
            </w:tcMar>
            <w:vAlign w:val="center"/>
          </w:tcPr>
          <w:p>
            <w:pPr>
              <w:spacing w:after="0" w:line="252" w:lineRule="auto"/>
            </w:pPr>
            <w:r>
              <w:rPr>
                <w:rFonts w:ascii="Calibri" w:hAnsi="Calibri"/>
                <w:b w:val="0"/>
                <w:color w:val="0B2545"/>
                <w:sz w:val="17"/>
              </w:rPr>
              <w:t>Patient identifiers or raw condition text in logs/calibration</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B2545"/>
                <w:sz w:val="17"/>
              </w:rPr>
              <w:t>0</w:t>
            </w:r>
          </w:p>
        </w:tc>
        <w:tc>
          <w:tcPr>
            <w:tcW w:type="dxa" w:w="3810"/>
            <w:tcMar>
              <w:top w:w="80" w:type="dxa"/>
              <w:start w:w="120" w:type="dxa"/>
              <w:bottom w:w="80" w:type="dxa"/>
              <w:end w:w="120" w:type="dxa"/>
            </w:tcMar>
            <w:vAlign w:val="center"/>
          </w:tcPr>
          <w:p>
            <w:pPr>
              <w:spacing w:after="0" w:line="252" w:lineRule="auto"/>
            </w:pPr>
            <w:r>
              <w:rPr>
                <w:rFonts w:ascii="Calibri" w:hAnsi="Calibri"/>
                <w:b w:val="0"/>
                <w:color w:val="0B2545"/>
                <w:sz w:val="17"/>
              </w:rPr>
              <w:t>Release scan and monthly review</w:t>
            </w:r>
          </w:p>
        </w:tc>
      </w:tr>
      <w:tr>
        <w:trPr>
          <w:cantSplit w:val="true"/>
        </w:trPr>
        <w:tc>
          <w:tcPr>
            <w:tcW w:type="dxa" w:w="4350"/>
            <w:tcMar>
              <w:top w:w="80" w:type="dxa"/>
              <w:start w:w="120" w:type="dxa"/>
              <w:bottom w:w="80" w:type="dxa"/>
              <w:end w:w="120" w:type="dxa"/>
            </w:tcMar>
            <w:vAlign w:val="center"/>
          </w:tcPr>
          <w:p>
            <w:pPr>
              <w:spacing w:after="0" w:line="252" w:lineRule="auto"/>
            </w:pPr>
            <w:r>
              <w:rPr>
                <w:rFonts w:ascii="Calibri" w:hAnsi="Calibri"/>
                <w:b w:val="0"/>
                <w:color w:val="0B2545"/>
                <w:sz w:val="17"/>
              </w:rPr>
              <w:t>Below-threshold or unapproved calibration application</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B2545"/>
                <w:sz w:val="17"/>
              </w:rPr>
              <w:t>0</w:t>
            </w:r>
          </w:p>
        </w:tc>
        <w:tc>
          <w:tcPr>
            <w:tcW w:type="dxa" w:w="3810"/>
            <w:tcMar>
              <w:top w:w="80" w:type="dxa"/>
              <w:start w:w="120" w:type="dxa"/>
              <w:bottom w:w="80" w:type="dxa"/>
              <w:end w:w="120" w:type="dxa"/>
            </w:tcMar>
            <w:vAlign w:val="center"/>
          </w:tcPr>
          <w:p>
            <w:pPr>
              <w:spacing w:after="0" w:line="252" w:lineRule="auto"/>
            </w:pPr>
            <w:r>
              <w:rPr>
                <w:rFonts w:ascii="Calibri" w:hAnsi="Calibri"/>
                <w:b w:val="0"/>
                <w:color w:val="0B2545"/>
                <w:sz w:val="17"/>
              </w:rPr>
              <w:t>Review every proposal and application</w:t>
            </w:r>
          </w:p>
        </w:tc>
      </w:tr>
    </w:tbl>
    <w:p>
      <w:pPr>
        <w:spacing w:after="80"/>
      </w:pPr>
    </w:p>
    <w:p>
      <w:pPr>
        <w:pStyle w:val="Heading2"/>
        <w:keepNext/>
      </w:pPr>
      <w:r>
        <w:rPr>
          <w:rFonts w:ascii="Calibri" w:hAnsi="Calibri"/>
          <w:b/>
          <w:color w:val="2E74B5"/>
        </w:rPr>
        <w:t>7.2 Pilot and Service Metrics</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3300"/>
        <w:gridCol w:w="3290"/>
        <w:gridCol w:w="2770"/>
      </w:tblGrid>
      <w:tr>
        <w:trPr>
          <w:tblHeader w:val="true"/>
          <w:cantSplit w:val="true"/>
        </w:trPr>
        <w:tc>
          <w:tcPr>
            <w:tcW w:type="dxa" w:w="3300"/>
            <w:shd w:fill="F2F4F7"/>
            <w:tcMar>
              <w:top w:w="80" w:type="dxa"/>
              <w:start w:w="120" w:type="dxa"/>
              <w:bottom w:w="80" w:type="dxa"/>
              <w:end w:w="120" w:type="dxa"/>
            </w:tcMar>
            <w:vAlign w:val="center"/>
          </w:tcPr>
          <w:p>
            <w:pPr>
              <w:spacing w:after="0"/>
              <w:jc w:val="center"/>
            </w:pPr>
            <w:r>
              <w:rPr>
                <w:rFonts w:ascii="Calibri" w:hAnsi="Calibri"/>
                <w:b/>
                <w:color w:val="0B2545"/>
                <w:sz w:val="18"/>
              </w:rPr>
              <w:t>Metric</w:t>
            </w:r>
          </w:p>
        </w:tc>
        <w:tc>
          <w:tcPr>
            <w:tcW w:type="dxa" w:w="3290"/>
            <w:shd w:fill="F2F4F7"/>
            <w:tcMar>
              <w:top w:w="80" w:type="dxa"/>
              <w:start w:w="120" w:type="dxa"/>
              <w:bottom w:w="80" w:type="dxa"/>
              <w:end w:w="120" w:type="dxa"/>
            </w:tcMar>
            <w:vAlign w:val="center"/>
          </w:tcPr>
          <w:p>
            <w:pPr>
              <w:spacing w:after="0"/>
              <w:jc w:val="left"/>
            </w:pPr>
            <w:r>
              <w:rPr>
                <w:rFonts w:ascii="Calibri" w:hAnsi="Calibri"/>
                <w:b/>
                <w:color w:val="0B2545"/>
                <w:sz w:val="18"/>
              </w:rPr>
              <w:t>Recommended starting target</w:t>
            </w:r>
          </w:p>
        </w:tc>
        <w:tc>
          <w:tcPr>
            <w:tcW w:type="dxa" w:w="2770"/>
            <w:shd w:fill="F2F4F7"/>
            <w:tcMar>
              <w:top w:w="80" w:type="dxa"/>
              <w:start w:w="120" w:type="dxa"/>
              <w:bottom w:w="80" w:type="dxa"/>
              <w:end w:w="120" w:type="dxa"/>
            </w:tcMar>
            <w:vAlign w:val="center"/>
          </w:tcPr>
          <w:p>
            <w:pPr>
              <w:spacing w:after="0"/>
              <w:jc w:val="left"/>
            </w:pPr>
            <w:r>
              <w:rPr>
                <w:rFonts w:ascii="Calibri" w:hAnsi="Calibri"/>
                <w:b/>
                <w:color w:val="0B2545"/>
                <w:sz w:val="18"/>
              </w:rPr>
              <w:t>Status at evidence cutoff</w:t>
            </w:r>
          </w:p>
        </w:tc>
      </w:tr>
      <w:tr>
        <w:trPr>
          <w:cantSplit w:val="true"/>
        </w:trPr>
        <w:tc>
          <w:tcPr>
            <w:tcW w:type="dxa" w:w="3300"/>
            <w:tcMar>
              <w:top w:w="80" w:type="dxa"/>
              <w:start w:w="120" w:type="dxa"/>
              <w:bottom w:w="80" w:type="dxa"/>
              <w:end w:w="120" w:type="dxa"/>
            </w:tcMar>
            <w:vAlign w:val="center"/>
          </w:tcPr>
          <w:p>
            <w:pPr>
              <w:spacing w:after="0" w:line="252" w:lineRule="auto"/>
            </w:pPr>
            <w:r>
              <w:rPr>
                <w:rFonts w:ascii="Calibri" w:hAnsi="Calibri"/>
                <w:b w:val="0"/>
                <w:color w:val="0B2545"/>
                <w:sz w:val="17"/>
              </w:rPr>
              <w:t>Top-five recommendation acceptance</w:t>
            </w:r>
          </w:p>
        </w:tc>
        <w:tc>
          <w:tcPr>
            <w:tcW w:type="dxa" w:w="3290"/>
            <w:tcMar>
              <w:top w:w="80" w:type="dxa"/>
              <w:start w:w="120" w:type="dxa"/>
              <w:bottom w:w="80" w:type="dxa"/>
              <w:end w:w="120" w:type="dxa"/>
            </w:tcMar>
            <w:vAlign w:val="center"/>
          </w:tcPr>
          <w:p>
            <w:pPr>
              <w:spacing w:after="0" w:line="252" w:lineRule="auto"/>
            </w:pPr>
            <w:r>
              <w:rPr>
                <w:rFonts w:ascii="Calibri" w:hAnsi="Calibri"/>
                <w:b w:val="0"/>
                <w:color w:val="0B2545"/>
                <w:sz w:val="17"/>
              </w:rPr>
              <w:t>&gt;=70% after four representative weeks</w:t>
            </w:r>
          </w:p>
        </w:tc>
        <w:tc>
          <w:tcPr>
            <w:tcW w:type="dxa" w:w="2770"/>
            <w:tcMar>
              <w:top w:w="80" w:type="dxa"/>
              <w:start w:w="120" w:type="dxa"/>
              <w:bottom w:w="80" w:type="dxa"/>
              <w:end w:w="120" w:type="dxa"/>
            </w:tcMar>
            <w:vAlign w:val="center"/>
          </w:tcPr>
          <w:p>
            <w:pPr>
              <w:spacing w:after="0" w:line="252" w:lineRule="auto"/>
            </w:pPr>
            <w:r>
              <w:rPr>
                <w:rFonts w:ascii="Calibri" w:hAnsi="Calibri"/>
                <w:b w:val="0"/>
                <w:color w:val="0B2545"/>
                <w:sz w:val="17"/>
              </w:rPr>
              <w:t>Not yet measured in production</w:t>
            </w:r>
          </w:p>
        </w:tc>
      </w:tr>
      <w:tr>
        <w:trPr>
          <w:cantSplit w:val="true"/>
        </w:trPr>
        <w:tc>
          <w:tcPr>
            <w:tcW w:type="dxa" w:w="3300"/>
            <w:tcMar>
              <w:top w:w="80" w:type="dxa"/>
              <w:start w:w="120" w:type="dxa"/>
              <w:bottom w:w="80" w:type="dxa"/>
              <w:end w:w="120" w:type="dxa"/>
            </w:tcMar>
            <w:vAlign w:val="center"/>
          </w:tcPr>
          <w:p>
            <w:pPr>
              <w:spacing w:after="0" w:line="252" w:lineRule="auto"/>
            </w:pPr>
            <w:r>
              <w:rPr>
                <w:rFonts w:ascii="Calibri" w:hAnsi="Calibri"/>
                <w:b w:val="0"/>
                <w:color w:val="0B2545"/>
                <w:sz w:val="17"/>
              </w:rPr>
              <w:t>Median request-to-confirm handling time</w:t>
            </w:r>
          </w:p>
        </w:tc>
        <w:tc>
          <w:tcPr>
            <w:tcW w:type="dxa" w:w="3290"/>
            <w:tcMar>
              <w:top w:w="80" w:type="dxa"/>
              <w:start w:w="120" w:type="dxa"/>
              <w:bottom w:w="80" w:type="dxa"/>
              <w:end w:w="120" w:type="dxa"/>
            </w:tcMar>
            <w:vAlign w:val="center"/>
          </w:tcPr>
          <w:p>
            <w:pPr>
              <w:spacing w:after="0" w:line="252" w:lineRule="auto"/>
            </w:pPr>
            <w:r>
              <w:rPr>
                <w:rFonts w:ascii="Calibri" w:hAnsi="Calibri"/>
                <w:b w:val="0"/>
                <w:color w:val="0B2545"/>
                <w:sz w:val="17"/>
              </w:rPr>
              <w:t>&lt;=2 minutes or &gt;=25% better than approved baseline</w:t>
            </w:r>
          </w:p>
        </w:tc>
        <w:tc>
          <w:tcPr>
            <w:tcW w:type="dxa" w:w="2770"/>
            <w:tcMar>
              <w:top w:w="80" w:type="dxa"/>
              <w:start w:w="120" w:type="dxa"/>
              <w:bottom w:w="80" w:type="dxa"/>
              <w:end w:w="120" w:type="dxa"/>
            </w:tcMar>
            <w:vAlign w:val="center"/>
          </w:tcPr>
          <w:p>
            <w:pPr>
              <w:spacing w:after="0" w:line="252" w:lineRule="auto"/>
            </w:pPr>
            <w:r>
              <w:rPr>
                <w:rFonts w:ascii="Calibri" w:hAnsi="Calibri"/>
                <w:b w:val="0"/>
                <w:color w:val="0B2545"/>
                <w:sz w:val="17"/>
              </w:rPr>
              <w:t>Pilot baseline required</w:t>
            </w:r>
          </w:p>
        </w:tc>
      </w:tr>
      <w:tr>
        <w:trPr>
          <w:cantSplit w:val="true"/>
        </w:trPr>
        <w:tc>
          <w:tcPr>
            <w:tcW w:type="dxa" w:w="3300"/>
            <w:tcMar>
              <w:top w:w="80" w:type="dxa"/>
              <w:start w:w="120" w:type="dxa"/>
              <w:bottom w:w="80" w:type="dxa"/>
              <w:end w:w="120" w:type="dxa"/>
            </w:tcMar>
            <w:vAlign w:val="center"/>
          </w:tcPr>
          <w:p>
            <w:pPr>
              <w:spacing w:after="0" w:line="252" w:lineRule="auto"/>
            </w:pPr>
            <w:r>
              <w:rPr>
                <w:rFonts w:ascii="Calibri" w:hAnsi="Calibri"/>
                <w:b w:val="0"/>
                <w:color w:val="0B2545"/>
                <w:sz w:val="17"/>
              </w:rPr>
              <w:t>Waitlist recovery</w:t>
            </w:r>
          </w:p>
        </w:tc>
        <w:tc>
          <w:tcPr>
            <w:tcW w:type="dxa" w:w="3290"/>
            <w:tcMar>
              <w:top w:w="80" w:type="dxa"/>
              <w:start w:w="120" w:type="dxa"/>
              <w:bottom w:w="80" w:type="dxa"/>
              <w:end w:w="120" w:type="dxa"/>
            </w:tcMar>
            <w:vAlign w:val="center"/>
          </w:tcPr>
          <w:p>
            <w:pPr>
              <w:spacing w:after="0" w:line="252" w:lineRule="auto"/>
            </w:pPr>
            <w:r>
              <w:rPr>
                <w:rFonts w:ascii="Calibri" w:hAnsi="Calibri"/>
                <w:b w:val="0"/>
                <w:color w:val="0B2545"/>
                <w:sz w:val="17"/>
              </w:rPr>
              <w:t>&gt;=20% improvement over baseline after eight weeks</w:t>
            </w:r>
          </w:p>
        </w:tc>
        <w:tc>
          <w:tcPr>
            <w:tcW w:type="dxa" w:w="2770"/>
            <w:tcMar>
              <w:top w:w="80" w:type="dxa"/>
              <w:start w:w="120" w:type="dxa"/>
              <w:bottom w:w="80" w:type="dxa"/>
              <w:end w:w="120" w:type="dxa"/>
            </w:tcMar>
            <w:vAlign w:val="center"/>
          </w:tcPr>
          <w:p>
            <w:pPr>
              <w:spacing w:after="0" w:line="252" w:lineRule="auto"/>
            </w:pPr>
            <w:r>
              <w:rPr>
                <w:rFonts w:ascii="Calibri" w:hAnsi="Calibri"/>
                <w:b w:val="0"/>
                <w:color w:val="0B2545"/>
                <w:sz w:val="17"/>
              </w:rPr>
              <w:t>Pilot baseline required</w:t>
            </w:r>
          </w:p>
        </w:tc>
      </w:tr>
      <w:tr>
        <w:trPr>
          <w:cantSplit w:val="true"/>
        </w:trPr>
        <w:tc>
          <w:tcPr>
            <w:tcW w:type="dxa" w:w="3300"/>
            <w:tcMar>
              <w:top w:w="80" w:type="dxa"/>
              <w:start w:w="120" w:type="dxa"/>
              <w:bottom w:w="80" w:type="dxa"/>
              <w:end w:w="120" w:type="dxa"/>
            </w:tcMar>
            <w:vAlign w:val="center"/>
          </w:tcPr>
          <w:p>
            <w:pPr>
              <w:spacing w:after="0" w:line="252" w:lineRule="auto"/>
            </w:pPr>
            <w:r>
              <w:rPr>
                <w:rFonts w:ascii="Calibri" w:hAnsi="Calibri"/>
                <w:b w:val="0"/>
                <w:color w:val="0B2545"/>
                <w:sz w:val="17"/>
              </w:rPr>
              <w:t>Service availability during approved clinic hours</w:t>
            </w:r>
          </w:p>
        </w:tc>
        <w:tc>
          <w:tcPr>
            <w:tcW w:type="dxa" w:w="3290"/>
            <w:tcMar>
              <w:top w:w="80" w:type="dxa"/>
              <w:start w:w="120" w:type="dxa"/>
              <w:bottom w:w="80" w:type="dxa"/>
              <w:end w:w="120" w:type="dxa"/>
            </w:tcMar>
            <w:vAlign w:val="center"/>
          </w:tcPr>
          <w:p>
            <w:pPr>
              <w:spacing w:after="0" w:line="252" w:lineRule="auto"/>
            </w:pPr>
            <w:r>
              <w:rPr>
                <w:rFonts w:ascii="Calibri" w:hAnsi="Calibri"/>
                <w:b w:val="0"/>
                <w:color w:val="0B2545"/>
                <w:sz w:val="17"/>
              </w:rPr>
              <w:t>&gt;=99.5% monthly</w:t>
            </w:r>
          </w:p>
        </w:tc>
        <w:tc>
          <w:tcPr>
            <w:tcW w:type="dxa" w:w="2770"/>
            <w:tcMar>
              <w:top w:w="80" w:type="dxa"/>
              <w:start w:w="120" w:type="dxa"/>
              <w:bottom w:w="80" w:type="dxa"/>
              <w:end w:w="120" w:type="dxa"/>
            </w:tcMar>
            <w:vAlign w:val="center"/>
          </w:tcPr>
          <w:p>
            <w:pPr>
              <w:spacing w:after="0" w:line="252" w:lineRule="auto"/>
            </w:pPr>
            <w:r>
              <w:rPr>
                <w:rFonts w:ascii="Calibri" w:hAnsi="Calibri"/>
                <w:b w:val="0"/>
                <w:color w:val="0B2545"/>
                <w:sz w:val="17"/>
              </w:rPr>
              <w:t>Target-host monitoring required</w:t>
            </w:r>
          </w:p>
        </w:tc>
      </w:tr>
      <w:tr>
        <w:trPr>
          <w:cantSplit w:val="true"/>
        </w:trPr>
        <w:tc>
          <w:tcPr>
            <w:tcW w:type="dxa" w:w="3300"/>
            <w:tcMar>
              <w:top w:w="80" w:type="dxa"/>
              <w:start w:w="120" w:type="dxa"/>
              <w:bottom w:w="80" w:type="dxa"/>
              <w:end w:w="120" w:type="dxa"/>
            </w:tcMar>
            <w:vAlign w:val="center"/>
          </w:tcPr>
          <w:p>
            <w:pPr>
              <w:spacing w:after="0" w:line="252" w:lineRule="auto"/>
            </w:pPr>
            <w:r>
              <w:rPr>
                <w:rFonts w:ascii="Calibri" w:hAnsi="Calibri"/>
                <w:b w:val="0"/>
                <w:color w:val="0B2545"/>
                <w:sz w:val="17"/>
              </w:rPr>
              <w:t>Valid non-conflicting confirmation success</w:t>
            </w:r>
          </w:p>
        </w:tc>
        <w:tc>
          <w:tcPr>
            <w:tcW w:type="dxa" w:w="3290"/>
            <w:tcMar>
              <w:top w:w="80" w:type="dxa"/>
              <w:start w:w="120" w:type="dxa"/>
              <w:bottom w:w="80" w:type="dxa"/>
              <w:end w:w="120" w:type="dxa"/>
            </w:tcMar>
            <w:vAlign w:val="center"/>
          </w:tcPr>
          <w:p>
            <w:pPr>
              <w:spacing w:after="0" w:line="252" w:lineRule="auto"/>
            </w:pPr>
            <w:r>
              <w:rPr>
                <w:rFonts w:ascii="Calibri" w:hAnsi="Calibri"/>
                <w:b w:val="0"/>
                <w:color w:val="0B2545"/>
                <w:sz w:val="17"/>
              </w:rPr>
              <w:t>&gt;=99.5%</w:t>
            </w:r>
          </w:p>
        </w:tc>
        <w:tc>
          <w:tcPr>
            <w:tcW w:type="dxa" w:w="2770"/>
            <w:tcMar>
              <w:top w:w="80" w:type="dxa"/>
              <w:start w:w="120" w:type="dxa"/>
              <w:bottom w:w="80" w:type="dxa"/>
              <w:end w:w="120" w:type="dxa"/>
            </w:tcMar>
            <w:vAlign w:val="center"/>
          </w:tcPr>
          <w:p>
            <w:pPr>
              <w:spacing w:after="0" w:line="252" w:lineRule="auto"/>
            </w:pPr>
            <w:r>
              <w:rPr>
                <w:rFonts w:ascii="Calibri" w:hAnsi="Calibri"/>
                <w:b w:val="0"/>
                <w:color w:val="0B2545"/>
                <w:sz w:val="17"/>
              </w:rPr>
              <w:t>Production measurement required</w:t>
            </w:r>
          </w:p>
        </w:tc>
      </w:tr>
      <w:tr>
        <w:trPr>
          <w:cantSplit w:val="true"/>
        </w:trPr>
        <w:tc>
          <w:tcPr>
            <w:tcW w:type="dxa" w:w="3300"/>
            <w:tcMar>
              <w:top w:w="80" w:type="dxa"/>
              <w:start w:w="120" w:type="dxa"/>
              <w:bottom w:w="80" w:type="dxa"/>
              <w:end w:w="120" w:type="dxa"/>
            </w:tcMar>
            <w:vAlign w:val="center"/>
          </w:tcPr>
          <w:p>
            <w:pPr>
              <w:spacing w:after="0" w:line="252" w:lineRule="auto"/>
            </w:pPr>
            <w:r>
              <w:rPr>
                <w:rFonts w:ascii="Calibri" w:hAnsi="Calibri"/>
                <w:b w:val="0"/>
                <w:color w:val="0B2545"/>
                <w:sz w:val="17"/>
              </w:rPr>
              <w:t>Recommendation / confirmation / annual-view latency</w:t>
            </w:r>
          </w:p>
        </w:tc>
        <w:tc>
          <w:tcPr>
            <w:tcW w:type="dxa" w:w="3290"/>
            <w:tcMar>
              <w:top w:w="80" w:type="dxa"/>
              <w:start w:w="120" w:type="dxa"/>
              <w:bottom w:w="80" w:type="dxa"/>
              <w:end w:w="120" w:type="dxa"/>
            </w:tcMar>
            <w:vAlign w:val="center"/>
          </w:tcPr>
          <w:p>
            <w:pPr>
              <w:spacing w:after="0" w:line="252" w:lineRule="auto"/>
            </w:pPr>
            <w:r>
              <w:rPr>
                <w:rFonts w:ascii="Calibri" w:hAnsi="Calibri"/>
                <w:b w:val="0"/>
                <w:color w:val="0B2545"/>
                <w:sz w:val="17"/>
              </w:rPr>
              <w:t>Local p95 &lt;=5s / &lt;=2s / &lt;=2s</w:t>
            </w:r>
          </w:p>
        </w:tc>
        <w:tc>
          <w:tcPr>
            <w:tcW w:type="dxa" w:w="2770"/>
            <w:tcMar>
              <w:top w:w="80" w:type="dxa"/>
              <w:start w:w="120" w:type="dxa"/>
              <w:bottom w:w="80" w:type="dxa"/>
              <w:end w:w="120" w:type="dxa"/>
            </w:tcMar>
            <w:vAlign w:val="center"/>
          </w:tcPr>
          <w:p>
            <w:pPr>
              <w:spacing w:after="0" w:line="252" w:lineRule="auto"/>
            </w:pPr>
            <w:r>
              <w:rPr>
                <w:rFonts w:ascii="Calibri" w:hAnsi="Calibri"/>
                <w:b w:val="0"/>
                <w:color w:val="0B2545"/>
                <w:sz w:val="17"/>
              </w:rPr>
              <w:t>Target-hardware test required</w:t>
            </w:r>
          </w:p>
        </w:tc>
      </w:tr>
      <w:tr>
        <w:trPr>
          <w:cantSplit w:val="true"/>
        </w:trPr>
        <w:tc>
          <w:tcPr>
            <w:tcW w:type="dxa" w:w="3300"/>
            <w:tcMar>
              <w:top w:w="80" w:type="dxa"/>
              <w:start w:w="120" w:type="dxa"/>
              <w:bottom w:w="80" w:type="dxa"/>
              <w:end w:w="120" w:type="dxa"/>
            </w:tcMar>
            <w:vAlign w:val="center"/>
          </w:tcPr>
          <w:p>
            <w:pPr>
              <w:spacing w:after="0" w:line="252" w:lineRule="auto"/>
            </w:pPr>
            <w:r>
              <w:rPr>
                <w:rFonts w:ascii="Calibri" w:hAnsi="Calibri"/>
                <w:b w:val="0"/>
                <w:color w:val="0B2545"/>
                <w:sz w:val="17"/>
              </w:rPr>
              <w:t>Schema-valid model output / urgent sentinel recall</w:t>
            </w:r>
          </w:p>
        </w:tc>
        <w:tc>
          <w:tcPr>
            <w:tcW w:type="dxa" w:w="3290"/>
            <w:tcMar>
              <w:top w:w="80" w:type="dxa"/>
              <w:start w:w="120" w:type="dxa"/>
              <w:bottom w:w="80" w:type="dxa"/>
              <w:end w:w="120" w:type="dxa"/>
            </w:tcMar>
            <w:vAlign w:val="center"/>
          </w:tcPr>
          <w:p>
            <w:pPr>
              <w:spacing w:after="0" w:line="252" w:lineRule="auto"/>
            </w:pPr>
            <w:r>
              <w:rPr>
                <w:rFonts w:ascii="Calibri" w:hAnsi="Calibri"/>
                <w:b w:val="0"/>
                <w:color w:val="0B2545"/>
                <w:sz w:val="17"/>
              </w:rPr>
              <w:t>&gt;=99% / 100%</w:t>
            </w:r>
          </w:p>
        </w:tc>
        <w:tc>
          <w:tcPr>
            <w:tcW w:type="dxa" w:w="2770"/>
            <w:tcMar>
              <w:top w:w="80" w:type="dxa"/>
              <w:start w:w="120" w:type="dxa"/>
              <w:bottom w:w="80" w:type="dxa"/>
              <w:end w:w="120" w:type="dxa"/>
            </w:tcMar>
            <w:vAlign w:val="center"/>
          </w:tcPr>
          <w:p>
            <w:pPr>
              <w:spacing w:after="0" w:line="252" w:lineRule="auto"/>
            </w:pPr>
            <w:r>
              <w:rPr>
                <w:rFonts w:ascii="Calibri" w:hAnsi="Calibri"/>
                <w:b w:val="0"/>
                <w:color w:val="0B2545"/>
                <w:sz w:val="17"/>
              </w:rPr>
              <w:t>Applies only when optional local AI is enabled; approved validation set required</w:t>
            </w:r>
          </w:p>
        </w:tc>
      </w:tr>
      <w:tr>
        <w:trPr>
          <w:cantSplit w:val="true"/>
        </w:trPr>
        <w:tc>
          <w:tcPr>
            <w:tcW w:type="dxa" w:w="3300"/>
            <w:tcMar>
              <w:top w:w="80" w:type="dxa"/>
              <w:start w:w="120" w:type="dxa"/>
              <w:bottom w:w="80" w:type="dxa"/>
              <w:end w:w="120" w:type="dxa"/>
            </w:tcMar>
            <w:vAlign w:val="center"/>
          </w:tcPr>
          <w:p>
            <w:pPr>
              <w:spacing w:after="0" w:line="252" w:lineRule="auto"/>
            </w:pPr>
            <w:r>
              <w:rPr>
                <w:rFonts w:ascii="Calibri" w:hAnsi="Calibri"/>
                <w:b w:val="0"/>
                <w:color w:val="0B2545"/>
                <w:sz w:val="17"/>
              </w:rPr>
              <w:t>Rules-profile normalization coverage / manual-review rate</w:t>
            </w:r>
          </w:p>
        </w:tc>
        <w:tc>
          <w:tcPr>
            <w:tcW w:type="dxa" w:w="3290"/>
            <w:tcMar>
              <w:top w:w="80" w:type="dxa"/>
              <w:start w:w="120" w:type="dxa"/>
              <w:bottom w:w="80" w:type="dxa"/>
              <w:end w:w="120" w:type="dxa"/>
            </w:tcMar>
            <w:vAlign w:val="center"/>
          </w:tcPr>
          <w:p>
            <w:pPr>
              <w:spacing w:after="0" w:line="252" w:lineRule="auto"/>
            </w:pPr>
            <w:r>
              <w:rPr>
                <w:rFonts w:ascii="Calibri" w:hAnsi="Calibri"/>
                <w:b w:val="0"/>
                <w:color w:val="0B2545"/>
                <w:sz w:val="17"/>
              </w:rPr>
              <w:t>Approve after representative staging baseline</w:t>
            </w:r>
          </w:p>
        </w:tc>
        <w:tc>
          <w:tcPr>
            <w:tcW w:type="dxa" w:w="2770"/>
            <w:tcMar>
              <w:top w:w="80" w:type="dxa"/>
              <w:start w:w="120" w:type="dxa"/>
              <w:bottom w:w="80" w:type="dxa"/>
              <w:end w:w="120" w:type="dxa"/>
            </w:tcMar>
            <w:vAlign w:val="center"/>
          </w:tcPr>
          <w:p>
            <w:pPr>
              <w:spacing w:after="0" w:line="252" w:lineRule="auto"/>
            </w:pPr>
            <w:r>
              <w:rPr>
                <w:rFonts w:ascii="Calibri" w:hAnsi="Calibri"/>
                <w:b w:val="0"/>
                <w:color w:val="0B2545"/>
                <w:sz w:val="17"/>
              </w:rPr>
              <w:t>Required for deployments without local AI</w:t>
            </w:r>
          </w:p>
        </w:tc>
      </w:tr>
      <w:tr>
        <w:trPr>
          <w:cantSplit w:val="true"/>
        </w:trPr>
        <w:tc>
          <w:tcPr>
            <w:tcW w:type="dxa" w:w="3300"/>
            <w:tcMar>
              <w:top w:w="80" w:type="dxa"/>
              <w:start w:w="120" w:type="dxa"/>
              <w:bottom w:w="80" w:type="dxa"/>
              <w:end w:w="120" w:type="dxa"/>
            </w:tcMar>
            <w:vAlign w:val="center"/>
          </w:tcPr>
          <w:p>
            <w:pPr>
              <w:spacing w:after="0" w:line="252" w:lineRule="auto"/>
            </w:pPr>
            <w:r>
              <w:rPr>
                <w:rFonts w:ascii="Calibri" w:hAnsi="Calibri"/>
                <w:b w:val="0"/>
                <w:color w:val="0B2545"/>
                <w:sz w:val="17"/>
              </w:rPr>
              <w:t>Valid de-identified duration observations</w:t>
            </w:r>
          </w:p>
        </w:tc>
        <w:tc>
          <w:tcPr>
            <w:tcW w:type="dxa" w:w="3290"/>
            <w:tcMar>
              <w:top w:w="80" w:type="dxa"/>
              <w:start w:w="120" w:type="dxa"/>
              <w:bottom w:w="80" w:type="dxa"/>
              <w:end w:w="120" w:type="dxa"/>
            </w:tcMar>
            <w:vAlign w:val="center"/>
          </w:tcPr>
          <w:p>
            <w:pPr>
              <w:spacing w:after="0" w:line="252" w:lineRule="auto"/>
            </w:pPr>
            <w:r>
              <w:rPr>
                <w:rFonts w:ascii="Calibri" w:hAnsi="Calibri"/>
                <w:b w:val="0"/>
                <w:color w:val="0B2545"/>
                <w:sz w:val="17"/>
              </w:rPr>
              <w:t>&gt;=95% of eligible completions</w:t>
            </w:r>
          </w:p>
        </w:tc>
        <w:tc>
          <w:tcPr>
            <w:tcW w:type="dxa" w:w="2770"/>
            <w:tcMar>
              <w:top w:w="80" w:type="dxa"/>
              <w:start w:w="120" w:type="dxa"/>
              <w:bottom w:w="80" w:type="dxa"/>
              <w:end w:w="120" w:type="dxa"/>
            </w:tcMar>
            <w:vAlign w:val="center"/>
          </w:tcPr>
          <w:p>
            <w:pPr>
              <w:spacing w:after="0" w:line="252" w:lineRule="auto"/>
            </w:pPr>
            <w:r>
              <w:rPr>
                <w:rFonts w:ascii="Calibri" w:hAnsi="Calibri"/>
                <w:b w:val="0"/>
                <w:color w:val="0B2545"/>
                <w:sz w:val="17"/>
              </w:rPr>
              <w:t>Measure after controlled use</w:t>
            </w:r>
          </w:p>
        </w:tc>
      </w:tr>
      <w:tr>
        <w:trPr>
          <w:cantSplit w:val="true"/>
        </w:trPr>
        <w:tc>
          <w:tcPr>
            <w:tcW w:type="dxa" w:w="3300"/>
            <w:tcMar>
              <w:top w:w="80" w:type="dxa"/>
              <w:start w:w="120" w:type="dxa"/>
              <w:bottom w:w="80" w:type="dxa"/>
              <w:end w:w="120" w:type="dxa"/>
            </w:tcMar>
            <w:vAlign w:val="center"/>
          </w:tcPr>
          <w:p>
            <w:pPr>
              <w:spacing w:after="0" w:line="252" w:lineRule="auto"/>
            </w:pPr>
            <w:r>
              <w:rPr>
                <w:rFonts w:ascii="Calibri" w:hAnsi="Calibri"/>
                <w:b w:val="0"/>
                <w:color w:val="0B2545"/>
                <w:sz w:val="17"/>
              </w:rPr>
              <w:t>Prospective calibration error improvement</w:t>
            </w:r>
          </w:p>
        </w:tc>
        <w:tc>
          <w:tcPr>
            <w:tcW w:type="dxa" w:w="3290"/>
            <w:tcMar>
              <w:top w:w="80" w:type="dxa"/>
              <w:start w:w="120" w:type="dxa"/>
              <w:bottom w:w="80" w:type="dxa"/>
              <w:end w:w="120" w:type="dxa"/>
            </w:tcMar>
            <w:vAlign w:val="center"/>
          </w:tcPr>
          <w:p>
            <w:pPr>
              <w:spacing w:after="0" w:line="252" w:lineRule="auto"/>
            </w:pPr>
            <w:r>
              <w:rPr>
                <w:rFonts w:ascii="Calibri" w:hAnsi="Calibri"/>
                <w:b w:val="0"/>
                <w:color w:val="0B2545"/>
                <w:sz w:val="17"/>
              </w:rPr>
              <w:t>&gt;=10% versus prior policy on later holdout</w:t>
            </w:r>
          </w:p>
        </w:tc>
        <w:tc>
          <w:tcPr>
            <w:tcW w:type="dxa" w:w="2770"/>
            <w:tcMar>
              <w:top w:w="80" w:type="dxa"/>
              <w:start w:w="120" w:type="dxa"/>
              <w:bottom w:w="80" w:type="dxa"/>
              <w:end w:w="120" w:type="dxa"/>
            </w:tcMar>
            <w:vAlign w:val="center"/>
          </w:tcPr>
          <w:p>
            <w:pPr>
              <w:spacing w:after="0" w:line="252" w:lineRule="auto"/>
            </w:pPr>
            <w:r>
              <w:rPr>
                <w:rFonts w:ascii="Calibri" w:hAnsi="Calibri"/>
                <w:b w:val="0"/>
                <w:color w:val="0B2545"/>
                <w:sz w:val="17"/>
              </w:rPr>
              <w:t>Requires approved proposal and holdout</w:t>
            </w:r>
          </w:p>
        </w:tc>
      </w:tr>
      <w:tr>
        <w:trPr>
          <w:cantSplit w:val="true"/>
        </w:trPr>
        <w:tc>
          <w:tcPr>
            <w:tcW w:type="dxa" w:w="3300"/>
            <w:tcMar>
              <w:top w:w="80" w:type="dxa"/>
              <w:start w:w="120" w:type="dxa"/>
              <w:bottom w:w="80" w:type="dxa"/>
              <w:end w:w="120" w:type="dxa"/>
            </w:tcMar>
            <w:vAlign w:val="center"/>
          </w:tcPr>
          <w:p>
            <w:pPr>
              <w:spacing w:after="0" w:line="252" w:lineRule="auto"/>
            </w:pPr>
            <w:r>
              <w:rPr>
                <w:rFonts w:ascii="Calibri" w:hAnsi="Calibri"/>
                <w:b w:val="0"/>
                <w:color w:val="0B2545"/>
                <w:sz w:val="17"/>
              </w:rPr>
              <w:t>Training / supported workflow usage / usability</w:t>
            </w:r>
          </w:p>
        </w:tc>
        <w:tc>
          <w:tcPr>
            <w:tcW w:type="dxa" w:w="3290"/>
            <w:tcMar>
              <w:top w:w="80" w:type="dxa"/>
              <w:start w:w="120" w:type="dxa"/>
              <w:bottom w:w="80" w:type="dxa"/>
              <w:end w:w="120" w:type="dxa"/>
            </w:tcMar>
            <w:vAlign w:val="center"/>
          </w:tcPr>
          <w:p>
            <w:pPr>
              <w:spacing w:after="0" w:line="252" w:lineRule="auto"/>
            </w:pPr>
            <w:r>
              <w:rPr>
                <w:rFonts w:ascii="Calibri" w:hAnsi="Calibri"/>
                <w:b w:val="0"/>
                <w:color w:val="0B2545"/>
                <w:sz w:val="17"/>
              </w:rPr>
              <w:t>100% / &gt;=95% eligible bookings / &gt;=4.0 of 5</w:t>
            </w:r>
          </w:p>
        </w:tc>
        <w:tc>
          <w:tcPr>
            <w:tcW w:type="dxa" w:w="2770"/>
            <w:tcMar>
              <w:top w:w="80" w:type="dxa"/>
              <w:start w:w="120" w:type="dxa"/>
              <w:bottom w:w="80" w:type="dxa"/>
              <w:end w:w="120" w:type="dxa"/>
            </w:tcMar>
            <w:vAlign w:val="center"/>
          </w:tcPr>
          <w:p>
            <w:pPr>
              <w:spacing w:after="0" w:line="252" w:lineRule="auto"/>
            </w:pPr>
            <w:r>
              <w:rPr>
                <w:rFonts w:ascii="Calibri" w:hAnsi="Calibri"/>
                <w:b w:val="0"/>
                <w:color w:val="0B2545"/>
                <w:sz w:val="17"/>
              </w:rPr>
              <w:t>Pilot and rollout measurement required</w:t>
            </w:r>
          </w:p>
        </w:tc>
      </w:tr>
    </w:tbl>
    <w:p>
      <w:pPr>
        <w:spacing w:after="80"/>
      </w:pPr>
    </w:p>
    <w:p>
      <w:pPr>
        <w:pStyle w:val="Heading1"/>
        <w:keepNext/>
      </w:pPr>
      <w:r>
        <w:rPr>
          <w:rFonts w:ascii="Calibri" w:hAnsi="Calibri"/>
          <w:b/>
          <w:color w:val="2E74B5"/>
        </w:rPr>
        <w:t>8. Current Gaps and Production Gates</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1650"/>
        <w:gridCol w:w="4100"/>
        <w:gridCol w:w="1750"/>
        <w:gridCol w:w="1860"/>
      </w:tblGrid>
      <w:tr>
        <w:trPr>
          <w:tblHeader w:val="true"/>
          <w:cantSplit w:val="true"/>
        </w:trPr>
        <w:tc>
          <w:tcPr>
            <w:tcW w:type="dxa" w:w="1650"/>
            <w:shd w:fill="F2F4F7"/>
            <w:tcMar>
              <w:top w:w="80" w:type="dxa"/>
              <w:start w:w="120" w:type="dxa"/>
              <w:bottom w:w="80" w:type="dxa"/>
              <w:end w:w="120" w:type="dxa"/>
            </w:tcMar>
            <w:vAlign w:val="center"/>
          </w:tcPr>
          <w:p>
            <w:pPr>
              <w:spacing w:after="0"/>
              <w:jc w:val="center"/>
            </w:pPr>
            <w:r>
              <w:rPr>
                <w:rFonts w:ascii="Calibri" w:hAnsi="Calibri"/>
                <w:b/>
                <w:color w:val="0B2545"/>
                <w:sz w:val="18"/>
              </w:rPr>
              <w:t>Gate</w:t>
            </w:r>
          </w:p>
        </w:tc>
        <w:tc>
          <w:tcPr>
            <w:tcW w:type="dxa" w:w="4100"/>
            <w:shd w:fill="F2F4F7"/>
            <w:tcMar>
              <w:top w:w="80" w:type="dxa"/>
              <w:start w:w="120" w:type="dxa"/>
              <w:bottom w:w="80" w:type="dxa"/>
              <w:end w:w="120" w:type="dxa"/>
            </w:tcMar>
            <w:vAlign w:val="center"/>
          </w:tcPr>
          <w:p>
            <w:pPr>
              <w:spacing w:after="0"/>
              <w:jc w:val="center"/>
            </w:pPr>
            <w:r>
              <w:rPr>
                <w:rFonts w:ascii="Calibri" w:hAnsi="Calibri"/>
                <w:b/>
                <w:color w:val="0B2545"/>
                <w:sz w:val="18"/>
              </w:rPr>
              <w:t>What remains</w:t>
            </w:r>
          </w:p>
        </w:tc>
        <w:tc>
          <w:tcPr>
            <w:tcW w:type="dxa" w:w="1750"/>
            <w:shd w:fill="F2F4F7"/>
            <w:tcMar>
              <w:top w:w="80" w:type="dxa"/>
              <w:start w:w="120" w:type="dxa"/>
              <w:bottom w:w="80" w:type="dxa"/>
              <w:end w:w="120" w:type="dxa"/>
            </w:tcMar>
            <w:vAlign w:val="center"/>
          </w:tcPr>
          <w:p>
            <w:pPr>
              <w:spacing w:after="0"/>
              <w:jc w:val="center"/>
            </w:pPr>
            <w:r>
              <w:rPr>
                <w:rFonts w:ascii="Calibri" w:hAnsi="Calibri"/>
                <w:b/>
                <w:color w:val="0B2545"/>
                <w:sz w:val="18"/>
              </w:rPr>
              <w:t>Suggested owner</w:t>
            </w:r>
          </w:p>
        </w:tc>
        <w:tc>
          <w:tcPr>
            <w:tcW w:type="dxa" w:w="1860"/>
            <w:shd w:fill="F2F4F7"/>
            <w:tcMar>
              <w:top w:w="80" w:type="dxa"/>
              <w:start w:w="120" w:type="dxa"/>
              <w:bottom w:w="80" w:type="dxa"/>
              <w:end w:w="120" w:type="dxa"/>
            </w:tcMar>
            <w:vAlign w:val="center"/>
          </w:tcPr>
          <w:p>
            <w:pPr>
              <w:spacing w:after="0"/>
              <w:jc w:val="left"/>
            </w:pPr>
            <w:r>
              <w:rPr>
                <w:rFonts w:ascii="Calibri" w:hAnsi="Calibri"/>
                <w:b/>
                <w:color w:val="0B2545"/>
                <w:sz w:val="18"/>
              </w:rPr>
              <w:t>Progress-report status</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Clinical configuration</w:t>
            </w:r>
          </w:p>
        </w:tc>
        <w:tc>
          <w:tcPr>
            <w:tcW w:type="dxa" w:w="4100"/>
            <w:tcMar>
              <w:top w:w="80" w:type="dxa"/>
              <w:start w:w="120" w:type="dxa"/>
              <w:bottom w:w="80" w:type="dxa"/>
              <w:end w:w="120" w:type="dxa"/>
            </w:tcMar>
            <w:vAlign w:val="center"/>
          </w:tcPr>
          <w:p>
            <w:pPr>
              <w:spacing w:after="0" w:line="252" w:lineRule="auto"/>
            </w:pPr>
            <w:r>
              <w:rPr>
                <w:rFonts w:ascii="Calibri" w:hAnsi="Calibri"/>
                <w:b w:val="0"/>
                <w:color w:val="0B2545"/>
                <w:sz w:val="17"/>
              </w:rPr>
              <w:t>Approve real procedures, phases, durations, qualifications, complexity, urgency, buffers, equipment, supervision, and follow-up rules</w:t>
            </w:r>
          </w:p>
        </w:tc>
        <w:tc>
          <w:tcPr>
            <w:tcW w:type="dxa" w:w="1750"/>
            <w:tcMar>
              <w:top w:w="80" w:type="dxa"/>
              <w:start w:w="120" w:type="dxa"/>
              <w:bottom w:w="80" w:type="dxa"/>
              <w:end w:w="120" w:type="dxa"/>
            </w:tcMar>
            <w:vAlign w:val="center"/>
          </w:tcPr>
          <w:p>
            <w:pPr>
              <w:spacing w:after="0" w:line="252" w:lineRule="auto"/>
            </w:pPr>
            <w:r>
              <w:rPr>
                <w:rFonts w:ascii="Calibri" w:hAnsi="Calibri"/>
                <w:b w:val="0"/>
                <w:color w:val="0B2545"/>
                <w:sz w:val="17"/>
              </w:rPr>
              <w:t>Clinical owner</w:t>
            </w:r>
          </w:p>
        </w:tc>
        <w:tc>
          <w:tcPr>
            <w:tcW w:type="dxa" w:w="1860"/>
            <w:tcMar>
              <w:top w:w="80" w:type="dxa"/>
              <w:start w:w="120" w:type="dxa"/>
              <w:bottom w:w="80" w:type="dxa"/>
              <w:end w:w="120" w:type="dxa"/>
            </w:tcMar>
            <w:vAlign w:val="center"/>
          </w:tcPr>
          <w:p>
            <w:pPr>
              <w:spacing w:after="0" w:line="252" w:lineRule="auto"/>
            </w:pPr>
            <w:r>
              <w:rPr>
                <w:rFonts w:ascii="Calibri" w:hAnsi="Calibri"/>
                <w:b/>
                <w:color w:val="7A5A00"/>
                <w:sz w:val="17"/>
              </w:rPr>
              <w:t>Pending local approval</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Operations configuration</w:t>
            </w:r>
          </w:p>
        </w:tc>
        <w:tc>
          <w:tcPr>
            <w:tcW w:type="dxa" w:w="4100"/>
            <w:tcMar>
              <w:top w:w="80" w:type="dxa"/>
              <w:start w:w="120" w:type="dxa"/>
              <w:bottom w:w="80" w:type="dxa"/>
              <w:end w:w="120" w:type="dxa"/>
            </w:tcMar>
            <w:vAlign w:val="center"/>
          </w:tcPr>
          <w:p>
            <w:pPr>
              <w:spacing w:after="0" w:line="252" w:lineRule="auto"/>
            </w:pPr>
            <w:r>
              <w:rPr>
                <w:rFonts w:ascii="Calibri" w:hAnsi="Calibri"/>
                <w:b w:val="0"/>
                <w:color w:val="0B2545"/>
                <w:sz w:val="17"/>
              </w:rPr>
              <w:t>Approve workforce, hours, shifts, coverage, rooms, emergency reserve, waitlist, targets, and rescheduling policy</w:t>
            </w:r>
          </w:p>
        </w:tc>
        <w:tc>
          <w:tcPr>
            <w:tcW w:type="dxa" w:w="1750"/>
            <w:tcMar>
              <w:top w:w="80" w:type="dxa"/>
              <w:start w:w="120" w:type="dxa"/>
              <w:bottom w:w="80" w:type="dxa"/>
              <w:end w:w="120" w:type="dxa"/>
            </w:tcMar>
            <w:vAlign w:val="center"/>
          </w:tcPr>
          <w:p>
            <w:pPr>
              <w:spacing w:after="0" w:line="252" w:lineRule="auto"/>
            </w:pPr>
            <w:r>
              <w:rPr>
                <w:rFonts w:ascii="Calibri" w:hAnsi="Calibri"/>
                <w:b w:val="0"/>
                <w:color w:val="0B2545"/>
                <w:sz w:val="17"/>
              </w:rPr>
              <w:t>Operations owner</w:t>
            </w:r>
          </w:p>
        </w:tc>
        <w:tc>
          <w:tcPr>
            <w:tcW w:type="dxa" w:w="1860"/>
            <w:tcMar>
              <w:top w:w="80" w:type="dxa"/>
              <w:start w:w="120" w:type="dxa"/>
              <w:bottom w:w="80" w:type="dxa"/>
              <w:end w:w="120" w:type="dxa"/>
            </w:tcMar>
            <w:vAlign w:val="center"/>
          </w:tcPr>
          <w:p>
            <w:pPr>
              <w:spacing w:after="0" w:line="252" w:lineRule="auto"/>
            </w:pPr>
            <w:r>
              <w:rPr>
                <w:rFonts w:ascii="Calibri" w:hAnsi="Calibri"/>
                <w:b/>
                <w:color w:val="7A5A00"/>
                <w:sz w:val="17"/>
              </w:rPr>
              <w:t>Pending local approval</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Infrastructure security</w:t>
            </w:r>
          </w:p>
        </w:tc>
        <w:tc>
          <w:tcPr>
            <w:tcW w:type="dxa" w:w="4100"/>
            <w:tcMar>
              <w:top w:w="80" w:type="dxa"/>
              <w:start w:w="120" w:type="dxa"/>
              <w:bottom w:w="80" w:type="dxa"/>
              <w:end w:w="120" w:type="dxa"/>
            </w:tcMar>
            <w:vAlign w:val="center"/>
          </w:tcPr>
          <w:p>
            <w:pPr>
              <w:spacing w:after="0" w:line="252" w:lineRule="auto"/>
            </w:pPr>
            <w:r>
              <w:rPr>
                <w:rFonts w:ascii="Calibri" w:hAnsi="Calibri"/>
                <w:b w:val="0"/>
                <w:color w:val="0B2545"/>
                <w:sz w:val="17"/>
              </w:rPr>
              <w:t>Production TLS, host egress denial, disk/database/backup encryption, key handling, patching, monitoring, and capacity</w:t>
            </w:r>
          </w:p>
        </w:tc>
        <w:tc>
          <w:tcPr>
            <w:tcW w:type="dxa" w:w="1750"/>
            <w:tcMar>
              <w:top w:w="80" w:type="dxa"/>
              <w:start w:w="120" w:type="dxa"/>
              <w:bottom w:w="80" w:type="dxa"/>
              <w:end w:w="120" w:type="dxa"/>
            </w:tcMar>
            <w:vAlign w:val="center"/>
          </w:tcPr>
          <w:p>
            <w:pPr>
              <w:spacing w:after="0" w:line="252" w:lineRule="auto"/>
            </w:pPr>
            <w:r>
              <w:rPr>
                <w:rFonts w:ascii="Calibri" w:hAnsi="Calibri"/>
                <w:b w:val="0"/>
                <w:color w:val="0B2545"/>
                <w:sz w:val="17"/>
              </w:rPr>
              <w:t>IT/security</w:t>
            </w:r>
          </w:p>
        </w:tc>
        <w:tc>
          <w:tcPr>
            <w:tcW w:type="dxa" w:w="1860"/>
            <w:tcMar>
              <w:top w:w="80" w:type="dxa"/>
              <w:start w:w="120" w:type="dxa"/>
              <w:bottom w:w="80" w:type="dxa"/>
              <w:end w:w="120" w:type="dxa"/>
            </w:tcMar>
            <w:vAlign w:val="center"/>
          </w:tcPr>
          <w:p>
            <w:pPr>
              <w:spacing w:after="0" w:line="252" w:lineRule="auto"/>
            </w:pPr>
            <w:r>
              <w:rPr>
                <w:rFonts w:ascii="Calibri" w:hAnsi="Calibri"/>
                <w:b/>
                <w:color w:val="7A5A00"/>
                <w:sz w:val="17"/>
              </w:rPr>
              <w:t>Pending target-host acceptance</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Identity governance</w:t>
            </w:r>
          </w:p>
        </w:tc>
        <w:tc>
          <w:tcPr>
            <w:tcW w:type="dxa" w:w="4100"/>
            <w:tcMar>
              <w:top w:w="80" w:type="dxa"/>
              <w:start w:w="120" w:type="dxa"/>
              <w:bottom w:w="80" w:type="dxa"/>
              <w:end w:w="120" w:type="dxa"/>
            </w:tcMar>
            <w:vAlign w:val="center"/>
          </w:tcPr>
          <w:p>
            <w:pPr>
              <w:spacing w:after="0" w:line="252" w:lineRule="auto"/>
            </w:pPr>
            <w:r>
              <w:rPr>
                <w:rFonts w:ascii="Calibri" w:hAnsi="Calibri"/>
                <w:b w:val="0"/>
                <w:color w:val="0B2545"/>
                <w:sz w:val="17"/>
              </w:rPr>
              <w:t>Rotate bootstrap access; approve role matrix, account lifecycle, periodic review, and enterprise MFA/directory approach</w:t>
            </w:r>
          </w:p>
        </w:tc>
        <w:tc>
          <w:tcPr>
            <w:tcW w:type="dxa" w:w="1750"/>
            <w:tcMar>
              <w:top w:w="80" w:type="dxa"/>
              <w:start w:w="120" w:type="dxa"/>
              <w:bottom w:w="80" w:type="dxa"/>
              <w:end w:w="120" w:type="dxa"/>
            </w:tcMar>
            <w:vAlign w:val="center"/>
          </w:tcPr>
          <w:p>
            <w:pPr>
              <w:spacing w:after="0" w:line="252" w:lineRule="auto"/>
            </w:pPr>
            <w:r>
              <w:rPr>
                <w:rFonts w:ascii="Calibri" w:hAnsi="Calibri"/>
                <w:b w:val="0"/>
                <w:color w:val="0B2545"/>
                <w:sz w:val="17"/>
              </w:rPr>
              <w:t>Security/privacy</w:t>
            </w:r>
          </w:p>
        </w:tc>
        <w:tc>
          <w:tcPr>
            <w:tcW w:type="dxa" w:w="1860"/>
            <w:tcMar>
              <w:top w:w="80" w:type="dxa"/>
              <w:start w:w="120" w:type="dxa"/>
              <w:bottom w:w="80" w:type="dxa"/>
              <w:end w:w="120" w:type="dxa"/>
            </w:tcMar>
            <w:vAlign w:val="center"/>
          </w:tcPr>
          <w:p>
            <w:pPr>
              <w:spacing w:after="0" w:line="252" w:lineRule="auto"/>
            </w:pPr>
            <w:r>
              <w:rPr>
                <w:rFonts w:ascii="Calibri" w:hAnsi="Calibri"/>
                <w:b/>
                <w:color w:val="7A5A00"/>
                <w:sz w:val="17"/>
              </w:rPr>
              <w:t>Pending</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Recovery</w:t>
            </w:r>
          </w:p>
        </w:tc>
        <w:tc>
          <w:tcPr>
            <w:tcW w:type="dxa" w:w="4100"/>
            <w:tcMar>
              <w:top w:w="80" w:type="dxa"/>
              <w:start w:w="120" w:type="dxa"/>
              <w:bottom w:w="80" w:type="dxa"/>
              <w:end w:w="120" w:type="dxa"/>
            </w:tcMar>
            <w:vAlign w:val="center"/>
          </w:tcPr>
          <w:p>
            <w:pPr>
              <w:spacing w:after="0" w:line="252" w:lineRule="auto"/>
            </w:pPr>
            <w:r>
              <w:rPr>
                <w:rFonts w:ascii="Calibri" w:hAnsi="Calibri"/>
                <w:b w:val="0"/>
                <w:color w:val="0B2545"/>
                <w:sz w:val="17"/>
              </w:rPr>
              <w:t>Define RPO/RTO and demonstrate encrypted backup restoration, reconciliation, downtime, and incident exercises</w:t>
            </w:r>
          </w:p>
        </w:tc>
        <w:tc>
          <w:tcPr>
            <w:tcW w:type="dxa" w:w="1750"/>
            <w:tcMar>
              <w:top w:w="80" w:type="dxa"/>
              <w:start w:w="120" w:type="dxa"/>
              <w:bottom w:w="80" w:type="dxa"/>
              <w:end w:w="120" w:type="dxa"/>
            </w:tcMar>
            <w:vAlign w:val="center"/>
          </w:tcPr>
          <w:p>
            <w:pPr>
              <w:spacing w:after="0" w:line="252" w:lineRule="auto"/>
            </w:pPr>
            <w:r>
              <w:rPr>
                <w:rFonts w:ascii="Calibri" w:hAnsi="Calibri"/>
                <w:b w:val="0"/>
                <w:color w:val="0B2545"/>
                <w:sz w:val="17"/>
              </w:rPr>
              <w:t>IT/continuity</w:t>
            </w:r>
          </w:p>
        </w:tc>
        <w:tc>
          <w:tcPr>
            <w:tcW w:type="dxa" w:w="1860"/>
            <w:tcMar>
              <w:top w:w="80" w:type="dxa"/>
              <w:start w:w="120" w:type="dxa"/>
              <w:bottom w:w="80" w:type="dxa"/>
              <w:end w:w="120" w:type="dxa"/>
            </w:tcMar>
            <w:vAlign w:val="center"/>
          </w:tcPr>
          <w:p>
            <w:pPr>
              <w:spacing w:after="0" w:line="252" w:lineRule="auto"/>
            </w:pPr>
            <w:r>
              <w:rPr>
                <w:rFonts w:ascii="Calibri" w:hAnsi="Calibri"/>
                <w:b/>
                <w:color w:val="7A5A00"/>
                <w:sz w:val="17"/>
              </w:rPr>
              <w:t>Pending</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Privacy/compliance</w:t>
            </w:r>
          </w:p>
        </w:tc>
        <w:tc>
          <w:tcPr>
            <w:tcW w:type="dxa" w:w="4100"/>
            <w:tcMar>
              <w:top w:w="80" w:type="dxa"/>
              <w:start w:w="120" w:type="dxa"/>
              <w:bottom w:w="80" w:type="dxa"/>
              <w:end w:w="120" w:type="dxa"/>
            </w:tcMar>
            <w:vAlign w:val="center"/>
          </w:tcPr>
          <w:p>
            <w:pPr>
              <w:spacing w:after="0" w:line="252" w:lineRule="auto"/>
            </w:pPr>
            <w:r>
              <w:rPr>
                <w:rFonts w:ascii="Calibri" w:hAnsi="Calibri"/>
                <w:b w:val="0"/>
                <w:color w:val="0B2545"/>
                <w:sz w:val="17"/>
              </w:rPr>
              <w:t>Complete risk analysis, policies, training, physical safeguards, retention, legal hold, patient rights, and periodic evaluation</w:t>
            </w:r>
          </w:p>
        </w:tc>
        <w:tc>
          <w:tcPr>
            <w:tcW w:type="dxa" w:w="1750"/>
            <w:tcMar>
              <w:top w:w="80" w:type="dxa"/>
              <w:start w:w="120" w:type="dxa"/>
              <w:bottom w:w="80" w:type="dxa"/>
              <w:end w:w="120" w:type="dxa"/>
            </w:tcMar>
            <w:vAlign w:val="center"/>
          </w:tcPr>
          <w:p>
            <w:pPr>
              <w:spacing w:after="0" w:line="252" w:lineRule="auto"/>
            </w:pPr>
            <w:r>
              <w:rPr>
                <w:rFonts w:ascii="Calibri" w:hAnsi="Calibri"/>
                <w:b w:val="0"/>
                <w:color w:val="0B2545"/>
                <w:sz w:val="17"/>
              </w:rPr>
              <w:t>Privacy/compliance</w:t>
            </w:r>
          </w:p>
        </w:tc>
        <w:tc>
          <w:tcPr>
            <w:tcW w:type="dxa" w:w="1860"/>
            <w:tcMar>
              <w:top w:w="80" w:type="dxa"/>
              <w:start w:w="120" w:type="dxa"/>
              <w:bottom w:w="80" w:type="dxa"/>
              <w:end w:w="120" w:type="dxa"/>
            </w:tcMar>
            <w:vAlign w:val="center"/>
          </w:tcPr>
          <w:p>
            <w:pPr>
              <w:spacing w:after="0" w:line="252" w:lineRule="auto"/>
            </w:pPr>
            <w:r>
              <w:rPr>
                <w:rFonts w:ascii="Calibri" w:hAnsi="Calibri"/>
                <w:b/>
                <w:color w:val="7A5A00"/>
                <w:sz w:val="17"/>
              </w:rPr>
              <w:t>Pending organizational controls</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Optional model acceptance</w:t>
            </w:r>
          </w:p>
        </w:tc>
        <w:tc>
          <w:tcPr>
            <w:tcW w:type="dxa" w:w="4100"/>
            <w:tcMar>
              <w:top w:w="80" w:type="dxa"/>
              <w:start w:w="120" w:type="dxa"/>
              <w:bottom w:w="80" w:type="dxa"/>
              <w:end w:w="120" w:type="dxa"/>
            </w:tcMar>
            <w:vAlign w:val="center"/>
          </w:tcPr>
          <w:p>
            <w:pPr>
              <w:spacing w:after="0" w:line="252" w:lineRule="auto"/>
            </w:pPr>
            <w:r>
              <w:rPr>
                <w:rFonts w:ascii="Calibri" w:hAnsi="Calibri"/>
                <w:b w:val="0"/>
                <w:color w:val="0B2545"/>
                <w:sz w:val="17"/>
              </w:rPr>
              <w:t>Only if local AI is selected: approve a de-identified validation set and measure schema validity, urgent sentinel recall, false escalation, latency, fallback, and drift</w:t>
            </w:r>
          </w:p>
        </w:tc>
        <w:tc>
          <w:tcPr>
            <w:tcW w:type="dxa" w:w="1750"/>
            <w:tcMar>
              <w:top w:w="80" w:type="dxa"/>
              <w:start w:w="120" w:type="dxa"/>
              <w:bottom w:w="80" w:type="dxa"/>
              <w:end w:w="120" w:type="dxa"/>
            </w:tcMar>
            <w:vAlign w:val="center"/>
          </w:tcPr>
          <w:p>
            <w:pPr>
              <w:spacing w:after="0" w:line="252" w:lineRule="auto"/>
            </w:pPr>
            <w:r>
              <w:rPr>
                <w:rFonts w:ascii="Calibri" w:hAnsi="Calibri"/>
                <w:b w:val="0"/>
                <w:color w:val="0B2545"/>
                <w:sz w:val="17"/>
              </w:rPr>
              <w:t>Clinical/AI owner</w:t>
            </w:r>
          </w:p>
        </w:tc>
        <w:tc>
          <w:tcPr>
            <w:tcW w:type="dxa" w:w="1860"/>
            <w:tcMar>
              <w:top w:w="80" w:type="dxa"/>
              <w:start w:w="120" w:type="dxa"/>
              <w:bottom w:w="80" w:type="dxa"/>
              <w:end w:w="120" w:type="dxa"/>
            </w:tcMar>
            <w:vAlign w:val="center"/>
          </w:tcPr>
          <w:p>
            <w:pPr>
              <w:spacing w:after="0" w:line="252" w:lineRule="auto"/>
            </w:pPr>
            <w:r>
              <w:rPr>
                <w:rFonts w:ascii="Calibri" w:hAnsi="Calibri"/>
                <w:b/>
                <w:color w:val="7A5A00"/>
                <w:sz w:val="17"/>
              </w:rPr>
              <w:t>Conditional; pending if selected</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UX/accessibility</w:t>
            </w:r>
          </w:p>
        </w:tc>
        <w:tc>
          <w:tcPr>
            <w:tcW w:type="dxa" w:w="4100"/>
            <w:tcMar>
              <w:top w:w="80" w:type="dxa"/>
              <w:start w:w="120" w:type="dxa"/>
              <w:bottom w:w="80" w:type="dxa"/>
              <w:end w:w="120" w:type="dxa"/>
            </w:tcMar>
            <w:vAlign w:val="center"/>
          </w:tcPr>
          <w:p>
            <w:pPr>
              <w:spacing w:after="0" w:line="252" w:lineRule="auto"/>
            </w:pPr>
            <w:r>
              <w:rPr>
                <w:rFonts w:ascii="Calibri" w:hAnsi="Calibri"/>
                <w:b w:val="0"/>
                <w:color w:val="0B2545"/>
                <w:sz w:val="17"/>
              </w:rPr>
              <w:t>Complete desktop/mobile browser, keyboard, zoom, assisted-technology, and practice-workstation acceptance</w:t>
            </w:r>
          </w:p>
        </w:tc>
        <w:tc>
          <w:tcPr>
            <w:tcW w:type="dxa" w:w="1750"/>
            <w:tcMar>
              <w:top w:w="80" w:type="dxa"/>
              <w:start w:w="120" w:type="dxa"/>
              <w:bottom w:w="80" w:type="dxa"/>
              <w:end w:w="120" w:type="dxa"/>
            </w:tcMar>
            <w:vAlign w:val="center"/>
          </w:tcPr>
          <w:p>
            <w:pPr>
              <w:spacing w:after="0" w:line="252" w:lineRule="auto"/>
            </w:pPr>
            <w:r>
              <w:rPr>
                <w:rFonts w:ascii="Calibri" w:hAnsi="Calibri"/>
                <w:b w:val="0"/>
                <w:color w:val="0B2545"/>
                <w:sz w:val="17"/>
              </w:rPr>
              <w:t>Product/QA</w:t>
            </w:r>
          </w:p>
        </w:tc>
        <w:tc>
          <w:tcPr>
            <w:tcW w:type="dxa" w:w="1860"/>
            <w:tcMar>
              <w:top w:w="80" w:type="dxa"/>
              <w:start w:w="120" w:type="dxa"/>
              <w:bottom w:w="80" w:type="dxa"/>
              <w:end w:w="120" w:type="dxa"/>
            </w:tcMar>
            <w:vAlign w:val="center"/>
          </w:tcPr>
          <w:p>
            <w:pPr>
              <w:spacing w:after="0" w:line="252" w:lineRule="auto"/>
            </w:pPr>
            <w:r>
              <w:rPr>
                <w:rFonts w:ascii="Calibri" w:hAnsi="Calibri"/>
                <w:b/>
                <w:color w:val="7A5A00"/>
                <w:sz w:val="17"/>
              </w:rPr>
              <w:t>Pending</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Performance/scale</w:t>
            </w:r>
          </w:p>
        </w:tc>
        <w:tc>
          <w:tcPr>
            <w:tcW w:type="dxa" w:w="4100"/>
            <w:tcMar>
              <w:top w:w="80" w:type="dxa"/>
              <w:start w:w="120" w:type="dxa"/>
              <w:bottom w:w="80" w:type="dxa"/>
              <w:end w:w="120" w:type="dxa"/>
            </w:tcMar>
            <w:vAlign w:val="center"/>
          </w:tcPr>
          <w:p>
            <w:pPr>
              <w:spacing w:after="0" w:line="252" w:lineRule="auto"/>
            </w:pPr>
            <w:r>
              <w:rPr>
                <w:rFonts w:ascii="Calibri" w:hAnsi="Calibri"/>
                <w:b w:val="0"/>
                <w:color w:val="0B2545"/>
                <w:sz w:val="17"/>
              </w:rPr>
              <w:t>Run approved p95 latency, concurrency, soak, storage-growth, and annual-view tests on deployment hardware</w:t>
            </w:r>
          </w:p>
        </w:tc>
        <w:tc>
          <w:tcPr>
            <w:tcW w:type="dxa" w:w="1750"/>
            <w:tcMar>
              <w:top w:w="80" w:type="dxa"/>
              <w:start w:w="120" w:type="dxa"/>
              <w:bottom w:w="80" w:type="dxa"/>
              <w:end w:w="120" w:type="dxa"/>
            </w:tcMar>
            <w:vAlign w:val="center"/>
          </w:tcPr>
          <w:p>
            <w:pPr>
              <w:spacing w:after="0" w:line="252" w:lineRule="auto"/>
            </w:pPr>
            <w:r>
              <w:rPr>
                <w:rFonts w:ascii="Calibri" w:hAnsi="Calibri"/>
                <w:b w:val="0"/>
                <w:color w:val="0B2545"/>
                <w:sz w:val="17"/>
              </w:rPr>
              <w:t>Engineering/IT</w:t>
            </w:r>
          </w:p>
        </w:tc>
        <w:tc>
          <w:tcPr>
            <w:tcW w:type="dxa" w:w="1860"/>
            <w:tcMar>
              <w:top w:w="80" w:type="dxa"/>
              <w:start w:w="120" w:type="dxa"/>
              <w:bottom w:w="80" w:type="dxa"/>
              <w:end w:w="120" w:type="dxa"/>
            </w:tcMar>
            <w:vAlign w:val="center"/>
          </w:tcPr>
          <w:p>
            <w:pPr>
              <w:spacing w:after="0" w:line="252" w:lineRule="auto"/>
            </w:pPr>
            <w:r>
              <w:rPr>
                <w:rFonts w:ascii="Calibri" w:hAnsi="Calibri"/>
                <w:b/>
                <w:color w:val="7A5A00"/>
                <w:sz w:val="17"/>
              </w:rPr>
              <w:t>Pending</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b w:val="0"/>
                <w:color w:val="0B2545"/>
                <w:sz w:val="17"/>
              </w:rPr>
              <w:t>Release evidence</w:t>
            </w:r>
          </w:p>
        </w:tc>
        <w:tc>
          <w:tcPr>
            <w:tcW w:type="dxa" w:w="4100"/>
            <w:tcMar>
              <w:top w:w="80" w:type="dxa"/>
              <w:start w:w="120" w:type="dxa"/>
              <w:bottom w:w="80" w:type="dxa"/>
              <w:end w:w="120" w:type="dxa"/>
            </w:tcMar>
            <w:vAlign w:val="center"/>
          </w:tcPr>
          <w:p>
            <w:pPr>
              <w:spacing w:after="0" w:line="252" w:lineRule="auto"/>
            </w:pPr>
            <w:r>
              <w:rPr>
                <w:rFonts w:ascii="Calibri" w:hAnsi="Calibri"/>
                <w:b w:val="0"/>
                <w:color w:val="0B2545"/>
                <w:sz w:val="17"/>
              </w:rPr>
              <w:t>Accept the signed core bundle and manifest; if selected, separately accept the optional AI pack. Retain hashes, SBOM, licenses, vulnerability disposition, migration/rollback, support, and sign-off</w:t>
            </w:r>
          </w:p>
        </w:tc>
        <w:tc>
          <w:tcPr>
            <w:tcW w:type="dxa" w:w="1750"/>
            <w:tcMar>
              <w:top w:w="80" w:type="dxa"/>
              <w:start w:w="120" w:type="dxa"/>
              <w:bottom w:w="80" w:type="dxa"/>
              <w:end w:w="120" w:type="dxa"/>
            </w:tcMar>
            <w:vAlign w:val="center"/>
          </w:tcPr>
          <w:p>
            <w:pPr>
              <w:spacing w:after="0" w:line="252" w:lineRule="auto"/>
            </w:pPr>
            <w:r>
              <w:rPr>
                <w:rFonts w:ascii="Calibri" w:hAnsi="Calibri"/>
                <w:b w:val="0"/>
                <w:color w:val="0B2545"/>
                <w:sz w:val="17"/>
              </w:rPr>
              <w:t>Release owner</w:t>
            </w:r>
          </w:p>
        </w:tc>
        <w:tc>
          <w:tcPr>
            <w:tcW w:type="dxa" w:w="1860"/>
            <w:tcMar>
              <w:top w:w="80" w:type="dxa"/>
              <w:start w:w="120" w:type="dxa"/>
              <w:bottom w:w="80" w:type="dxa"/>
              <w:end w:w="120" w:type="dxa"/>
            </w:tcMar>
            <w:vAlign w:val="center"/>
          </w:tcPr>
          <w:p>
            <w:pPr>
              <w:spacing w:after="0" w:line="252" w:lineRule="auto"/>
            </w:pPr>
            <w:r>
              <w:rPr>
                <w:rFonts w:ascii="Calibri" w:hAnsi="Calibri"/>
                <w:b/>
                <w:color w:val="7A5A00"/>
                <w:sz w:val="17"/>
              </w:rPr>
              <w:t>Pending bundle acceptance</w:t>
            </w:r>
          </w:p>
        </w:tc>
      </w:tr>
    </w:tbl>
    <w:p>
      <w:pPr>
        <w:spacing w:after="80"/>
      </w:pPr>
    </w:p>
    <w:p>
      <w:pPr>
        <w:spacing w:before="80" w:after="200" w:line="264" w:lineRule="auto"/>
        <w:ind w:left="173" w:right="173"/>
        <w:shd w:fill="F4F6F9"/>
        <w:pBdr>
          <w:left w:val="single" w:sz="18" w:space="6" w:color="7A5A00"/>
        </w:pBdr>
      </w:pPr>
      <w:r>
        <w:rPr>
          <w:rFonts w:ascii="Calibri" w:hAnsi="Calibri"/>
          <w:b/>
          <w:color w:val="7A5A00"/>
        </w:rPr>
        <w:t xml:space="preserve">Production-readiness statement: </w:t>
      </w:r>
      <w:r>
        <w:rPr>
          <w:rFonts w:ascii="Calibri" w:hAnsi="Calibri"/>
          <w:color w:val="0B2545"/>
        </w:rPr>
        <w:t>The product is suitable for controlled staging. Passing automated tests does not authorize real-patient use, establish HIPAA compliance, or replace practice leadership sign-off.</w:t>
      </w:r>
    </w:p>
    <w:p>
      <w:pPr>
        <w:pStyle w:val="Heading1"/>
        <w:keepNext/>
      </w:pPr>
      <w:r>
        <w:rPr>
          <w:rFonts w:ascii="Calibri" w:hAnsi="Calibri"/>
          <w:b/>
          <w:color w:val="2E74B5"/>
        </w:rPr>
        <w:t>9. Recommended Next-Period Priorities</w:t>
      </w:r>
    </w:p>
    <w:p>
      <w:pPr>
        <w:numPr>
          <w:ilvl w:val="0"/>
          <w:numId w:val="12"/>
        </w:numPr>
        <w:spacing w:after="160" w:line="280" w:lineRule="auto"/>
        <w:ind w:left="720" w:hanging="360"/>
      </w:pPr>
      <w:r>
        <w:rPr>
          <w:rFonts w:ascii="Calibri" w:hAnsi="Calibri"/>
          <w:b/>
          <w:color w:val="1F4D78"/>
        </w:rPr>
        <w:t xml:space="preserve">Configuration workshop. </w:t>
      </w:r>
      <w:r>
        <w:rPr>
          <w:rFonts w:ascii="Calibri" w:hAnsi="Calibri"/>
          <w:color w:val="0B2545"/>
        </w:rPr>
        <w:t>Validate all safety- and capacity-critical reference values with clinical and operations owners and record versioned approvals.</w:t>
      </w:r>
    </w:p>
    <w:p>
      <w:pPr>
        <w:numPr>
          <w:ilvl w:val="0"/>
          <w:numId w:val="12"/>
        </w:numPr>
        <w:spacing w:after="160" w:line="280" w:lineRule="auto"/>
        <w:ind w:left="720" w:hanging="360"/>
      </w:pPr>
      <w:r>
        <w:rPr>
          <w:rFonts w:ascii="Calibri" w:hAnsi="Calibri"/>
          <w:b/>
          <w:color w:val="1F4D78"/>
        </w:rPr>
        <w:t xml:space="preserve">Deployment acceptance. </w:t>
      </w:r>
      <w:r>
        <w:rPr>
          <w:rFonts w:ascii="Calibri" w:hAnsi="Calibri"/>
          <w:color w:val="0B2545"/>
        </w:rPr>
        <w:t>Select and record the rules-only or optional-AI profile, then run the compatibility audit, launcher, health check, no-egress test, production TLS review, encryption review, and resource checks on the target host.</w:t>
      </w:r>
    </w:p>
    <w:p>
      <w:pPr>
        <w:numPr>
          <w:ilvl w:val="0"/>
          <w:numId w:val="12"/>
        </w:numPr>
        <w:spacing w:after="160" w:line="280" w:lineRule="auto"/>
        <w:ind w:left="720" w:hanging="360"/>
      </w:pPr>
      <w:r>
        <w:rPr>
          <w:rFonts w:ascii="Calibri" w:hAnsi="Calibri"/>
          <w:b/>
          <w:color w:val="1F4D78"/>
        </w:rPr>
        <w:t xml:space="preserve">Recovery evidence. </w:t>
      </w:r>
      <w:r>
        <w:rPr>
          <w:rFonts w:ascii="Calibri" w:hAnsi="Calibri"/>
          <w:color w:val="0B2545"/>
        </w:rPr>
        <w:t>Perform an encrypted backup and timed restoration/reconciliation exercise against a controlled environment.</w:t>
      </w:r>
    </w:p>
    <w:p>
      <w:pPr>
        <w:numPr>
          <w:ilvl w:val="0"/>
          <w:numId w:val="12"/>
        </w:numPr>
        <w:spacing w:after="160" w:line="280" w:lineRule="auto"/>
        <w:ind w:left="720" w:hanging="360"/>
      </w:pPr>
      <w:r>
        <w:rPr>
          <w:rFonts w:ascii="Calibri" w:hAnsi="Calibri"/>
          <w:b/>
          <w:color w:val="1F4D78"/>
        </w:rPr>
        <w:t xml:space="preserve">Conditional model validation. </w:t>
      </w:r>
      <w:r>
        <w:rPr>
          <w:rFonts w:ascii="Calibri" w:hAnsi="Calibri"/>
          <w:color w:val="0B2545"/>
        </w:rPr>
        <w:t>If local AI is selected, build and approve a de-identified validation set covering routine, urgent, ambiguous, misspelled, negated, multilingual, low-confidence, and hostile inputs. Otherwise validate deterministic-rule coverage and manual-review routing.</w:t>
      </w:r>
    </w:p>
    <w:p>
      <w:pPr>
        <w:numPr>
          <w:ilvl w:val="0"/>
          <w:numId w:val="12"/>
        </w:numPr>
        <w:spacing w:after="160" w:line="280" w:lineRule="auto"/>
        <w:ind w:left="720" w:hanging="360"/>
      </w:pPr>
      <w:r>
        <w:rPr>
          <w:rFonts w:ascii="Calibri" w:hAnsi="Calibri"/>
          <w:b/>
          <w:color w:val="1F4D78"/>
        </w:rPr>
        <w:t xml:space="preserve">User acceptance. </w:t>
      </w:r>
      <w:r>
        <w:rPr>
          <w:rFonts w:ascii="Calibri" w:hAnsi="Calibri"/>
          <w:color w:val="0B2545"/>
        </w:rPr>
        <w:t>Complete realistic desktop/mobile scheduling, rescheduling, waitlist, walk-in, outcome, downtime, and accessibility walkthroughs.</w:t>
      </w:r>
    </w:p>
    <w:p>
      <w:pPr>
        <w:numPr>
          <w:ilvl w:val="0"/>
          <w:numId w:val="12"/>
        </w:numPr>
        <w:spacing w:after="160" w:line="280" w:lineRule="auto"/>
        <w:ind w:left="720" w:hanging="360"/>
      </w:pPr>
      <w:r>
        <w:rPr>
          <w:rFonts w:ascii="Calibri" w:hAnsi="Calibri"/>
          <w:b/>
          <w:color w:val="1F4D78"/>
        </w:rPr>
        <w:t xml:space="preserve">Pilot measurement. </w:t>
      </w:r>
      <w:r>
        <w:rPr>
          <w:rFonts w:ascii="Calibri" w:hAnsi="Calibri"/>
          <w:color w:val="0B2545"/>
        </w:rPr>
        <w:t>Approve KPI definitions and owners, establish the baseline during controlled use, and report guardrails separately from efficiency outcomes.</w:t>
      </w:r>
    </w:p>
    <w:p>
      <w:pPr>
        <w:numPr>
          <w:ilvl w:val="0"/>
          <w:numId w:val="12"/>
        </w:numPr>
        <w:spacing w:after="160" w:line="280" w:lineRule="auto"/>
        <w:ind w:left="720" w:hanging="360"/>
      </w:pPr>
      <w:r>
        <w:rPr>
          <w:rFonts w:ascii="Calibri" w:hAnsi="Calibri"/>
          <w:b/>
          <w:color w:val="1F4D78"/>
        </w:rPr>
        <w:t xml:space="preserve">Release governance. </w:t>
      </w:r>
      <w:r>
        <w:rPr>
          <w:rFonts w:ascii="Calibri" w:hAnsi="Calibri"/>
          <w:color w:val="0B2545"/>
        </w:rPr>
        <w:t>Finalize risk treatment, training, access review, incident response, retention, artifacts, SBOM, vulnerability disposition, support, and go-live sign-off.</w:t>
      </w:r>
    </w:p>
    <w:p>
      <w:pPr>
        <w:pStyle w:val="Heading1"/>
        <w:keepNext/>
      </w:pPr>
      <w:r>
        <w:rPr>
          <w:rFonts w:ascii="Calibri" w:hAnsi="Calibri"/>
          <w:b/>
          <w:color w:val="2E74B5"/>
        </w:rPr>
        <w:t>10. Reusable Progress Report Template</w:t>
      </w:r>
    </w:p>
    <w:p>
      <w:pPr>
        <w:spacing w:before="80" w:after="200" w:line="264" w:lineRule="auto"/>
        <w:ind w:left="173" w:right="173"/>
        <w:shd w:fill="F4F6F9"/>
        <w:pBdr>
          <w:left w:val="single" w:sz="18" w:space="6" w:color="2E74B5"/>
        </w:pBdr>
      </w:pPr>
      <w:r>
        <w:rPr>
          <w:rFonts w:ascii="Calibri" w:hAnsi="Calibri"/>
          <w:b/>
          <w:color w:val="2E74B5"/>
        </w:rPr>
        <w:t xml:space="preserve">Drafting rule: </w:t>
      </w:r>
      <w:r>
        <w:rPr>
          <w:rFonts w:ascii="Calibri" w:hAnsi="Calibri"/>
          <w:color w:val="0B2545"/>
        </w:rPr>
        <w:t>Replace every bracketed field. Use only evidence from the reporting period. Label proposed targets, unresolved assumptions, and unverified claims explicitly.</w:t>
      </w:r>
    </w:p>
    <w:p>
      <w:pPr>
        <w:pStyle w:val="Heading2"/>
        <w:keepNext/>
      </w:pPr>
      <w:r>
        <w:rPr>
          <w:rFonts w:ascii="Calibri" w:hAnsi="Calibri"/>
          <w:b/>
          <w:color w:val="2E74B5"/>
        </w:rPr>
        <w:t>10.1 Report Metadata</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2400"/>
        <w:gridCol w:w="6960"/>
      </w:tblGrid>
      <w:tr>
        <w:trPr>
          <w:tblHeader w:val="true"/>
          <w:cantSplit w:val="true"/>
        </w:trPr>
        <w:tc>
          <w:tcPr>
            <w:tcW w:type="dxa" w:w="2400"/>
            <w:shd w:fill="F2F4F7"/>
            <w:tcMar>
              <w:top w:w="80" w:type="dxa"/>
              <w:start w:w="120" w:type="dxa"/>
              <w:bottom w:w="80" w:type="dxa"/>
              <w:end w:w="120" w:type="dxa"/>
            </w:tcMar>
            <w:vAlign w:val="center"/>
          </w:tcPr>
          <w:p>
            <w:pPr>
              <w:spacing w:after="0"/>
              <w:jc w:val="center"/>
            </w:pPr>
            <w:r>
              <w:rPr>
                <w:rFonts w:ascii="Calibri" w:hAnsi="Calibri"/>
                <w:b/>
                <w:color w:val="0B2545"/>
                <w:sz w:val="19"/>
              </w:rPr>
              <w:t>Field</w:t>
            </w:r>
          </w:p>
        </w:tc>
        <w:tc>
          <w:tcPr>
            <w:tcW w:type="dxa" w:w="6960"/>
            <w:shd w:fill="F2F4F7"/>
            <w:tcMar>
              <w:top w:w="80" w:type="dxa"/>
              <w:start w:w="120" w:type="dxa"/>
              <w:bottom w:w="80" w:type="dxa"/>
              <w:end w:w="120" w:type="dxa"/>
            </w:tcMar>
            <w:vAlign w:val="center"/>
          </w:tcPr>
          <w:p>
            <w:pPr>
              <w:spacing w:after="0"/>
              <w:jc w:val="center"/>
            </w:pPr>
            <w:r>
              <w:rPr>
                <w:rFonts w:ascii="Calibri" w:hAnsi="Calibri"/>
                <w:b/>
                <w:color w:val="0B2545"/>
                <w:sz w:val="19"/>
              </w:rPr>
              <w:t>Value to complete</w:t>
            </w:r>
          </w:p>
        </w:tc>
      </w:tr>
      <w:tr>
        <w:trPr>
          <w:cantSplit w:val="true"/>
        </w:trPr>
        <w:tc>
          <w:tcPr>
            <w:tcW w:type="dxa" w:w="2400"/>
            <w:tcMar>
              <w:top w:w="80" w:type="dxa"/>
              <w:start w:w="120" w:type="dxa"/>
              <w:bottom w:w="80" w:type="dxa"/>
              <w:end w:w="120" w:type="dxa"/>
            </w:tcMar>
            <w:vAlign w:val="center"/>
          </w:tcPr>
          <w:p>
            <w:pPr>
              <w:spacing w:after="0" w:line="252" w:lineRule="auto"/>
            </w:pPr>
            <w:r>
              <w:rPr>
                <w:rFonts w:ascii="Calibri" w:hAnsi="Calibri"/>
                <w:b w:val="0"/>
                <w:color w:val="0B2545"/>
                <w:sz w:val="18"/>
              </w:rPr>
              <w:t>Reporting period</w:t>
            </w:r>
          </w:p>
        </w:tc>
        <w:tc>
          <w:tcPr>
            <w:tcW w:type="dxa" w:w="6960"/>
            <w:tcMar>
              <w:top w:w="80" w:type="dxa"/>
              <w:start w:w="120" w:type="dxa"/>
              <w:bottom w:w="80" w:type="dxa"/>
              <w:end w:w="120" w:type="dxa"/>
            </w:tcMar>
            <w:vAlign w:val="center"/>
          </w:tcPr>
          <w:p>
            <w:pPr>
              <w:spacing w:after="0" w:line="252" w:lineRule="auto"/>
            </w:pPr>
            <w:r>
              <w:rPr>
                <w:rFonts w:ascii="Calibri" w:hAnsi="Calibri"/>
                <w:b w:val="0"/>
                <w:color w:val="0B2545"/>
                <w:sz w:val="18"/>
              </w:rPr>
              <w:t>[Start date - end date]</w:t>
            </w:r>
          </w:p>
        </w:tc>
      </w:tr>
      <w:tr>
        <w:trPr>
          <w:cantSplit w:val="true"/>
        </w:trPr>
        <w:tc>
          <w:tcPr>
            <w:tcW w:type="dxa" w:w="2400"/>
            <w:tcMar>
              <w:top w:w="80" w:type="dxa"/>
              <w:start w:w="120" w:type="dxa"/>
              <w:bottom w:w="80" w:type="dxa"/>
              <w:end w:w="120" w:type="dxa"/>
            </w:tcMar>
            <w:vAlign w:val="center"/>
          </w:tcPr>
          <w:p>
            <w:pPr>
              <w:spacing w:after="0" w:line="252" w:lineRule="auto"/>
            </w:pPr>
            <w:r>
              <w:rPr>
                <w:rFonts w:ascii="Calibri" w:hAnsi="Calibri"/>
                <w:b w:val="0"/>
                <w:color w:val="0B2545"/>
                <w:sz w:val="18"/>
              </w:rPr>
              <w:t>Prepared by</w:t>
            </w:r>
          </w:p>
        </w:tc>
        <w:tc>
          <w:tcPr>
            <w:tcW w:type="dxa" w:w="6960"/>
            <w:tcMar>
              <w:top w:w="80" w:type="dxa"/>
              <w:start w:w="120" w:type="dxa"/>
              <w:bottom w:w="80" w:type="dxa"/>
              <w:end w:w="120" w:type="dxa"/>
            </w:tcMar>
            <w:vAlign w:val="center"/>
          </w:tcPr>
          <w:p>
            <w:pPr>
              <w:spacing w:after="0" w:line="252" w:lineRule="auto"/>
            </w:pPr>
            <w:r>
              <w:rPr>
                <w:rFonts w:ascii="Calibri" w:hAnsi="Calibri"/>
                <w:b w:val="0"/>
                <w:color w:val="0B2545"/>
                <w:sz w:val="18"/>
              </w:rPr>
              <w:t>[Role or team; avoid unnecessary personal metadata]</w:t>
            </w:r>
          </w:p>
        </w:tc>
      </w:tr>
      <w:tr>
        <w:trPr>
          <w:cantSplit w:val="true"/>
        </w:trPr>
        <w:tc>
          <w:tcPr>
            <w:tcW w:type="dxa" w:w="2400"/>
            <w:tcMar>
              <w:top w:w="80" w:type="dxa"/>
              <w:start w:w="120" w:type="dxa"/>
              <w:bottom w:w="80" w:type="dxa"/>
              <w:end w:w="120" w:type="dxa"/>
            </w:tcMar>
            <w:vAlign w:val="center"/>
          </w:tcPr>
          <w:p>
            <w:pPr>
              <w:spacing w:after="0" w:line="252" w:lineRule="auto"/>
            </w:pPr>
            <w:r>
              <w:rPr>
                <w:rFonts w:ascii="Calibri" w:hAnsi="Calibri"/>
                <w:b w:val="0"/>
                <w:color w:val="0B2545"/>
                <w:sz w:val="18"/>
              </w:rPr>
              <w:t>Audience</w:t>
            </w:r>
          </w:p>
        </w:tc>
        <w:tc>
          <w:tcPr>
            <w:tcW w:type="dxa" w:w="6960"/>
            <w:tcMar>
              <w:top w:w="80" w:type="dxa"/>
              <w:start w:w="120" w:type="dxa"/>
              <w:bottom w:w="80" w:type="dxa"/>
              <w:end w:w="120" w:type="dxa"/>
            </w:tcMar>
            <w:vAlign w:val="center"/>
          </w:tcPr>
          <w:p>
            <w:pPr>
              <w:spacing w:after="0" w:line="252" w:lineRule="auto"/>
            </w:pPr>
            <w:r>
              <w:rPr>
                <w:rFonts w:ascii="Calibri" w:hAnsi="Calibri"/>
                <w:b w:val="0"/>
                <w:color w:val="0B2545"/>
                <w:sz w:val="18"/>
              </w:rPr>
              <w:t>[Stakeholders or review group]</w:t>
            </w:r>
          </w:p>
        </w:tc>
      </w:tr>
      <w:tr>
        <w:trPr>
          <w:cantSplit w:val="true"/>
        </w:trPr>
        <w:tc>
          <w:tcPr>
            <w:tcW w:type="dxa" w:w="2400"/>
            <w:tcMar>
              <w:top w:w="80" w:type="dxa"/>
              <w:start w:w="120" w:type="dxa"/>
              <w:bottom w:w="80" w:type="dxa"/>
              <w:end w:w="120" w:type="dxa"/>
            </w:tcMar>
            <w:vAlign w:val="center"/>
          </w:tcPr>
          <w:p>
            <w:pPr>
              <w:spacing w:after="0" w:line="252" w:lineRule="auto"/>
            </w:pPr>
            <w:r>
              <w:rPr>
                <w:rFonts w:ascii="Calibri" w:hAnsi="Calibri"/>
                <w:b w:val="0"/>
                <w:color w:val="0B2545"/>
                <w:sz w:val="18"/>
              </w:rPr>
              <w:t>Overall status</w:t>
            </w:r>
          </w:p>
        </w:tc>
        <w:tc>
          <w:tcPr>
            <w:tcW w:type="dxa" w:w="6960"/>
            <w:tcMar>
              <w:top w:w="80" w:type="dxa"/>
              <w:start w:w="120" w:type="dxa"/>
              <w:bottom w:w="80" w:type="dxa"/>
              <w:end w:w="120" w:type="dxa"/>
            </w:tcMar>
            <w:vAlign w:val="center"/>
          </w:tcPr>
          <w:p>
            <w:pPr>
              <w:spacing w:after="0" w:line="252" w:lineRule="auto"/>
            </w:pPr>
            <w:r>
              <w:rPr>
                <w:rFonts w:ascii="Calibri" w:hAnsi="Calibri"/>
                <w:b w:val="0"/>
                <w:color w:val="0B2545"/>
                <w:sz w:val="18"/>
              </w:rPr>
              <w:t>[On track / at risk / blocked]</w:t>
            </w:r>
          </w:p>
        </w:tc>
      </w:tr>
      <w:tr>
        <w:trPr>
          <w:cantSplit w:val="true"/>
        </w:trPr>
        <w:tc>
          <w:tcPr>
            <w:tcW w:type="dxa" w:w="2400"/>
            <w:tcMar>
              <w:top w:w="80" w:type="dxa"/>
              <w:start w:w="120" w:type="dxa"/>
              <w:bottom w:w="80" w:type="dxa"/>
              <w:end w:w="120" w:type="dxa"/>
            </w:tcMar>
            <w:vAlign w:val="center"/>
          </w:tcPr>
          <w:p>
            <w:pPr>
              <w:spacing w:after="0" w:line="252" w:lineRule="auto"/>
            </w:pPr>
            <w:r>
              <w:rPr>
                <w:rFonts w:ascii="Calibri" w:hAnsi="Calibri"/>
                <w:b w:val="0"/>
                <w:color w:val="0B2545"/>
                <w:sz w:val="18"/>
              </w:rPr>
              <w:t>Stage</w:t>
            </w:r>
          </w:p>
        </w:tc>
        <w:tc>
          <w:tcPr>
            <w:tcW w:type="dxa" w:w="6960"/>
            <w:tcMar>
              <w:top w:w="80" w:type="dxa"/>
              <w:start w:w="120" w:type="dxa"/>
              <w:bottom w:w="80" w:type="dxa"/>
              <w:end w:w="120" w:type="dxa"/>
            </w:tcMar>
            <w:vAlign w:val="center"/>
          </w:tcPr>
          <w:p>
            <w:pPr>
              <w:spacing w:after="0" w:line="252" w:lineRule="auto"/>
            </w:pPr>
            <w:r>
              <w:rPr>
                <w:rFonts w:ascii="Calibri" w:hAnsi="Calibri"/>
                <w:b w:val="0"/>
                <w:color w:val="0B2545"/>
                <w:sz w:val="18"/>
              </w:rPr>
              <w:t>[Development / controlled staging / pilot / production acceptance]</w:t>
            </w:r>
          </w:p>
        </w:tc>
      </w:tr>
      <w:tr>
        <w:trPr>
          <w:cantSplit w:val="true"/>
        </w:trPr>
        <w:tc>
          <w:tcPr>
            <w:tcW w:type="dxa" w:w="2400"/>
            <w:tcMar>
              <w:top w:w="80" w:type="dxa"/>
              <w:start w:w="120" w:type="dxa"/>
              <w:bottom w:w="80" w:type="dxa"/>
              <w:end w:w="120" w:type="dxa"/>
            </w:tcMar>
            <w:vAlign w:val="center"/>
          </w:tcPr>
          <w:p>
            <w:pPr>
              <w:spacing w:after="0" w:line="252" w:lineRule="auto"/>
            </w:pPr>
            <w:r>
              <w:rPr>
                <w:rFonts w:ascii="Calibri" w:hAnsi="Calibri"/>
                <w:b w:val="0"/>
                <w:color w:val="0B2545"/>
                <w:sz w:val="18"/>
              </w:rPr>
              <w:t>Decision or support needed</w:t>
            </w:r>
          </w:p>
        </w:tc>
        <w:tc>
          <w:tcPr>
            <w:tcW w:type="dxa" w:w="6960"/>
            <w:tcMar>
              <w:top w:w="80" w:type="dxa"/>
              <w:start w:w="120" w:type="dxa"/>
              <w:bottom w:w="80" w:type="dxa"/>
              <w:end w:w="120" w:type="dxa"/>
            </w:tcMar>
            <w:vAlign w:val="center"/>
          </w:tcPr>
          <w:p>
            <w:pPr>
              <w:spacing w:after="0" w:line="252" w:lineRule="auto"/>
            </w:pPr>
            <w:r>
              <w:rPr>
                <w:rFonts w:ascii="Calibri" w:hAnsi="Calibri"/>
                <w:b w:val="0"/>
                <w:color w:val="0B2545"/>
                <w:sz w:val="18"/>
              </w:rPr>
              <w:t>[Specific decision, owner, and needed-by date]</w:t>
            </w:r>
          </w:p>
        </w:tc>
      </w:tr>
    </w:tbl>
    <w:p>
      <w:pPr>
        <w:spacing w:after="80"/>
      </w:pPr>
    </w:p>
    <w:p>
      <w:pPr>
        <w:pStyle w:val="Heading2"/>
        <w:keepNext/>
      </w:pPr>
      <w:r>
        <w:rPr>
          <w:rFonts w:ascii="Calibri" w:hAnsi="Calibri"/>
          <w:b/>
          <w:color w:val="2E74B5"/>
        </w:rPr>
        <w:t>10.2 Executive Summary</w:t>
      </w:r>
    </w:p>
    <w:p>
      <w:pPr>
        <w:spacing w:before="0" w:after="120" w:line="264" w:lineRule="auto"/>
      </w:pPr>
      <w:r>
        <w:rPr>
          <w:rFonts w:ascii="Calibri" w:hAnsi="Calibri"/>
          <w:i w:val="0"/>
          <w:color w:val="0B2545"/>
        </w:rPr>
        <w:t>During [reporting period], the team [completed the most important outcome]. The product is currently [stage/status] because [evidence]. The main value delivered was [user or operational outcome]. Validation completed this period included [tests/simulations/workflows]. The most important remaining risk is [risk], owned by [owner], with the next action due [date].</w:t>
      </w:r>
    </w:p>
    <w:p>
      <w:pPr>
        <w:pStyle w:val="Heading2"/>
        <w:keepNext/>
      </w:pPr>
      <w:r>
        <w:rPr>
          <w:rFonts w:ascii="Calibri" w:hAnsi="Calibri"/>
          <w:b/>
          <w:color w:val="2E74B5"/>
        </w:rPr>
        <w:t>10.3 Accomplishments and Evidence</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1400"/>
        <w:gridCol w:w="1900"/>
        <w:gridCol w:w="2450"/>
        <w:gridCol w:w="2300"/>
        <w:gridCol w:w="1310"/>
      </w:tblGrid>
      <w:tr>
        <w:trPr>
          <w:tblHeader w:val="true"/>
          <w:cantSplit w:val="true"/>
        </w:trPr>
        <w:tc>
          <w:tcPr>
            <w:tcW w:type="dxa" w:w="1400"/>
            <w:shd w:fill="F2F4F7"/>
            <w:tcMar>
              <w:top w:w="80" w:type="dxa"/>
              <w:start w:w="120" w:type="dxa"/>
              <w:bottom w:w="80" w:type="dxa"/>
              <w:end w:w="120" w:type="dxa"/>
            </w:tcMar>
            <w:vAlign w:val="center"/>
          </w:tcPr>
          <w:p>
            <w:pPr>
              <w:spacing w:after="0"/>
              <w:jc w:val="center"/>
            </w:pPr>
            <w:r>
              <w:rPr>
                <w:rFonts w:ascii="Calibri" w:hAnsi="Calibri"/>
                <w:b/>
                <w:color w:val="0B2545"/>
                <w:sz w:val="18"/>
              </w:rPr>
              <w:t>Workstream</w:t>
            </w:r>
          </w:p>
        </w:tc>
        <w:tc>
          <w:tcPr>
            <w:tcW w:type="dxa" w:w="1900"/>
            <w:shd w:fill="F2F4F7"/>
            <w:tcMar>
              <w:top w:w="80" w:type="dxa"/>
              <w:start w:w="120" w:type="dxa"/>
              <w:bottom w:w="80" w:type="dxa"/>
              <w:end w:w="120" w:type="dxa"/>
            </w:tcMar>
            <w:vAlign w:val="center"/>
          </w:tcPr>
          <w:p>
            <w:pPr>
              <w:spacing w:after="0"/>
              <w:jc w:val="center"/>
            </w:pPr>
            <w:r>
              <w:rPr>
                <w:rFonts w:ascii="Calibri" w:hAnsi="Calibri"/>
                <w:b/>
                <w:color w:val="0B2545"/>
                <w:sz w:val="18"/>
              </w:rPr>
              <w:t>Planned outcome</w:t>
            </w:r>
          </w:p>
        </w:tc>
        <w:tc>
          <w:tcPr>
            <w:tcW w:type="dxa" w:w="2450"/>
            <w:shd w:fill="F2F4F7"/>
            <w:tcMar>
              <w:top w:w="80" w:type="dxa"/>
              <w:start w:w="120" w:type="dxa"/>
              <w:bottom w:w="80" w:type="dxa"/>
              <w:end w:w="120" w:type="dxa"/>
            </w:tcMar>
            <w:vAlign w:val="center"/>
          </w:tcPr>
          <w:p>
            <w:pPr>
              <w:spacing w:after="0"/>
              <w:jc w:val="left"/>
            </w:pPr>
            <w:r>
              <w:rPr>
                <w:rFonts w:ascii="Calibri" w:hAnsi="Calibri"/>
                <w:b/>
                <w:color w:val="0B2545"/>
                <w:sz w:val="18"/>
              </w:rPr>
              <w:t>Completed this period</w:t>
            </w:r>
          </w:p>
        </w:tc>
        <w:tc>
          <w:tcPr>
            <w:tcW w:type="dxa" w:w="2300"/>
            <w:shd w:fill="F2F4F7"/>
            <w:tcMar>
              <w:top w:w="80" w:type="dxa"/>
              <w:start w:w="120" w:type="dxa"/>
              <w:bottom w:w="80" w:type="dxa"/>
              <w:end w:w="120" w:type="dxa"/>
            </w:tcMar>
            <w:vAlign w:val="center"/>
          </w:tcPr>
          <w:p>
            <w:pPr>
              <w:spacing w:after="0"/>
              <w:jc w:val="center"/>
            </w:pPr>
            <w:r>
              <w:rPr>
                <w:rFonts w:ascii="Calibri" w:hAnsi="Calibri"/>
                <w:b/>
                <w:color w:val="0B2545"/>
                <w:sz w:val="18"/>
              </w:rPr>
              <w:t>Evidence / result</w:t>
            </w:r>
          </w:p>
        </w:tc>
        <w:tc>
          <w:tcPr>
            <w:tcW w:type="dxa" w:w="1310"/>
            <w:shd w:fill="F2F4F7"/>
            <w:tcMar>
              <w:top w:w="80" w:type="dxa"/>
              <w:start w:w="120" w:type="dxa"/>
              <w:bottom w:w="80" w:type="dxa"/>
              <w:end w:w="120" w:type="dxa"/>
            </w:tcMar>
            <w:vAlign w:val="center"/>
          </w:tcPr>
          <w:p>
            <w:pPr>
              <w:spacing w:after="0"/>
              <w:jc w:val="center"/>
            </w:pPr>
            <w:r>
              <w:rPr>
                <w:rFonts w:ascii="Calibri" w:hAnsi="Calibri"/>
                <w:b/>
                <w:color w:val="0B2545"/>
                <w:sz w:val="18"/>
              </w:rPr>
              <w:t>Status</w:t>
            </w:r>
          </w:p>
        </w:tc>
      </w:tr>
      <w:tr>
        <w:trPr>
          <w:cantSplit w:val="true"/>
        </w:trPr>
        <w:tc>
          <w:tcPr>
            <w:tcW w:type="dxa" w:w="1400"/>
            <w:tcMar>
              <w:top w:w="80" w:type="dxa"/>
              <w:start w:w="120" w:type="dxa"/>
              <w:bottom w:w="80" w:type="dxa"/>
              <w:end w:w="120" w:type="dxa"/>
            </w:tcMar>
            <w:vAlign w:val="center"/>
          </w:tcPr>
          <w:p>
            <w:pPr>
              <w:spacing w:after="0" w:line="252" w:lineRule="auto"/>
            </w:pPr>
            <w:r>
              <w:rPr>
                <w:rFonts w:ascii="Calibri" w:hAnsi="Calibri"/>
                <w:b w:val="0"/>
                <w:color w:val="0B2545"/>
                <w:sz w:val="17"/>
              </w:rPr>
              <w:t>[Workstream]</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B2545"/>
                <w:sz w:val="17"/>
              </w:rPr>
              <w:t>[Planned milestone]</w:t>
            </w:r>
          </w:p>
        </w:tc>
        <w:tc>
          <w:tcPr>
            <w:tcW w:type="dxa" w:w="2450"/>
            <w:tcMar>
              <w:top w:w="80" w:type="dxa"/>
              <w:start w:w="120" w:type="dxa"/>
              <w:bottom w:w="80" w:type="dxa"/>
              <w:end w:w="120" w:type="dxa"/>
            </w:tcMar>
            <w:vAlign w:val="center"/>
          </w:tcPr>
          <w:p>
            <w:pPr>
              <w:spacing w:after="0" w:line="252" w:lineRule="auto"/>
            </w:pPr>
            <w:r>
              <w:rPr>
                <w:rFonts w:ascii="Calibri" w:hAnsi="Calibri"/>
                <w:b w:val="0"/>
                <w:color w:val="0B2545"/>
                <w:sz w:val="17"/>
              </w:rPr>
              <w:t>[Concrete completed work]</w:t>
            </w:r>
          </w:p>
        </w:tc>
        <w:tc>
          <w:tcPr>
            <w:tcW w:type="dxa" w:w="2300"/>
            <w:tcMar>
              <w:top w:w="80" w:type="dxa"/>
              <w:start w:w="120" w:type="dxa"/>
              <w:bottom w:w="80" w:type="dxa"/>
              <w:end w:w="120" w:type="dxa"/>
            </w:tcMar>
            <w:vAlign w:val="center"/>
          </w:tcPr>
          <w:p>
            <w:pPr>
              <w:spacing w:after="0" w:line="252" w:lineRule="auto"/>
            </w:pPr>
            <w:r>
              <w:rPr>
                <w:rFonts w:ascii="Calibri" w:hAnsi="Calibri"/>
                <w:b w:val="0"/>
                <w:color w:val="0B2545"/>
                <w:sz w:val="17"/>
              </w:rPr>
              <w:t>[Test, demo, metric, artifact, or approval]</w:t>
            </w:r>
          </w:p>
        </w:tc>
        <w:tc>
          <w:tcPr>
            <w:tcW w:type="dxa" w:w="1310"/>
            <w:tcMar>
              <w:top w:w="80" w:type="dxa"/>
              <w:start w:w="120" w:type="dxa"/>
              <w:bottom w:w="80" w:type="dxa"/>
              <w:end w:w="120" w:type="dxa"/>
            </w:tcMar>
            <w:vAlign w:val="center"/>
          </w:tcPr>
          <w:p>
            <w:pPr>
              <w:spacing w:after="0" w:line="252" w:lineRule="auto"/>
            </w:pPr>
            <w:r>
              <w:rPr>
                <w:rFonts w:ascii="Calibri" w:hAnsi="Calibri"/>
                <w:b w:val="0"/>
                <w:color w:val="0B2545"/>
                <w:sz w:val="17"/>
              </w:rPr>
              <w:t>[Status]</w:t>
            </w:r>
          </w:p>
        </w:tc>
      </w:tr>
      <w:tr>
        <w:trPr>
          <w:cantSplit w:val="true"/>
        </w:trPr>
        <w:tc>
          <w:tcPr>
            <w:tcW w:type="dxa" w:w="1400"/>
            <w:tcMar>
              <w:top w:w="80" w:type="dxa"/>
              <w:start w:w="120" w:type="dxa"/>
              <w:bottom w:w="80" w:type="dxa"/>
              <w:end w:w="120" w:type="dxa"/>
            </w:tcMar>
            <w:vAlign w:val="center"/>
          </w:tcPr>
          <w:p>
            <w:pPr>
              <w:spacing w:after="0" w:line="252" w:lineRule="auto"/>
            </w:pPr>
            <w:r>
              <w:rPr>
                <w:rFonts w:ascii="Calibri" w:hAnsi="Calibri"/>
                <w:b w:val="0"/>
                <w:color w:val="0B2545"/>
                <w:sz w:val="17"/>
              </w:rPr>
              <w:t>[Workstream]</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B2545"/>
                <w:sz w:val="17"/>
              </w:rPr>
              <w:t>[Planned milestone]</w:t>
            </w:r>
          </w:p>
        </w:tc>
        <w:tc>
          <w:tcPr>
            <w:tcW w:type="dxa" w:w="2450"/>
            <w:tcMar>
              <w:top w:w="80" w:type="dxa"/>
              <w:start w:w="120" w:type="dxa"/>
              <w:bottom w:w="80" w:type="dxa"/>
              <w:end w:w="120" w:type="dxa"/>
            </w:tcMar>
            <w:vAlign w:val="center"/>
          </w:tcPr>
          <w:p>
            <w:pPr>
              <w:spacing w:after="0" w:line="252" w:lineRule="auto"/>
            </w:pPr>
            <w:r>
              <w:rPr>
                <w:rFonts w:ascii="Calibri" w:hAnsi="Calibri"/>
                <w:b w:val="0"/>
                <w:color w:val="0B2545"/>
                <w:sz w:val="17"/>
              </w:rPr>
              <w:t>[Concrete completed work]</w:t>
            </w:r>
          </w:p>
        </w:tc>
        <w:tc>
          <w:tcPr>
            <w:tcW w:type="dxa" w:w="2300"/>
            <w:tcMar>
              <w:top w:w="80" w:type="dxa"/>
              <w:start w:w="120" w:type="dxa"/>
              <w:bottom w:w="80" w:type="dxa"/>
              <w:end w:w="120" w:type="dxa"/>
            </w:tcMar>
            <w:vAlign w:val="center"/>
          </w:tcPr>
          <w:p>
            <w:pPr>
              <w:spacing w:after="0" w:line="252" w:lineRule="auto"/>
            </w:pPr>
            <w:r>
              <w:rPr>
                <w:rFonts w:ascii="Calibri" w:hAnsi="Calibri"/>
                <w:b w:val="0"/>
                <w:color w:val="0B2545"/>
                <w:sz w:val="17"/>
              </w:rPr>
              <w:t>[Test, demo, metric, artifact, or approval]</w:t>
            </w:r>
          </w:p>
        </w:tc>
        <w:tc>
          <w:tcPr>
            <w:tcW w:type="dxa" w:w="1310"/>
            <w:tcMar>
              <w:top w:w="80" w:type="dxa"/>
              <w:start w:w="120" w:type="dxa"/>
              <w:bottom w:w="80" w:type="dxa"/>
              <w:end w:w="120" w:type="dxa"/>
            </w:tcMar>
            <w:vAlign w:val="center"/>
          </w:tcPr>
          <w:p>
            <w:pPr>
              <w:spacing w:after="0" w:line="252" w:lineRule="auto"/>
            </w:pPr>
            <w:r>
              <w:rPr>
                <w:rFonts w:ascii="Calibri" w:hAnsi="Calibri"/>
                <w:b w:val="0"/>
                <w:color w:val="0B2545"/>
                <w:sz w:val="17"/>
              </w:rPr>
              <w:t>[Status]</w:t>
            </w:r>
          </w:p>
        </w:tc>
      </w:tr>
      <w:tr>
        <w:trPr>
          <w:cantSplit w:val="true"/>
        </w:trPr>
        <w:tc>
          <w:tcPr>
            <w:tcW w:type="dxa" w:w="1400"/>
            <w:tcMar>
              <w:top w:w="80" w:type="dxa"/>
              <w:start w:w="120" w:type="dxa"/>
              <w:bottom w:w="80" w:type="dxa"/>
              <w:end w:w="120" w:type="dxa"/>
            </w:tcMar>
            <w:vAlign w:val="center"/>
          </w:tcPr>
          <w:p>
            <w:pPr>
              <w:spacing w:after="0" w:line="252" w:lineRule="auto"/>
            </w:pPr>
            <w:r>
              <w:rPr>
                <w:rFonts w:ascii="Calibri" w:hAnsi="Calibri"/>
                <w:b w:val="0"/>
                <w:color w:val="0B2545"/>
                <w:sz w:val="17"/>
              </w:rPr>
              <w:t>[Workstream]</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B2545"/>
                <w:sz w:val="17"/>
              </w:rPr>
              <w:t>[Planned milestone]</w:t>
            </w:r>
          </w:p>
        </w:tc>
        <w:tc>
          <w:tcPr>
            <w:tcW w:type="dxa" w:w="2450"/>
            <w:tcMar>
              <w:top w:w="80" w:type="dxa"/>
              <w:start w:w="120" w:type="dxa"/>
              <w:bottom w:w="80" w:type="dxa"/>
              <w:end w:w="120" w:type="dxa"/>
            </w:tcMar>
            <w:vAlign w:val="center"/>
          </w:tcPr>
          <w:p>
            <w:pPr>
              <w:spacing w:after="0" w:line="252" w:lineRule="auto"/>
            </w:pPr>
            <w:r>
              <w:rPr>
                <w:rFonts w:ascii="Calibri" w:hAnsi="Calibri"/>
                <w:b w:val="0"/>
                <w:color w:val="0B2545"/>
                <w:sz w:val="17"/>
              </w:rPr>
              <w:t>[Concrete completed work]</w:t>
            </w:r>
          </w:p>
        </w:tc>
        <w:tc>
          <w:tcPr>
            <w:tcW w:type="dxa" w:w="2300"/>
            <w:tcMar>
              <w:top w:w="80" w:type="dxa"/>
              <w:start w:w="120" w:type="dxa"/>
              <w:bottom w:w="80" w:type="dxa"/>
              <w:end w:w="120" w:type="dxa"/>
            </w:tcMar>
            <w:vAlign w:val="center"/>
          </w:tcPr>
          <w:p>
            <w:pPr>
              <w:spacing w:after="0" w:line="252" w:lineRule="auto"/>
            </w:pPr>
            <w:r>
              <w:rPr>
                <w:rFonts w:ascii="Calibri" w:hAnsi="Calibri"/>
                <w:b w:val="0"/>
                <w:color w:val="0B2545"/>
                <w:sz w:val="17"/>
              </w:rPr>
              <w:t>[Test, demo, metric, artifact, or approval]</w:t>
            </w:r>
          </w:p>
        </w:tc>
        <w:tc>
          <w:tcPr>
            <w:tcW w:type="dxa" w:w="1310"/>
            <w:tcMar>
              <w:top w:w="80" w:type="dxa"/>
              <w:start w:w="120" w:type="dxa"/>
              <w:bottom w:w="80" w:type="dxa"/>
              <w:end w:w="120" w:type="dxa"/>
            </w:tcMar>
            <w:vAlign w:val="center"/>
          </w:tcPr>
          <w:p>
            <w:pPr>
              <w:spacing w:after="0" w:line="252" w:lineRule="auto"/>
            </w:pPr>
            <w:r>
              <w:rPr>
                <w:rFonts w:ascii="Calibri" w:hAnsi="Calibri"/>
                <w:b w:val="0"/>
                <w:color w:val="0B2545"/>
                <w:sz w:val="17"/>
              </w:rPr>
              <w:t>[Status]</w:t>
            </w:r>
          </w:p>
        </w:tc>
      </w:tr>
    </w:tbl>
    <w:p>
      <w:pPr>
        <w:spacing w:after="80"/>
      </w:pPr>
    </w:p>
    <w:p>
      <w:pPr>
        <w:pStyle w:val="Heading2"/>
        <w:keepNext/>
      </w:pPr>
      <w:r>
        <w:rPr>
          <w:rFonts w:ascii="Calibri" w:hAnsi="Calibri"/>
          <w:b/>
          <w:color w:val="2E74B5"/>
        </w:rPr>
        <w:t>10.4 KPI Update</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1900"/>
        <w:gridCol w:w="1200"/>
        <w:gridCol w:w="1200"/>
        <w:gridCol w:w="1200"/>
        <w:gridCol w:w="1160"/>
        <w:gridCol w:w="2700"/>
      </w:tblGrid>
      <w:tr>
        <w:trPr>
          <w:tblHeader w:val="true"/>
          <w:cantSplit w:val="true"/>
        </w:trPr>
        <w:tc>
          <w:tcPr>
            <w:tcW w:type="dxa" w:w="1900"/>
            <w:shd w:fill="F2F4F7"/>
            <w:tcMar>
              <w:top w:w="80" w:type="dxa"/>
              <w:start w:w="120" w:type="dxa"/>
              <w:bottom w:w="80" w:type="dxa"/>
              <w:end w:w="120" w:type="dxa"/>
            </w:tcMar>
            <w:vAlign w:val="center"/>
          </w:tcPr>
          <w:p>
            <w:pPr>
              <w:spacing w:after="0"/>
              <w:jc w:val="center"/>
            </w:pPr>
            <w:r>
              <w:rPr>
                <w:rFonts w:ascii="Calibri" w:hAnsi="Calibri"/>
                <w:b/>
                <w:color w:val="0B2545"/>
                <w:sz w:val="18"/>
              </w:rPr>
              <w:t>Metric</w:t>
            </w:r>
          </w:p>
        </w:tc>
        <w:tc>
          <w:tcPr>
            <w:tcW w:type="dxa" w:w="1200"/>
            <w:shd w:fill="F2F4F7"/>
            <w:tcMar>
              <w:top w:w="80" w:type="dxa"/>
              <w:start w:w="120" w:type="dxa"/>
              <w:bottom w:w="80" w:type="dxa"/>
              <w:end w:w="120" w:type="dxa"/>
            </w:tcMar>
            <w:vAlign w:val="center"/>
          </w:tcPr>
          <w:p>
            <w:pPr>
              <w:spacing w:after="0"/>
              <w:jc w:val="center"/>
            </w:pPr>
            <w:r>
              <w:rPr>
                <w:rFonts w:ascii="Calibri" w:hAnsi="Calibri"/>
                <w:b/>
                <w:color w:val="0B2545"/>
                <w:sz w:val="18"/>
              </w:rPr>
              <w:t>Baseline</w:t>
            </w:r>
          </w:p>
        </w:tc>
        <w:tc>
          <w:tcPr>
            <w:tcW w:type="dxa" w:w="1200"/>
            <w:shd w:fill="F2F4F7"/>
            <w:tcMar>
              <w:top w:w="80" w:type="dxa"/>
              <w:start w:w="120" w:type="dxa"/>
              <w:bottom w:w="80" w:type="dxa"/>
              <w:end w:w="120" w:type="dxa"/>
            </w:tcMar>
            <w:vAlign w:val="center"/>
          </w:tcPr>
          <w:p>
            <w:pPr>
              <w:spacing w:after="0"/>
              <w:jc w:val="center"/>
            </w:pPr>
            <w:r>
              <w:rPr>
                <w:rFonts w:ascii="Calibri" w:hAnsi="Calibri"/>
                <w:b/>
                <w:color w:val="0B2545"/>
                <w:sz w:val="18"/>
              </w:rPr>
              <w:t>Current</w:t>
            </w:r>
          </w:p>
        </w:tc>
        <w:tc>
          <w:tcPr>
            <w:tcW w:type="dxa" w:w="1200"/>
            <w:shd w:fill="F2F4F7"/>
            <w:tcMar>
              <w:top w:w="80" w:type="dxa"/>
              <w:start w:w="120" w:type="dxa"/>
              <w:bottom w:w="80" w:type="dxa"/>
              <w:end w:w="120" w:type="dxa"/>
            </w:tcMar>
            <w:vAlign w:val="center"/>
          </w:tcPr>
          <w:p>
            <w:pPr>
              <w:spacing w:after="0"/>
              <w:jc w:val="center"/>
            </w:pPr>
            <w:r>
              <w:rPr>
                <w:rFonts w:ascii="Calibri" w:hAnsi="Calibri"/>
                <w:b/>
                <w:color w:val="0B2545"/>
                <w:sz w:val="18"/>
              </w:rPr>
              <w:t>Target</w:t>
            </w:r>
          </w:p>
        </w:tc>
        <w:tc>
          <w:tcPr>
            <w:tcW w:type="dxa" w:w="1160"/>
            <w:shd w:fill="F2F4F7"/>
            <w:tcMar>
              <w:top w:w="80" w:type="dxa"/>
              <w:start w:w="120" w:type="dxa"/>
              <w:bottom w:w="80" w:type="dxa"/>
              <w:end w:w="120" w:type="dxa"/>
            </w:tcMar>
            <w:vAlign w:val="center"/>
          </w:tcPr>
          <w:p>
            <w:pPr>
              <w:spacing w:after="0"/>
              <w:jc w:val="center"/>
            </w:pPr>
            <w:r>
              <w:rPr>
                <w:rFonts w:ascii="Calibri" w:hAnsi="Calibri"/>
                <w:b/>
                <w:color w:val="0B2545"/>
                <w:sz w:val="18"/>
              </w:rPr>
              <w:t>Trend</w:t>
            </w:r>
          </w:p>
        </w:tc>
        <w:tc>
          <w:tcPr>
            <w:tcW w:type="dxa" w:w="2700"/>
            <w:shd w:fill="F2F4F7"/>
            <w:tcMar>
              <w:top w:w="80" w:type="dxa"/>
              <w:start w:w="120" w:type="dxa"/>
              <w:bottom w:w="80" w:type="dxa"/>
              <w:end w:w="120" w:type="dxa"/>
            </w:tcMar>
            <w:vAlign w:val="center"/>
          </w:tcPr>
          <w:p>
            <w:pPr>
              <w:spacing w:after="0"/>
              <w:jc w:val="left"/>
            </w:pPr>
            <w:r>
              <w:rPr>
                <w:rFonts w:ascii="Calibri" w:hAnsi="Calibri"/>
                <w:b/>
                <w:color w:val="0B2545"/>
                <w:sz w:val="18"/>
              </w:rPr>
              <w:t>Interpretation / action</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Calibri" w:hAnsi="Calibri"/>
                <w:b w:val="0"/>
                <w:color w:val="0B2545"/>
                <w:sz w:val="17"/>
              </w:rPr>
              <w:t>[Guardrail or KPI]</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B2545"/>
                <w:sz w:val="17"/>
              </w:rPr>
              <w:t>[Value/date]</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B2545"/>
                <w:sz w:val="17"/>
              </w:rPr>
              <w:t>[Value/date]</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B2545"/>
                <w:sz w:val="17"/>
              </w:rPr>
              <w:t>[Approved target]</w:t>
            </w:r>
          </w:p>
        </w:tc>
        <w:tc>
          <w:tcPr>
            <w:tcW w:type="dxa" w:w="1160"/>
            <w:tcMar>
              <w:top w:w="80" w:type="dxa"/>
              <w:start w:w="120" w:type="dxa"/>
              <w:bottom w:w="80" w:type="dxa"/>
              <w:end w:w="120" w:type="dxa"/>
            </w:tcMar>
            <w:vAlign w:val="center"/>
          </w:tcPr>
          <w:p>
            <w:pPr>
              <w:spacing w:after="0" w:line="252" w:lineRule="auto"/>
            </w:pPr>
            <w:r>
              <w:rPr>
                <w:rFonts w:ascii="Calibri" w:hAnsi="Calibri"/>
                <w:b w:val="0"/>
                <w:color w:val="0B2545"/>
                <w:sz w:val="17"/>
              </w:rPr>
              <w:t>[Up/down/stable]</w:t>
            </w:r>
          </w:p>
        </w:tc>
        <w:tc>
          <w:tcPr>
            <w:tcW w:type="dxa" w:w="2700"/>
            <w:tcMar>
              <w:top w:w="80" w:type="dxa"/>
              <w:start w:w="120" w:type="dxa"/>
              <w:bottom w:w="80" w:type="dxa"/>
              <w:end w:w="120" w:type="dxa"/>
            </w:tcMar>
            <w:vAlign w:val="center"/>
          </w:tcPr>
          <w:p>
            <w:pPr>
              <w:spacing w:after="0" w:line="252" w:lineRule="auto"/>
            </w:pPr>
            <w:r>
              <w:rPr>
                <w:rFonts w:ascii="Calibri" w:hAnsi="Calibri"/>
                <w:b w:val="0"/>
                <w:color w:val="0B2545"/>
                <w:sz w:val="17"/>
              </w:rPr>
              <w:t>[Why it changed and what happens next]</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Calibri" w:hAnsi="Calibri"/>
                <w:b w:val="0"/>
                <w:color w:val="0B2545"/>
                <w:sz w:val="17"/>
              </w:rPr>
              <w:t>[Guardrail or KPI]</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B2545"/>
                <w:sz w:val="17"/>
              </w:rPr>
              <w:t>[Value/date]</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B2545"/>
                <w:sz w:val="17"/>
              </w:rPr>
              <w:t>[Value/date]</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B2545"/>
                <w:sz w:val="17"/>
              </w:rPr>
              <w:t>[Approved target]</w:t>
            </w:r>
          </w:p>
        </w:tc>
        <w:tc>
          <w:tcPr>
            <w:tcW w:type="dxa" w:w="1160"/>
            <w:tcMar>
              <w:top w:w="80" w:type="dxa"/>
              <w:start w:w="120" w:type="dxa"/>
              <w:bottom w:w="80" w:type="dxa"/>
              <w:end w:w="120" w:type="dxa"/>
            </w:tcMar>
            <w:vAlign w:val="center"/>
          </w:tcPr>
          <w:p>
            <w:pPr>
              <w:spacing w:after="0" w:line="252" w:lineRule="auto"/>
            </w:pPr>
            <w:r>
              <w:rPr>
                <w:rFonts w:ascii="Calibri" w:hAnsi="Calibri"/>
                <w:b w:val="0"/>
                <w:color w:val="0B2545"/>
                <w:sz w:val="17"/>
              </w:rPr>
              <w:t>[Up/down/stable]</w:t>
            </w:r>
          </w:p>
        </w:tc>
        <w:tc>
          <w:tcPr>
            <w:tcW w:type="dxa" w:w="2700"/>
            <w:tcMar>
              <w:top w:w="80" w:type="dxa"/>
              <w:start w:w="120" w:type="dxa"/>
              <w:bottom w:w="80" w:type="dxa"/>
              <w:end w:w="120" w:type="dxa"/>
            </w:tcMar>
            <w:vAlign w:val="center"/>
          </w:tcPr>
          <w:p>
            <w:pPr>
              <w:spacing w:after="0" w:line="252" w:lineRule="auto"/>
            </w:pPr>
            <w:r>
              <w:rPr>
                <w:rFonts w:ascii="Calibri" w:hAnsi="Calibri"/>
                <w:b w:val="0"/>
                <w:color w:val="0B2545"/>
                <w:sz w:val="17"/>
              </w:rPr>
              <w:t>[Why it changed and what happens next]</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Calibri" w:hAnsi="Calibri"/>
                <w:b w:val="0"/>
                <w:color w:val="0B2545"/>
                <w:sz w:val="17"/>
              </w:rPr>
              <w:t>[Guardrail or KPI]</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B2545"/>
                <w:sz w:val="17"/>
              </w:rPr>
              <w:t>[Value/date]</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B2545"/>
                <w:sz w:val="17"/>
              </w:rPr>
              <w:t>[Value/date]</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B2545"/>
                <w:sz w:val="17"/>
              </w:rPr>
              <w:t>[Approved target]</w:t>
            </w:r>
          </w:p>
        </w:tc>
        <w:tc>
          <w:tcPr>
            <w:tcW w:type="dxa" w:w="1160"/>
            <w:tcMar>
              <w:top w:w="80" w:type="dxa"/>
              <w:start w:w="120" w:type="dxa"/>
              <w:bottom w:w="80" w:type="dxa"/>
              <w:end w:w="120" w:type="dxa"/>
            </w:tcMar>
            <w:vAlign w:val="center"/>
          </w:tcPr>
          <w:p>
            <w:pPr>
              <w:spacing w:after="0" w:line="252" w:lineRule="auto"/>
            </w:pPr>
            <w:r>
              <w:rPr>
                <w:rFonts w:ascii="Calibri" w:hAnsi="Calibri"/>
                <w:b w:val="0"/>
                <w:color w:val="0B2545"/>
                <w:sz w:val="17"/>
              </w:rPr>
              <w:t>[Up/down/stable]</w:t>
            </w:r>
          </w:p>
        </w:tc>
        <w:tc>
          <w:tcPr>
            <w:tcW w:type="dxa" w:w="2700"/>
            <w:tcMar>
              <w:top w:w="80" w:type="dxa"/>
              <w:start w:w="120" w:type="dxa"/>
              <w:bottom w:w="80" w:type="dxa"/>
              <w:end w:w="120" w:type="dxa"/>
            </w:tcMar>
            <w:vAlign w:val="center"/>
          </w:tcPr>
          <w:p>
            <w:pPr>
              <w:spacing w:after="0" w:line="252" w:lineRule="auto"/>
            </w:pPr>
            <w:r>
              <w:rPr>
                <w:rFonts w:ascii="Calibri" w:hAnsi="Calibri"/>
                <w:b w:val="0"/>
                <w:color w:val="0B2545"/>
                <w:sz w:val="17"/>
              </w:rPr>
              <w:t>[Why it changed and what happens next]</w:t>
            </w:r>
          </w:p>
        </w:tc>
      </w:tr>
    </w:tbl>
    <w:p>
      <w:pPr>
        <w:spacing w:after="80"/>
      </w:pPr>
    </w:p>
    <w:p>
      <w:pPr>
        <w:pStyle w:val="Heading2"/>
        <w:keepNext/>
      </w:pPr>
      <w:r>
        <w:rPr>
          <w:rFonts w:ascii="Calibri" w:hAnsi="Calibri"/>
          <w:b/>
          <w:color w:val="2E74B5"/>
        </w:rPr>
        <w:t>10.5 Risks, Issues, and Decisions</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1800"/>
        <w:gridCol w:w="1400"/>
        <w:gridCol w:w="2000"/>
        <w:gridCol w:w="1300"/>
        <w:gridCol w:w="1860"/>
        <w:gridCol w:w="1000"/>
      </w:tblGrid>
      <w:tr>
        <w:trPr>
          <w:tblHeader w:val="true"/>
          <w:cantSplit w:val="true"/>
        </w:trPr>
        <w:tc>
          <w:tcPr>
            <w:tcW w:type="dxa" w:w="1800"/>
            <w:shd w:fill="F2F4F7"/>
            <w:tcMar>
              <w:top w:w="80" w:type="dxa"/>
              <w:start w:w="120" w:type="dxa"/>
              <w:bottom w:w="80" w:type="dxa"/>
              <w:end w:w="120" w:type="dxa"/>
            </w:tcMar>
            <w:vAlign w:val="center"/>
          </w:tcPr>
          <w:p>
            <w:pPr>
              <w:spacing w:after="0"/>
              <w:jc w:val="center"/>
            </w:pPr>
            <w:r>
              <w:rPr>
                <w:rFonts w:ascii="Calibri" w:hAnsi="Calibri"/>
                <w:b/>
                <w:color w:val="0B2545"/>
                <w:sz w:val="18"/>
              </w:rPr>
              <w:t>Item</w:t>
            </w:r>
          </w:p>
        </w:tc>
        <w:tc>
          <w:tcPr>
            <w:tcW w:type="dxa" w:w="1400"/>
            <w:shd w:fill="F2F4F7"/>
            <w:tcMar>
              <w:top w:w="80" w:type="dxa"/>
              <w:start w:w="120" w:type="dxa"/>
              <w:bottom w:w="80" w:type="dxa"/>
              <w:end w:w="120" w:type="dxa"/>
            </w:tcMar>
            <w:vAlign w:val="center"/>
          </w:tcPr>
          <w:p>
            <w:pPr>
              <w:spacing w:after="0"/>
              <w:jc w:val="center"/>
            </w:pPr>
            <w:r>
              <w:rPr>
                <w:rFonts w:ascii="Calibri" w:hAnsi="Calibri"/>
                <w:b/>
                <w:color w:val="0B2545"/>
                <w:sz w:val="18"/>
              </w:rPr>
              <w:t>Type</w:t>
            </w:r>
          </w:p>
        </w:tc>
        <w:tc>
          <w:tcPr>
            <w:tcW w:type="dxa" w:w="2000"/>
            <w:shd w:fill="F2F4F7"/>
            <w:tcMar>
              <w:top w:w="80" w:type="dxa"/>
              <w:start w:w="120" w:type="dxa"/>
              <w:bottom w:w="80" w:type="dxa"/>
              <w:end w:w="120" w:type="dxa"/>
            </w:tcMar>
            <w:vAlign w:val="center"/>
          </w:tcPr>
          <w:p>
            <w:pPr>
              <w:spacing w:after="0"/>
              <w:jc w:val="center"/>
            </w:pPr>
            <w:r>
              <w:rPr>
                <w:rFonts w:ascii="Calibri" w:hAnsi="Calibri"/>
                <w:b/>
                <w:color w:val="0B2545"/>
                <w:sz w:val="18"/>
              </w:rPr>
              <w:t>Impact</w:t>
            </w:r>
          </w:p>
        </w:tc>
        <w:tc>
          <w:tcPr>
            <w:tcW w:type="dxa" w:w="1300"/>
            <w:shd w:fill="F2F4F7"/>
            <w:tcMar>
              <w:top w:w="80" w:type="dxa"/>
              <w:start w:w="120" w:type="dxa"/>
              <w:bottom w:w="80" w:type="dxa"/>
              <w:end w:w="120" w:type="dxa"/>
            </w:tcMar>
            <w:vAlign w:val="center"/>
          </w:tcPr>
          <w:p>
            <w:pPr>
              <w:spacing w:after="0"/>
              <w:jc w:val="center"/>
            </w:pPr>
            <w:r>
              <w:rPr>
                <w:rFonts w:ascii="Calibri" w:hAnsi="Calibri"/>
                <w:b/>
                <w:color w:val="0B2545"/>
                <w:sz w:val="18"/>
              </w:rPr>
              <w:t>Owner</w:t>
            </w:r>
          </w:p>
        </w:tc>
        <w:tc>
          <w:tcPr>
            <w:tcW w:type="dxa" w:w="1860"/>
            <w:shd w:fill="F2F4F7"/>
            <w:tcMar>
              <w:top w:w="80" w:type="dxa"/>
              <w:start w:w="120" w:type="dxa"/>
              <w:bottom w:w="80" w:type="dxa"/>
              <w:end w:w="120" w:type="dxa"/>
            </w:tcMar>
            <w:vAlign w:val="center"/>
          </w:tcPr>
          <w:p>
            <w:pPr>
              <w:spacing w:after="0"/>
              <w:jc w:val="left"/>
            </w:pPr>
            <w:r>
              <w:rPr>
                <w:rFonts w:ascii="Calibri" w:hAnsi="Calibri"/>
                <w:b/>
                <w:color w:val="0B2545"/>
                <w:sz w:val="18"/>
              </w:rPr>
              <w:t>Next action / due date</w:t>
            </w:r>
          </w:p>
        </w:tc>
        <w:tc>
          <w:tcPr>
            <w:tcW w:type="dxa" w:w="1000"/>
            <w:shd w:fill="F2F4F7"/>
            <w:tcMar>
              <w:top w:w="80" w:type="dxa"/>
              <w:start w:w="120" w:type="dxa"/>
              <w:bottom w:w="80" w:type="dxa"/>
              <w:end w:w="120" w:type="dxa"/>
            </w:tcMar>
            <w:vAlign w:val="center"/>
          </w:tcPr>
          <w:p>
            <w:pPr>
              <w:spacing w:after="0"/>
              <w:jc w:val="center"/>
            </w:pPr>
            <w:r>
              <w:rPr>
                <w:rFonts w:ascii="Calibri" w:hAnsi="Calibri"/>
                <w:b/>
                <w:color w:val="0B2545"/>
                <w:sz w:val="18"/>
              </w:rPr>
              <w:t>Status</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[Risk or issue]</w:t>
            </w:r>
          </w:p>
        </w:tc>
        <w:tc>
          <w:tcPr>
            <w:tcW w:type="dxa" w:w="1400"/>
            <w:tcMar>
              <w:top w:w="80" w:type="dxa"/>
              <w:start w:w="120" w:type="dxa"/>
              <w:bottom w:w="80" w:type="dxa"/>
              <w:end w:w="120" w:type="dxa"/>
            </w:tcMar>
            <w:vAlign w:val="center"/>
          </w:tcPr>
          <w:p>
            <w:pPr>
              <w:spacing w:after="0" w:line="252" w:lineRule="auto"/>
            </w:pPr>
            <w:r>
              <w:rPr>
                <w:rFonts w:ascii="Calibri" w:hAnsi="Calibri"/>
                <w:b w:val="0"/>
                <w:color w:val="0B2545"/>
                <w:sz w:val="17"/>
              </w:rPr>
              <w:t>[Risk/issue/decision]</w:t>
            </w:r>
          </w:p>
        </w:tc>
        <w:tc>
          <w:tcPr>
            <w:tcW w:type="dxa" w:w="2000"/>
            <w:tcMar>
              <w:top w:w="80" w:type="dxa"/>
              <w:start w:w="120" w:type="dxa"/>
              <w:bottom w:w="80" w:type="dxa"/>
              <w:end w:w="120" w:type="dxa"/>
            </w:tcMar>
            <w:vAlign w:val="center"/>
          </w:tcPr>
          <w:p>
            <w:pPr>
              <w:spacing w:after="0" w:line="252" w:lineRule="auto"/>
            </w:pPr>
            <w:r>
              <w:rPr>
                <w:rFonts w:ascii="Calibri" w:hAnsi="Calibri"/>
                <w:b w:val="0"/>
                <w:color w:val="0B2545"/>
                <w:sz w:val="17"/>
              </w:rPr>
              <w:t>[Schedule, safety, privacy, quality, or adoption]</w:t>
            </w:r>
          </w:p>
        </w:tc>
        <w:tc>
          <w:tcPr>
            <w:tcW w:type="dxa" w:w="1300"/>
            <w:tcMar>
              <w:top w:w="80" w:type="dxa"/>
              <w:start w:w="120" w:type="dxa"/>
              <w:bottom w:w="80" w:type="dxa"/>
              <w:end w:w="120" w:type="dxa"/>
            </w:tcMar>
            <w:vAlign w:val="center"/>
          </w:tcPr>
          <w:p>
            <w:pPr>
              <w:spacing w:after="0" w:line="252" w:lineRule="auto"/>
            </w:pPr>
            <w:r>
              <w:rPr>
                <w:rFonts w:ascii="Calibri" w:hAnsi="Calibri"/>
                <w:b w:val="0"/>
                <w:color w:val="0B2545"/>
                <w:sz w:val="17"/>
              </w:rPr>
              <w:t>[Owner]</w:t>
            </w:r>
          </w:p>
        </w:tc>
        <w:tc>
          <w:tcPr>
            <w:tcW w:type="dxa" w:w="1860"/>
            <w:tcMar>
              <w:top w:w="80" w:type="dxa"/>
              <w:start w:w="120" w:type="dxa"/>
              <w:bottom w:w="80" w:type="dxa"/>
              <w:end w:w="120" w:type="dxa"/>
            </w:tcMar>
            <w:vAlign w:val="center"/>
          </w:tcPr>
          <w:p>
            <w:pPr>
              <w:spacing w:after="0" w:line="252" w:lineRule="auto"/>
            </w:pPr>
            <w:r>
              <w:rPr>
                <w:rFonts w:ascii="Calibri" w:hAnsi="Calibri"/>
                <w:b w:val="0"/>
                <w:color w:val="0B2545"/>
                <w:sz w:val="17"/>
              </w:rPr>
              <w:t>[Action and date]</w:t>
            </w:r>
          </w:p>
        </w:tc>
        <w:tc>
          <w:tcPr>
            <w:tcW w:type="dxa" w:w="1000"/>
            <w:tcMar>
              <w:top w:w="80" w:type="dxa"/>
              <w:start w:w="120" w:type="dxa"/>
              <w:bottom w:w="80" w:type="dxa"/>
              <w:end w:w="120" w:type="dxa"/>
            </w:tcMar>
            <w:vAlign w:val="center"/>
          </w:tcPr>
          <w:p>
            <w:pPr>
              <w:spacing w:after="0" w:line="252" w:lineRule="auto"/>
            </w:pPr>
            <w:r>
              <w:rPr>
                <w:rFonts w:ascii="Calibri" w:hAnsi="Calibri"/>
                <w:b w:val="0"/>
                <w:color w:val="0B2545"/>
                <w:sz w:val="17"/>
              </w:rPr>
              <w:t>[Status]</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[Risk or issue]</w:t>
            </w:r>
          </w:p>
        </w:tc>
        <w:tc>
          <w:tcPr>
            <w:tcW w:type="dxa" w:w="1400"/>
            <w:tcMar>
              <w:top w:w="80" w:type="dxa"/>
              <w:start w:w="120" w:type="dxa"/>
              <w:bottom w:w="80" w:type="dxa"/>
              <w:end w:w="120" w:type="dxa"/>
            </w:tcMar>
            <w:vAlign w:val="center"/>
          </w:tcPr>
          <w:p>
            <w:pPr>
              <w:spacing w:after="0" w:line="252" w:lineRule="auto"/>
            </w:pPr>
            <w:r>
              <w:rPr>
                <w:rFonts w:ascii="Calibri" w:hAnsi="Calibri"/>
                <w:b w:val="0"/>
                <w:color w:val="0B2545"/>
                <w:sz w:val="17"/>
              </w:rPr>
              <w:t>[Risk/issue/decision]</w:t>
            </w:r>
          </w:p>
        </w:tc>
        <w:tc>
          <w:tcPr>
            <w:tcW w:type="dxa" w:w="2000"/>
            <w:tcMar>
              <w:top w:w="80" w:type="dxa"/>
              <w:start w:w="120" w:type="dxa"/>
              <w:bottom w:w="80" w:type="dxa"/>
              <w:end w:w="120" w:type="dxa"/>
            </w:tcMar>
            <w:vAlign w:val="center"/>
          </w:tcPr>
          <w:p>
            <w:pPr>
              <w:spacing w:after="0" w:line="252" w:lineRule="auto"/>
            </w:pPr>
            <w:r>
              <w:rPr>
                <w:rFonts w:ascii="Calibri" w:hAnsi="Calibri"/>
                <w:b w:val="0"/>
                <w:color w:val="0B2545"/>
                <w:sz w:val="17"/>
              </w:rPr>
              <w:t>[Schedule, safety, privacy, quality, or adoption]</w:t>
            </w:r>
          </w:p>
        </w:tc>
        <w:tc>
          <w:tcPr>
            <w:tcW w:type="dxa" w:w="1300"/>
            <w:tcMar>
              <w:top w:w="80" w:type="dxa"/>
              <w:start w:w="120" w:type="dxa"/>
              <w:bottom w:w="80" w:type="dxa"/>
              <w:end w:w="120" w:type="dxa"/>
            </w:tcMar>
            <w:vAlign w:val="center"/>
          </w:tcPr>
          <w:p>
            <w:pPr>
              <w:spacing w:after="0" w:line="252" w:lineRule="auto"/>
            </w:pPr>
            <w:r>
              <w:rPr>
                <w:rFonts w:ascii="Calibri" w:hAnsi="Calibri"/>
                <w:b w:val="0"/>
                <w:color w:val="0B2545"/>
                <w:sz w:val="17"/>
              </w:rPr>
              <w:t>[Owner]</w:t>
            </w:r>
          </w:p>
        </w:tc>
        <w:tc>
          <w:tcPr>
            <w:tcW w:type="dxa" w:w="1860"/>
            <w:tcMar>
              <w:top w:w="80" w:type="dxa"/>
              <w:start w:w="120" w:type="dxa"/>
              <w:bottom w:w="80" w:type="dxa"/>
              <w:end w:w="120" w:type="dxa"/>
            </w:tcMar>
            <w:vAlign w:val="center"/>
          </w:tcPr>
          <w:p>
            <w:pPr>
              <w:spacing w:after="0" w:line="252" w:lineRule="auto"/>
            </w:pPr>
            <w:r>
              <w:rPr>
                <w:rFonts w:ascii="Calibri" w:hAnsi="Calibri"/>
                <w:b w:val="0"/>
                <w:color w:val="0B2545"/>
                <w:sz w:val="17"/>
              </w:rPr>
              <w:t>[Action and date]</w:t>
            </w:r>
          </w:p>
        </w:tc>
        <w:tc>
          <w:tcPr>
            <w:tcW w:type="dxa" w:w="1000"/>
            <w:tcMar>
              <w:top w:w="80" w:type="dxa"/>
              <w:start w:w="120" w:type="dxa"/>
              <w:bottom w:w="80" w:type="dxa"/>
              <w:end w:w="120" w:type="dxa"/>
            </w:tcMar>
            <w:vAlign w:val="center"/>
          </w:tcPr>
          <w:p>
            <w:pPr>
              <w:spacing w:after="0" w:line="252" w:lineRule="auto"/>
            </w:pPr>
            <w:r>
              <w:rPr>
                <w:rFonts w:ascii="Calibri" w:hAnsi="Calibri"/>
                <w:b w:val="0"/>
                <w:color w:val="0B2545"/>
                <w:sz w:val="17"/>
              </w:rPr>
              <w:t>[Status]</w:t>
            </w:r>
          </w:p>
        </w:tc>
      </w:tr>
    </w:tbl>
    <w:p>
      <w:pPr>
        <w:spacing w:after="80"/>
      </w:pPr>
    </w:p>
    <w:p>
      <w:pPr>
        <w:pStyle w:val="Heading2"/>
        <w:keepNext/>
      </w:pPr>
      <w:r>
        <w:rPr>
          <w:rFonts w:ascii="Calibri" w:hAnsi="Calibri"/>
          <w:b/>
          <w:color w:val="2E74B5"/>
        </w:rPr>
        <w:t>10.6 Next Reporting Period</w:t>
      </w:r>
    </w:p>
    <w:p>
      <w:pPr>
        <w:pStyle w:val="ListBullet"/>
        <w:spacing w:after="160" w:line="280" w:lineRule="auto"/>
        <w:ind w:left="720" w:hanging="360"/>
      </w:pPr>
      <w:r>
        <w:rPr>
          <w:rFonts w:ascii="Calibri" w:hAnsi="Calibri"/>
          <w:color w:val="0B2545"/>
        </w:rPr>
        <w:t>[Priority 1: measurable outcome, owner, and due date]</w:t>
      </w:r>
    </w:p>
    <w:p>
      <w:pPr>
        <w:pStyle w:val="ListBullet"/>
        <w:spacing w:after="160" w:line="280" w:lineRule="auto"/>
        <w:ind w:left="720" w:hanging="360"/>
      </w:pPr>
      <w:r>
        <w:rPr>
          <w:rFonts w:ascii="Calibri" w:hAnsi="Calibri"/>
          <w:color w:val="0B2545"/>
        </w:rPr>
        <w:t>[Priority 2: measurable outcome, owner, and due date]</w:t>
      </w:r>
    </w:p>
    <w:p>
      <w:pPr>
        <w:pStyle w:val="ListBullet"/>
        <w:spacing w:after="160" w:line="280" w:lineRule="auto"/>
        <w:ind w:left="720" w:hanging="360"/>
      </w:pPr>
      <w:r>
        <w:rPr>
          <w:rFonts w:ascii="Calibri" w:hAnsi="Calibri"/>
          <w:color w:val="0B2545"/>
        </w:rPr>
        <w:t>[Priority 3: measurable outcome, owner, and due date]</w:t>
      </w:r>
    </w:p>
    <w:p>
      <w:pPr>
        <w:pStyle w:val="ListBullet"/>
        <w:spacing w:after="160" w:line="280" w:lineRule="auto"/>
        <w:ind w:left="720" w:hanging="360"/>
      </w:pPr>
      <w:r>
        <w:rPr>
          <w:rFonts w:ascii="Calibri" w:hAnsi="Calibri"/>
          <w:color w:val="0B2545"/>
        </w:rPr>
        <w:t>[Acceptance evidence expected by the next report]</w:t>
      </w:r>
    </w:p>
    <w:p>
      <w:pPr>
        <w:pStyle w:val="ListBullet"/>
        <w:spacing w:after="160" w:line="280" w:lineRule="auto"/>
        <w:ind w:left="720" w:hanging="360"/>
      </w:pPr>
      <w:r>
        <w:rPr>
          <w:rFonts w:ascii="Calibri" w:hAnsi="Calibri"/>
          <w:color w:val="0B2545"/>
        </w:rPr>
        <w:t>[Decision, dependency, or support required]</w:t>
      </w:r>
    </w:p>
    <w:p>
      <w:pPr>
        <w:pStyle w:val="Heading1"/>
        <w:keepNext/>
      </w:pPr>
      <w:r>
        <w:rPr>
          <w:rFonts w:ascii="Calibri" w:hAnsi="Calibri"/>
          <w:b/>
          <w:color w:val="2E74B5"/>
        </w:rPr>
        <w:t>11. Reporting Rules and Source Notes</w:t>
      </w:r>
    </w:p>
    <w:p>
      <w:pPr>
        <w:pStyle w:val="ListBullet"/>
        <w:spacing w:after="160" w:line="280" w:lineRule="auto"/>
        <w:ind w:left="720" w:hanging="360"/>
      </w:pPr>
      <w:r>
        <w:rPr>
          <w:rFonts w:ascii="Calibri" w:hAnsi="Calibri"/>
          <w:color w:val="0B2545"/>
        </w:rPr>
        <w:t>Separate implemented capability, verified evidence, recommended target, and production-measured result. Do not present one as another.</w:t>
      </w:r>
    </w:p>
    <w:p>
      <w:pPr>
        <w:pStyle w:val="ListBullet"/>
        <w:spacing w:after="160" w:line="280" w:lineRule="auto"/>
        <w:ind w:left="720" w:hanging="360"/>
      </w:pPr>
      <w:r>
        <w:rPr>
          <w:rFonts w:ascii="Calibri" w:hAnsi="Calibri"/>
          <w:color w:val="0B2545"/>
        </w:rPr>
        <w:t>Use synthetic or approved de-identified evidence. Do not paste patient records, raw prompts, credentials, private endpoints, internal network details, or database exports into a report.</w:t>
      </w:r>
    </w:p>
    <w:p>
      <w:pPr>
        <w:pStyle w:val="ListBullet"/>
        <w:spacing w:after="160" w:line="280" w:lineRule="auto"/>
        <w:ind w:left="720" w:hanging="360"/>
      </w:pPr>
      <w:r>
        <w:rPr>
          <w:rFonts w:ascii="Calibri" w:hAnsi="Calibri"/>
          <w:color w:val="0B2545"/>
        </w:rPr>
        <w:t>Report safety and privacy guardrails before efficiency or utilization metrics. A guardrail breach cannot be offset by a positive KPI.</w:t>
      </w:r>
    </w:p>
    <w:p>
      <w:pPr>
        <w:pStyle w:val="ListBullet"/>
        <w:spacing w:after="160" w:line="280" w:lineRule="auto"/>
        <w:ind w:left="720" w:hanging="360"/>
      </w:pPr>
      <w:r>
        <w:rPr>
          <w:rFonts w:ascii="Calibri" w:hAnsi="Calibri"/>
          <w:color w:val="0B2545"/>
        </w:rPr>
        <w:t>For calibration, report eligible sample count, data-quality exclusions, proposed values, reviewer, decision, prospective policy version, and later holdout performance.</w:t>
      </w:r>
    </w:p>
    <w:p>
      <w:pPr>
        <w:pStyle w:val="ListBullet"/>
        <w:spacing w:after="160" w:line="280" w:lineRule="auto"/>
        <w:ind w:left="720" w:hanging="360"/>
      </w:pPr>
      <w:r>
        <w:rPr>
          <w:rFonts w:ascii="Calibri" w:hAnsi="Calibri"/>
          <w:color w:val="0B2545"/>
        </w:rPr>
        <w:t>Report the selected intake profile. Apply model-quality metrics only to optional-AI deployments; for rules-only deployments report rule coverage, unsupported-input routing, and manual-review rate.</w:t>
      </w:r>
    </w:p>
    <w:p>
      <w:pPr>
        <w:pStyle w:val="ListBullet"/>
        <w:spacing w:after="160" w:line="280" w:lineRule="auto"/>
        <w:ind w:left="720" w:hanging="360"/>
      </w:pPr>
      <w:r>
        <w:rPr>
          <w:rFonts w:ascii="Calibri" w:hAnsi="Calibri"/>
          <w:color w:val="0B2545"/>
        </w:rPr>
        <w:t>For scheduling outcomes, segment by priority and procedure where volume permits; explain staffing, policy, demand, and capacity changes that affect comparability.</w:t>
      </w:r>
    </w:p>
    <w:p>
      <w:pPr>
        <w:pStyle w:val="ListBullet"/>
        <w:spacing w:after="160" w:line="280" w:lineRule="auto"/>
        <w:ind w:left="720" w:hanging="360"/>
      </w:pPr>
      <w:r>
        <w:rPr>
          <w:rFonts w:ascii="Calibri" w:hAnsi="Calibri"/>
          <w:color w:val="0B2545"/>
        </w:rPr>
        <w:t>Reverify runtime health, test counts, open blockers, configuration approval, and deployment evidence at the end of every reporting period.</w:t>
      </w:r>
    </w:p>
    <w:p>
      <w:pPr>
        <w:pStyle w:val="ListBullet"/>
        <w:spacing w:after="160" w:line="280" w:lineRule="auto"/>
        <w:ind w:left="720" w:hanging="360"/>
      </w:pPr>
      <w:r>
        <w:rPr>
          <w:rFonts w:ascii="Calibri" w:hAnsi="Calibri"/>
          <w:color w:val="0B2545"/>
        </w:rPr>
        <w:t>Treat this document as a source pack. The final progress report should be shorter and tailored to its audience and reporting period.</w:t>
      </w:r>
    </w:p>
    <w:p>
      <w:pPr>
        <w:spacing w:before="0" w:after="0" w:line="264" w:lineRule="auto"/>
      </w:pPr>
      <w:r>
        <w:rPr>
          <w:rFonts w:ascii="Calibri" w:hAnsi="Calibri"/>
          <w:i/>
          <w:color w:val="5B6573"/>
        </w:rPr>
        <w:t>End of progress report source pack.</w:t>
      </w:r>
    </w:p>
    <w:p>
      <w:pPr>
        <w:pStyle w:val="Heading1"/>
      </w:pPr>
      <w:r>
        <w:t>September 2026 Simplification Update</w:t>
      </w:r>
    </w:p>
    <w:p>
      <w:r>
        <w:t>The basic product flow now requires patient identity and procedure, assumes the patient can accept any feasible opening, and returns ranked options through a three-stage interface. Custom patient availability remains available as an explicit exception. Legacy API requests with complete date and time fields remain compatible.</w:t>
      </w:r>
    </w:p>
    <w:p>
      <w:r>
        <w:t>Doctor procedure blocks now support exact weekly recurrence. Each occurrence is independently auditable, while creation is atomic across the requested series and rejects qualification, working-hours, leave, closure, horizon, appointment, or block conflicts. Existing confirmed appointments remain fixed.</w:t>
      </w:r>
    </w:p>
    <w:p>
      <w:r>
        <w:t>The simulation basic schema is reduced to request_id, patient_ref, and procedure_code. Defaults fill standard complexity, routine priority, and rolling-year availability; the advanced schema remains accepted. The validation pass recorded 63 backend and contract tests, 15 optimizer tests, successful local offline image construction, and a successful live HTTPS workflow including the new any-opening request and three-column simulation. Production activation still requires target-host browser and accessibility acceptance plus a successful no-egress test after the authoritative firewall policy is applied.</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7"/>
      </w:rPr>
      <w:t xml:space="preserve">Combined progress reference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PROGRESS REPORT SOURCE PACK  |  DENTAL SCHEDULING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FFFFFF88"/>
    <w:multiLevelType w:val="singleLevel"/>
    <w:tmpl w:val="D0A62B40"/>
    <w:lvl w:ilvl="0">
      <w:start w:val="1"/>
      <w:numFmt w:val="decimal"/>
      <w:lvlText w:val="%1."/>
      <w:lvlJc w:val="left"/>
      <w:pPr>
        <w:tabs>
          <w:tab w:val="num" w:pos="360"/>
        </w:tabs>
        <w:ind w:left="360" w:hanging="360"/>
      </w:pPr>
    </w:lvl>
  </w:abstractNum>
  <w:abstractNum w:abstractNumId="10">
    <w:nsid w:val="FFFFFF88"/>
    <w:multiLevelType w:val="singleLevel"/>
    <w:tmpl w:val="D0A62B40"/>
    <w:lvl w:ilvl="0">
      <w:start w:val="1"/>
      <w:numFmt w:val="decimal"/>
      <w:lvlText w:val="%1."/>
      <w:lvlJc w:val="left"/>
      <w:pPr>
        <w:tabs>
          <w:tab w:val="num" w:pos="360"/>
        </w:tabs>
        <w:ind w:left="360" w:hanging="360"/>
      </w:pPr>
    </w:lvl>
  </w:abstractNum>
  <w:abstractNum w:abstractNumId="11">
    <w:nsid w:val="FFFFFF88"/>
    <w:multiLevelType w:val="singleLevel"/>
    <w:tmpl w:val="D0A62B40"/>
    <w:lvl w:ilvl="0">
      <w:start w:val="1"/>
      <w:numFmt w:val="decimal"/>
      <w:lvlText w:val="%1."/>
      <w:lvlJc w:val="left"/>
      <w:pPr>
        <w:tabs>
          <w:tab w:val="num" w:pos="360"/>
        </w:tabs>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On-Premises Dental Scheduler Progress Report Source Pack</dc:title>
  <dc:subject>Combined product, technical, data, validation, success metrics, risks, and reusable progress report template</dc:subject>
  <dc:creator/>
  <cp:keywords>progress report, dental scheduling, on premises, optimization, data, validation, success metrics</cp:keywords>
  <dc:description>Organization-neutral source pack; contains synthetic validation evidence and no patient records.</dc:description>
  <cp:lastModifiedBy/>
  <cp:revision>1</cp:revision>
  <dcterms:created xsi:type="dcterms:W3CDTF">2013-12-23T23:15:00Z</dcterms:created>
  <dcterms:modified xsi:type="dcterms:W3CDTF">2013-12-23T23:15:00Z</dcterms:modified>
  <cp:category/>
</cp:coreProperties>
</file>