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360"/>
        <w:jc w:val="center"/>
      </w:pPr>
      <w:r>
        <w:rPr>
          <w:rFonts w:ascii="Calibri" w:hAnsi="Calibri"/>
          <w:b/>
          <w:color w:val="B9863B"/>
          <w:sz w:val="20"/>
        </w:rPr>
        <w:t>TECHNICAL REFERENCE GUIDE</w:t>
      </w:r>
    </w:p>
    <w:p>
      <w:pPr>
        <w:spacing w:after="160"/>
        <w:jc w:val="center"/>
      </w:pPr>
      <w:r>
        <w:rPr>
          <w:rFonts w:ascii="Calibri" w:hAnsi="Calibri"/>
          <w:b/>
          <w:color w:val="173F3D"/>
          <w:sz w:val="60"/>
        </w:rPr>
        <w:t>Siligent Dental Scheduler</w:t>
      </w:r>
    </w:p>
    <w:p>
      <w:pPr>
        <w:spacing w:after="160"/>
        <w:jc w:val="center"/>
      </w:pPr>
      <w:r>
        <w:rPr>
          <w:rFonts w:ascii="Calibri" w:hAnsi="Calibri"/>
          <w:color w:val="286D65"/>
          <w:sz w:val="30"/>
        </w:rPr>
        <w:t>Model, Data, Optimization, Workflow, Security, Operations, and Measurement Specification</w:t>
      </w:r>
    </w:p>
    <w:p>
      <w:pPr>
        <w:spacing w:after="960"/>
        <w:jc w:val="center"/>
      </w:pPr>
      <w:r>
        <w:rPr>
          <w:rFonts w:ascii="Calibri" w:hAnsi="Calibri"/>
          <w:i/>
          <w:color w:val="667875"/>
          <w:sz w:val="21"/>
        </w:rPr>
        <w:t>Production-candidate implementation | Fully on premises | Offline runtime</w:t>
      </w:r>
    </w:p>
    <w:p>
      <w:pPr>
        <w:spacing w:before="60" w:after="160" w:line="288" w:lineRule="auto"/>
        <w:ind w:left="173" w:right="173"/>
        <w:shd w:fill="F4F7F5"/>
        <w:pBdr>
          <w:left w:val="single" w:sz="18" w:space="6" w:color="286D65"/>
        </w:pBdr>
      </w:pPr>
      <w:r>
        <w:rPr>
          <w:rFonts w:ascii="Calibri" w:hAnsi="Calibri"/>
          <w:b/>
          <w:color w:val="286D65"/>
        </w:rPr>
        <w:t xml:space="preserve">Core design principle: </w:t>
      </w:r>
      <w:r>
        <w:rPr>
          <w:rFonts w:ascii="Calibri" w:hAnsi="Calibri"/>
          <w:color w:val="183331"/>
        </w:rPr>
        <w:t>The local language model structures intake; deterministic code and database constraints decide whether a slot is feasible. The language model never books or moves an appointment.</w:t>
      </w:r>
    </w:p>
    <w:p>
      <w:pPr>
        <w:spacing w:before="960"/>
        <w:jc w:val="center"/>
      </w:pPr>
      <w:r>
        <w:rPr>
          <w:rFonts w:ascii="Calibri" w:hAnsi="Calibri"/>
          <w:b/>
          <w:color w:val="173F3D"/>
          <w:sz w:val="20"/>
        </w:rPr>
        <w:t>Version 1.3  |  26 August 2026  |  America/New_York reference deployment</w:t>
      </w:r>
    </w:p>
    <w:p>
      <w:pPr>
        <w:jc w:val="center"/>
      </w:pPr>
      <w:r>
        <w:rPr>
          <w:rFonts w:ascii="Calibri" w:hAnsi="Calibri"/>
          <w:i/>
          <w:color w:val="667875"/>
          <w:sz w:val="18"/>
        </w:rPr>
        <w:t>Prepared from the implemented repository and verified local runtime</w:t>
      </w:r>
    </w:p>
    <w:p>
      <w:r>
        <w:br w:type="page"/>
      </w:r>
    </w:p>
    <w:p>
      <w:pPr>
        <w:pStyle w:val="Heading1"/>
        <w:keepNext/>
      </w:pPr>
      <w:r>
        <w:rPr>
          <w:rFonts w:ascii="Calibri" w:hAnsi="Calibri"/>
          <w:b/>
          <w:color w:val="286D65"/>
        </w:rPr>
        <w:t>Document Control</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73F3D"/>
            <w:tcMar>
              <w:top w:w="80" w:type="dxa"/>
              <w:start w:w="120" w:type="dxa"/>
              <w:bottom w:w="80" w:type="dxa"/>
              <w:end w:w="120" w:type="dxa"/>
            </w:tcMar>
            <w:vAlign w:val="center"/>
          </w:tcPr>
          <w:p>
            <w:pPr>
              <w:spacing w:after="0"/>
              <w:jc w:val="center"/>
            </w:pPr>
            <w:r>
              <w:rPr>
                <w:rFonts w:ascii="Calibri" w:hAnsi="Calibri"/>
                <w:b/>
                <w:color w:val="FFFFFF"/>
                <w:sz w:val="19"/>
              </w:rPr>
              <w:t>Field</w:t>
            </w:r>
          </w:p>
        </w:tc>
        <w:tc>
          <w:tcPr>
            <w:tcW w:type="dxa" w:w="7060"/>
            <w:shd w:fill="173F3D"/>
            <w:tcMar>
              <w:top w:w="80" w:type="dxa"/>
              <w:start w:w="120" w:type="dxa"/>
              <w:bottom w:w="80" w:type="dxa"/>
              <w:end w:w="120" w:type="dxa"/>
            </w:tcMar>
            <w:vAlign w:val="center"/>
          </w:tcPr>
          <w:p>
            <w:pPr>
              <w:spacing w:after="0"/>
              <w:jc w:val="center"/>
            </w:pPr>
            <w:r>
              <w:rPr>
                <w:rFonts w:ascii="Calibri" w:hAnsi="Calibri"/>
                <w:b/>
                <w:color w:val="FFFFFF"/>
                <w:sz w:val="19"/>
              </w:rPr>
              <w:t>Value</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83331"/>
                <w:sz w:val="19"/>
              </w:rPr>
              <w:t>Document</w:t>
            </w:r>
          </w:p>
        </w:tc>
        <w:tc>
          <w:tcPr>
            <w:tcW w:type="dxa" w:w="7060"/>
            <w:tcMar>
              <w:top w:w="80" w:type="dxa"/>
              <w:start w:w="120" w:type="dxa"/>
              <w:bottom w:w="80" w:type="dxa"/>
              <w:end w:w="120" w:type="dxa"/>
            </w:tcMar>
            <w:vAlign w:val="center"/>
          </w:tcPr>
          <w:p>
            <w:pPr>
              <w:spacing w:after="0" w:line="264" w:lineRule="auto"/>
            </w:pPr>
            <w:r>
              <w:rPr>
                <w:rFonts w:ascii="Calibri" w:hAnsi="Calibri"/>
                <w:color w:val="183331"/>
                <w:sz w:val="19"/>
              </w:rPr>
              <w:t>Siligent Dental Scheduler — System Specification</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83331"/>
                <w:sz w:val="19"/>
              </w:rPr>
              <w:t>Version / date</w:t>
            </w:r>
          </w:p>
        </w:tc>
        <w:tc>
          <w:tcPr>
            <w:tcW w:type="dxa" w:w="7060"/>
            <w:tcMar>
              <w:top w:w="80" w:type="dxa"/>
              <w:start w:w="120" w:type="dxa"/>
              <w:bottom w:w="80" w:type="dxa"/>
              <w:end w:w="120" w:type="dxa"/>
            </w:tcMar>
            <w:vAlign w:val="center"/>
          </w:tcPr>
          <w:p>
            <w:pPr>
              <w:spacing w:after="0" w:line="264" w:lineRule="auto"/>
            </w:pPr>
            <w:r>
              <w:rPr>
                <w:rFonts w:ascii="Calibri" w:hAnsi="Calibri"/>
                <w:color w:val="183331"/>
                <w:sz w:val="19"/>
              </w:rPr>
              <w:t>1.3 / 26 August 2026</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83331"/>
                <w:sz w:val="19"/>
              </w:rPr>
              <w:t>System status</w:t>
            </w:r>
          </w:p>
        </w:tc>
        <w:tc>
          <w:tcPr>
            <w:tcW w:type="dxa" w:w="7060"/>
            <w:tcMar>
              <w:top w:w="80" w:type="dxa"/>
              <w:start w:w="120" w:type="dxa"/>
              <w:bottom w:w="80" w:type="dxa"/>
              <w:end w:w="120" w:type="dxa"/>
            </w:tcMar>
            <w:vAlign w:val="center"/>
          </w:tcPr>
          <w:p>
            <w:pPr>
              <w:spacing w:after="0" w:line="264" w:lineRule="auto"/>
            </w:pPr>
            <w:r>
              <w:rPr>
                <w:rFonts w:ascii="Calibri" w:hAnsi="Calibri"/>
                <w:color w:val="183331"/>
                <w:sz w:val="19"/>
              </w:rPr>
              <w:t>Production candidate; local development stack verified</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83331"/>
                <w:sz w:val="19"/>
              </w:rPr>
              <w:t>Intended readers</w:t>
            </w:r>
          </w:p>
        </w:tc>
        <w:tc>
          <w:tcPr>
            <w:tcW w:type="dxa" w:w="7060"/>
            <w:tcMar>
              <w:top w:w="80" w:type="dxa"/>
              <w:start w:w="120" w:type="dxa"/>
              <w:bottom w:w="80" w:type="dxa"/>
              <w:end w:w="120" w:type="dxa"/>
            </w:tcMar>
            <w:vAlign w:val="center"/>
          </w:tcPr>
          <w:p>
            <w:pPr>
              <w:spacing w:after="0" w:line="264" w:lineRule="auto"/>
            </w:pPr>
            <w:r>
              <w:rPr>
                <w:rFonts w:ascii="Calibri" w:hAnsi="Calibri"/>
                <w:color w:val="183331"/>
                <w:sz w:val="19"/>
              </w:rPr>
              <w:t>Practice leadership, clinicians, schedulers, IT/security, compliance, implementation, and support teams</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83331"/>
                <w:sz w:val="19"/>
              </w:rPr>
              <w:t>Source of truth</w:t>
            </w:r>
          </w:p>
        </w:tc>
        <w:tc>
          <w:tcPr>
            <w:tcW w:type="dxa" w:w="7060"/>
            <w:tcMar>
              <w:top w:w="80" w:type="dxa"/>
              <w:start w:w="120" w:type="dxa"/>
              <w:bottom w:w="80" w:type="dxa"/>
              <w:end w:w="120" w:type="dxa"/>
            </w:tcMar>
            <w:vAlign w:val="center"/>
          </w:tcPr>
          <w:p>
            <w:pPr>
              <w:spacing w:after="0" w:line="264" w:lineRule="auto"/>
            </w:pPr>
            <w:r>
              <w:rPr>
                <w:rFonts w:ascii="Calibri" w:hAnsi="Calibri"/>
                <w:color w:val="183331"/>
                <w:sz w:val="19"/>
              </w:rPr>
              <w:t>Implemented code, SQL migrations 0001–0012, seed policy, architecture notes, and verification report</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83331"/>
                <w:sz w:val="19"/>
              </w:rPr>
              <w:t>Runtime constraint</w:t>
            </w:r>
          </w:p>
        </w:tc>
        <w:tc>
          <w:tcPr>
            <w:tcW w:type="dxa" w:w="7060"/>
            <w:tcMar>
              <w:top w:w="80" w:type="dxa"/>
              <w:start w:w="120" w:type="dxa"/>
              <w:bottom w:w="80" w:type="dxa"/>
              <w:end w:w="120" w:type="dxa"/>
            </w:tcMar>
            <w:vAlign w:val="center"/>
          </w:tcPr>
          <w:p>
            <w:pPr>
              <w:spacing w:after="0" w:line="264" w:lineRule="auto"/>
            </w:pPr>
            <w:r>
              <w:rPr>
                <w:rFonts w:ascii="Calibri" w:hAnsi="Calibri"/>
                <w:color w:val="183331"/>
                <w:sz w:val="19"/>
              </w:rPr>
              <w:t>No internet access is required or permitted for application use</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83331"/>
                <w:sz w:val="19"/>
              </w:rPr>
              <w:t>Important qualification</w:t>
            </w:r>
          </w:p>
        </w:tc>
        <w:tc>
          <w:tcPr>
            <w:tcW w:type="dxa" w:w="7060"/>
            <w:tcMar>
              <w:top w:w="80" w:type="dxa"/>
              <w:start w:w="120" w:type="dxa"/>
              <w:bottom w:w="80" w:type="dxa"/>
              <w:end w:w="120" w:type="dxa"/>
            </w:tcMar>
            <w:vAlign w:val="center"/>
          </w:tcPr>
          <w:p>
            <w:pPr>
              <w:spacing w:after="0" w:line="264" w:lineRule="auto"/>
            </w:pPr>
            <w:r>
              <w:rPr>
                <w:rFonts w:ascii="Calibri" w:hAnsi="Calibri"/>
                <w:color w:val="183331"/>
                <w:sz w:val="19"/>
              </w:rPr>
              <w:t>Software supports HIPAA-oriented safeguards but does not by itself establish HIPAA compliance</w:t>
            </w:r>
          </w:p>
        </w:tc>
      </w:tr>
    </w:tbl>
    <w:p>
      <w:pPr>
        <w:spacing w:after="60"/>
      </w:pPr>
    </w:p>
    <w:p>
      <w:pPr>
        <w:pStyle w:val="Heading2"/>
        <w:keepNext/>
      </w:pPr>
      <w:r>
        <w:rPr>
          <w:rFonts w:ascii="Calibri" w:hAnsi="Calibri"/>
          <w:b/>
          <w:color w:val="286D65"/>
        </w:rPr>
        <w:t>How to Use This Document</w:t>
      </w:r>
    </w:p>
    <w:p>
      <w:pPr>
        <w:keepLines w:val="0"/>
        <w:spacing w:before="0" w:after="120" w:line="300" w:lineRule="auto"/>
      </w:pPr>
      <w:r>
        <w:rPr>
          <w:rFonts w:ascii="Calibri" w:hAnsi="Calibri"/>
          <w:i w:val="0"/>
          <w:color w:val="183331"/>
        </w:rPr>
        <w:t>This guide is both a technical specification and an implementation handoff. Sections 1–7 explain system behavior; Sections 8–13 describe data, APIs, security, deployment, and operations; Sections 14–17 define verification, unresolved practice decisions, and production acceptance.</w:t>
      </w:r>
    </w:p>
    <w:p>
      <w:pPr>
        <w:pStyle w:val="ListBullet"/>
        <w:spacing w:after="80" w:line="300" w:lineRule="auto"/>
        <w:ind w:left="540" w:hanging="271"/>
      </w:pPr>
      <w:r>
        <w:rPr>
          <w:rFonts w:ascii="Calibri" w:hAnsi="Calibri"/>
          <w:color w:val="183331"/>
        </w:rPr>
        <w:t>Practice owners and clinicians should focus on the reference configuration, clinical policy, workflow, and practice-input checklist.</w:t>
      </w:r>
    </w:p>
    <w:p>
      <w:pPr>
        <w:pStyle w:val="ListBullet"/>
        <w:spacing w:after="80" w:line="300" w:lineRule="auto"/>
        <w:ind w:left="540" w:hanging="271"/>
      </w:pPr>
      <w:r>
        <w:rPr>
          <w:rFonts w:ascii="Calibri" w:hAnsi="Calibri"/>
          <w:color w:val="183331"/>
        </w:rPr>
        <w:t>Schedulers should focus on appointment, waitlist, walk-in, and rescheduling workflows.</w:t>
      </w:r>
    </w:p>
    <w:p>
      <w:pPr>
        <w:pStyle w:val="ListBullet"/>
        <w:spacing w:after="80" w:line="300" w:lineRule="auto"/>
        <w:ind w:left="540" w:hanging="271"/>
      </w:pPr>
      <w:r>
        <w:rPr>
          <w:rFonts w:ascii="Calibri" w:hAnsi="Calibri"/>
          <w:color w:val="183331"/>
        </w:rPr>
        <w:t>IT and security teams should focus on the trust boundary, data classification, deployment, backup, identity, logging, and contingency controls.</w:t>
      </w:r>
    </w:p>
    <w:p>
      <w:pPr>
        <w:pStyle w:val="ListBullet"/>
        <w:spacing w:after="80" w:line="300" w:lineRule="auto"/>
        <w:ind w:left="540" w:hanging="271"/>
      </w:pPr>
      <w:r>
        <w:rPr>
          <w:rFonts w:ascii="Calibri" w:hAnsi="Calibri"/>
          <w:color w:val="183331"/>
        </w:rPr>
        <w:t>Developers should treat database guards and the deterministic optimizer as authoritative, not the local language model.</w:t>
      </w:r>
    </w:p>
    <w:p>
      <w:pPr>
        <w:pStyle w:val="Heading2"/>
        <w:keepNext/>
      </w:pPr>
      <w:r>
        <w:rPr>
          <w:rFonts w:ascii="Calibri" w:hAnsi="Calibri"/>
          <w:b/>
          <w:color w:val="286D65"/>
        </w:rPr>
        <w:t>Contents</w:t>
      </w:r>
    </w:p>
    <w:p>
      <w:pPr>
        <w:pStyle w:val="ListBullet"/>
        <w:spacing w:after="80" w:line="300" w:lineRule="auto"/>
        <w:ind w:left="540" w:hanging="271"/>
      </w:pPr>
      <w:r>
        <w:rPr>
          <w:rFonts w:ascii="Calibri" w:hAnsi="Calibri"/>
          <w:color w:val="183331"/>
        </w:rPr>
        <w:t>1. Executive Summary</w:t>
      </w:r>
    </w:p>
    <w:p>
      <w:pPr>
        <w:pStyle w:val="ListBullet"/>
        <w:spacing w:after="80" w:line="300" w:lineRule="auto"/>
        <w:ind w:left="540" w:hanging="271"/>
      </w:pPr>
      <w:r>
        <w:rPr>
          <w:rFonts w:ascii="Calibri" w:hAnsi="Calibri"/>
          <w:color w:val="183331"/>
        </w:rPr>
        <w:t>2. Scope, Boundaries, and Users</w:t>
      </w:r>
    </w:p>
    <w:p>
      <w:pPr>
        <w:pStyle w:val="ListBullet"/>
        <w:spacing w:after="80" w:line="300" w:lineRule="auto"/>
        <w:ind w:left="540" w:hanging="271"/>
      </w:pPr>
      <w:r>
        <w:rPr>
          <w:rFonts w:ascii="Calibri" w:hAnsi="Calibri"/>
          <w:color w:val="183331"/>
        </w:rPr>
        <w:t>3. System Architecture and Decision Ownership</w:t>
      </w:r>
    </w:p>
    <w:p>
      <w:pPr>
        <w:pStyle w:val="ListBullet"/>
        <w:spacing w:after="80" w:line="300" w:lineRule="auto"/>
        <w:ind w:left="540" w:hanging="271"/>
      </w:pPr>
      <w:r>
        <w:rPr>
          <w:rFonts w:ascii="Calibri" w:hAnsi="Calibri"/>
          <w:color w:val="183331"/>
        </w:rPr>
        <w:t>4. Pretrained Local Intake Model</w:t>
      </w:r>
    </w:p>
    <w:p>
      <w:pPr>
        <w:pStyle w:val="ListBullet"/>
        <w:spacing w:after="80" w:line="300" w:lineRule="auto"/>
        <w:ind w:left="540" w:hanging="271"/>
      </w:pPr>
      <w:r>
        <w:rPr>
          <w:rFonts w:ascii="Calibri" w:hAnsi="Calibri"/>
          <w:color w:val="183331"/>
        </w:rPr>
        <w:t>5. Deterministic Scheduling Optimization Model</w:t>
      </w:r>
    </w:p>
    <w:p>
      <w:pPr>
        <w:pStyle w:val="ListBullet"/>
        <w:spacing w:after="80" w:line="300" w:lineRule="auto"/>
        <w:ind w:left="540" w:hanging="271"/>
      </w:pPr>
      <w:r>
        <w:rPr>
          <w:rFonts w:ascii="Calibri" w:hAnsi="Calibri"/>
          <w:color w:val="183331"/>
        </w:rPr>
        <w:t>6. Reference Practice Configuration</w:t>
      </w:r>
    </w:p>
    <w:p>
      <w:pPr>
        <w:pStyle w:val="ListBullet"/>
        <w:spacing w:after="80" w:line="300" w:lineRule="auto"/>
        <w:ind w:left="540" w:hanging="271"/>
      </w:pPr>
      <w:r>
        <w:rPr>
          <w:rFonts w:ascii="Calibri" w:hAnsi="Calibri"/>
          <w:color w:val="183331"/>
        </w:rPr>
        <w:t>7. Data Architecture and Data Dictionary</w:t>
      </w:r>
    </w:p>
    <w:p>
      <w:pPr>
        <w:pStyle w:val="ListBullet"/>
        <w:spacing w:after="80" w:line="300" w:lineRule="auto"/>
        <w:ind w:left="540" w:hanging="271"/>
      </w:pPr>
      <w:r>
        <w:rPr>
          <w:rFonts w:ascii="Calibri" w:hAnsi="Calibri"/>
          <w:color w:val="183331"/>
        </w:rPr>
        <w:t>8. End-to-End Workflows</w:t>
      </w:r>
    </w:p>
    <w:p>
      <w:pPr>
        <w:pStyle w:val="ListBullet"/>
        <w:spacing w:after="80" w:line="300" w:lineRule="auto"/>
        <w:ind w:left="540" w:hanging="271"/>
      </w:pPr>
      <w:r>
        <w:rPr>
          <w:rFonts w:ascii="Calibri" w:hAnsi="Calibri"/>
          <w:color w:val="183331"/>
        </w:rPr>
        <w:t>9. User Interface and Role Model</w:t>
      </w:r>
    </w:p>
    <w:p>
      <w:pPr>
        <w:pStyle w:val="ListBullet"/>
        <w:spacing w:after="80" w:line="300" w:lineRule="auto"/>
        <w:ind w:left="540" w:hanging="271"/>
      </w:pPr>
      <w:r>
        <w:rPr>
          <w:rFonts w:ascii="Calibri" w:hAnsi="Calibri"/>
          <w:color w:val="183331"/>
        </w:rPr>
        <w:t>10. API and Integration Surface</w:t>
      </w:r>
    </w:p>
    <w:p>
      <w:pPr>
        <w:pStyle w:val="ListBullet"/>
        <w:spacing w:after="80" w:line="300" w:lineRule="auto"/>
        <w:ind w:left="540" w:hanging="271"/>
      </w:pPr>
      <w:r>
        <w:rPr>
          <w:rFonts w:ascii="Calibri" w:hAnsi="Calibri"/>
          <w:color w:val="183331"/>
        </w:rPr>
        <w:t>11. Security and HIPAA-Oriented Safeguards</w:t>
      </w:r>
    </w:p>
    <w:p>
      <w:pPr>
        <w:pStyle w:val="ListBullet"/>
        <w:spacing w:after="80" w:line="300" w:lineRule="auto"/>
        <w:ind w:left="540" w:hanging="271"/>
      </w:pPr>
      <w:r>
        <w:rPr>
          <w:rFonts w:ascii="Calibri" w:hAnsi="Calibri"/>
          <w:color w:val="183331"/>
        </w:rPr>
        <w:t>12. Offline Deployment and Operations</w:t>
      </w:r>
    </w:p>
    <w:p>
      <w:pPr>
        <w:pStyle w:val="ListBullet"/>
        <w:spacing w:after="80" w:line="300" w:lineRule="auto"/>
        <w:ind w:left="540" w:hanging="271"/>
      </w:pPr>
      <w:r>
        <w:rPr>
          <w:rFonts w:ascii="Calibri" w:hAnsi="Calibri"/>
          <w:color w:val="183331"/>
        </w:rPr>
        <w:t>13. Failure Modes and Recovery Behavior</w:t>
      </w:r>
    </w:p>
    <w:p>
      <w:pPr>
        <w:pStyle w:val="ListBullet"/>
        <w:spacing w:after="80" w:line="300" w:lineRule="auto"/>
        <w:ind w:left="540" w:hanging="271"/>
      </w:pPr>
      <w:r>
        <w:rPr>
          <w:rFonts w:ascii="Calibri" w:hAnsi="Calibri"/>
          <w:color w:val="183331"/>
        </w:rPr>
        <w:t>14. Verification Evidence</w:t>
      </w:r>
    </w:p>
    <w:p>
      <w:pPr>
        <w:pStyle w:val="ListBullet"/>
        <w:spacing w:after="80" w:line="300" w:lineRule="auto"/>
        <w:ind w:left="540" w:hanging="271"/>
      </w:pPr>
      <w:r>
        <w:rPr>
          <w:rFonts w:ascii="Calibri" w:hAnsi="Calibri"/>
          <w:color w:val="183331"/>
        </w:rPr>
        <w:t>15. Practice Configuration Required Before Go-Live</w:t>
      </w:r>
    </w:p>
    <w:p>
      <w:pPr>
        <w:pStyle w:val="ListBullet"/>
        <w:spacing w:after="80" w:line="300" w:lineRule="auto"/>
        <w:ind w:left="540" w:hanging="271"/>
      </w:pPr>
      <w:r>
        <w:rPr>
          <w:rFonts w:ascii="Calibri" w:hAnsi="Calibri"/>
          <w:color w:val="183331"/>
        </w:rPr>
        <w:t>16. Production Acceptance Plan</w:t>
      </w:r>
    </w:p>
    <w:p>
      <w:pPr>
        <w:pStyle w:val="ListBullet"/>
        <w:spacing w:after="80" w:line="300" w:lineRule="auto"/>
        <w:ind w:left="540" w:hanging="271"/>
      </w:pPr>
      <w:r>
        <w:rPr>
          <w:rFonts w:ascii="Calibri" w:hAnsi="Calibri"/>
          <w:color w:val="183331"/>
        </w:rPr>
        <w:t>17. Appendices and Glossary</w:t>
      </w:r>
    </w:p>
    <w:p>
      <w:r>
        <w:br w:type="page"/>
      </w:r>
    </w:p>
    <w:p>
      <w:pPr>
        <w:pStyle w:val="Heading1"/>
        <w:keepNext/>
      </w:pPr>
      <w:r>
        <w:rPr>
          <w:rFonts w:ascii="Calibri" w:hAnsi="Calibri"/>
          <w:b/>
          <w:color w:val="286D65"/>
        </w:rPr>
        <w:t>1. Executive Summary</w:t>
      </w:r>
    </w:p>
    <w:p>
      <w:pPr>
        <w:keepLines w:val="0"/>
        <w:spacing w:before="0" w:after="120" w:line="300" w:lineRule="auto"/>
      </w:pPr>
      <w:r>
        <w:rPr>
          <w:rFonts w:ascii="Calibri" w:hAnsi="Calibri"/>
          <w:i w:val="0"/>
          <w:color w:val="183331"/>
        </w:rPr>
        <w:t>Siligent Scheduler is an on-premises dental operations application that recommends and confirms appointments across a rolling 365-day horizon. It coordinates dentists, hygienists, assistants, rooms, equipment, patient availability, procedure phases, emergency capacity, production policy, and existing bookings. New patients are evaluated against the current calendar as they arrive; the application does not rebuild or rewrite the whole year.</w:t>
      </w:r>
    </w:p>
    <w:p>
      <w:pPr>
        <w:keepLines w:val="0"/>
        <w:spacing w:before="0" w:after="120" w:line="300" w:lineRule="auto"/>
      </w:pPr>
      <w:r>
        <w:rPr>
          <w:rFonts w:ascii="Calibri" w:hAnsi="Calibri"/>
          <w:i w:val="0"/>
          <w:color w:val="183331"/>
        </w:rPr>
        <w:t>The application separates language understanding from scheduling authority. A locally hosted pretrained model converts patient-condition text into a small approved set of tags and a confidence value. Deterministic policy then assigns priority. A constraint optimizer generates feasible doctor-and-timeslot candidates. PostgreSQL performs the final transactional checks and stores the appointment, exact phase plan, equipment units, status history, and audit evidence.</w:t>
      </w:r>
    </w:p>
    <w:p>
      <w:pPr>
        <w:spacing w:before="60" w:after="160" w:line="288" w:lineRule="auto"/>
        <w:ind w:left="173" w:right="173"/>
        <w:shd w:fill="FFF7E8"/>
        <w:pBdr>
          <w:left w:val="single" w:sz="18" w:space="6" w:color="B9863B"/>
        </w:pBdr>
      </w:pPr>
      <w:r>
        <w:rPr>
          <w:rFonts w:ascii="Calibri" w:hAnsi="Calibri"/>
          <w:b/>
          <w:color w:val="B9863B"/>
        </w:rPr>
        <w:t xml:space="preserve">Non-negotiable locked-visit rule: </w:t>
      </w:r>
      <w:r>
        <w:rPr>
          <w:rFonts w:ascii="Calibri" w:hAnsi="Calibri"/>
          <w:color w:val="183331"/>
        </w:rPr>
        <w:t>A confirmed appointment cannot be moved without a short-lived, single-use permission that exactly matches the old slot and proposed replacement. Appointment, phase, and equipment changes are rejected if the permission is missing, expired, revoked, used, or mismatched.</w:t>
      </w:r>
    </w:p>
    <w:p>
      <w:pPr>
        <w:pStyle w:val="Heading2"/>
        <w:keepNext/>
      </w:pPr>
      <w:r>
        <w:rPr>
          <w:rFonts w:ascii="Calibri" w:hAnsi="Calibri"/>
          <w:b/>
          <w:color w:val="286D65"/>
        </w:rPr>
        <w:t>Delivered Capabilities</w:t>
      </w:r>
    </w:p>
    <w:p>
      <w:pPr>
        <w:pStyle w:val="ListBullet"/>
        <w:spacing w:after="80" w:line="300" w:lineRule="auto"/>
        <w:ind w:left="540" w:hanging="271"/>
      </w:pPr>
      <w:r>
        <w:rPr>
          <w:rFonts w:ascii="Calibri" w:hAnsi="Calibri"/>
          <w:color w:val="183331"/>
        </w:rPr>
        <w:t>Three-dentist, multi-room, phased scheduling with configurable provider rosters and qualifications.</w:t>
      </w:r>
    </w:p>
    <w:p>
      <w:pPr>
        <w:pStyle w:val="ListBullet"/>
        <w:spacing w:after="80" w:line="300" w:lineRule="auto"/>
        <w:ind w:left="540" w:hanging="271"/>
      </w:pPr>
      <w:r>
        <w:rPr>
          <w:rFonts w:ascii="Calibri" w:hAnsi="Calibri"/>
          <w:color w:val="183331"/>
        </w:rPr>
        <w:t>Thirty-minute candidate-start grid with procedure phases that may use finer durations such as 10 minutes.</w:t>
      </w:r>
    </w:p>
    <w:p>
      <w:pPr>
        <w:pStyle w:val="ListBullet"/>
        <w:spacing w:after="80" w:line="300" w:lineRule="auto"/>
        <w:ind w:left="540" w:hanging="271"/>
      </w:pPr>
      <w:r>
        <w:rPr>
          <w:rFonts w:ascii="Calibri" w:hAnsi="Calibri"/>
          <w:color w:val="183331"/>
        </w:rPr>
        <w:t>Doctor, hygienist, assistant, patient, room, and numbered equipment-unit reservation.</w:t>
      </w:r>
    </w:p>
    <w:p>
      <w:pPr>
        <w:pStyle w:val="ListBullet"/>
        <w:spacing w:after="80" w:line="300" w:lineRule="auto"/>
        <w:ind w:left="540" w:hanging="271"/>
      </w:pPr>
      <w:r>
        <w:rPr>
          <w:rFonts w:ascii="Calibri" w:hAnsi="Calibri"/>
          <w:color w:val="183331"/>
        </w:rPr>
        <w:t>Configurable maximum simultaneous supervised visits per dentist, enforced in both optimizer and database.</w:t>
      </w:r>
    </w:p>
    <w:p>
      <w:pPr>
        <w:pStyle w:val="ListBullet"/>
        <w:spacing w:after="80" w:line="300" w:lineRule="auto"/>
        <w:ind w:left="540" w:hanging="271"/>
      </w:pPr>
      <w:r>
        <w:rPr>
          <w:rFonts w:ascii="Calibri" w:hAnsi="Calibri"/>
          <w:color w:val="183331"/>
        </w:rPr>
        <w:t>Daily rota overrides, named coverage, leave, practice closures, emergency protection, and room hours.</w:t>
      </w:r>
    </w:p>
    <w:p>
      <w:pPr>
        <w:pStyle w:val="ListBullet"/>
        <w:spacing w:after="80" w:line="300" w:lineRule="auto"/>
        <w:ind w:left="540" w:hanging="271"/>
      </w:pPr>
      <w:r>
        <w:rPr>
          <w:rFonts w:ascii="Calibri" w:hAnsi="Calibri"/>
          <w:color w:val="183331"/>
        </w:rPr>
        <w:t>Standard and complex procedure policies, production values, preferences, targets, and linked lab returns.</w:t>
      </w:r>
    </w:p>
    <w:p>
      <w:pPr>
        <w:pStyle w:val="ListBullet"/>
        <w:spacing w:after="80" w:line="300" w:lineRule="auto"/>
        <w:ind w:left="540" w:hanging="271"/>
      </w:pPr>
      <w:r>
        <w:rPr>
          <w:rFonts w:ascii="Calibri" w:hAnsi="Calibri"/>
          <w:color w:val="183331"/>
        </w:rPr>
        <w:t>ASAP waitlist, contact attempts, incentives, cancellation/no-show recovery, walk-ins, check-in, and seating.</w:t>
      </w:r>
    </w:p>
    <w:p>
      <w:pPr>
        <w:pStyle w:val="ListBullet"/>
        <w:spacing w:after="80" w:line="300" w:lineRule="auto"/>
        <w:ind w:left="540" w:hanging="271"/>
      </w:pPr>
      <w:r>
        <w:rPr>
          <w:rFonts w:ascii="Calibri" w:hAnsi="Calibri"/>
          <w:color w:val="183331"/>
        </w:rPr>
        <w:t>Out-of-box versioned reference duration defaults plus optional local calibration from completed visits or de-identified imports; recommendations remain staged until approval.</w:t>
      </w:r>
    </w:p>
    <w:p>
      <w:pPr>
        <w:pStyle w:val="ListBullet"/>
        <w:spacing w:after="80" w:line="300" w:lineRule="auto"/>
        <w:ind w:left="540" w:hanging="271"/>
      </w:pPr>
      <w:r>
        <w:rPr>
          <w:rFonts w:ascii="Calibri" w:hAnsi="Calibri"/>
          <w:color w:val="183331"/>
        </w:rPr>
        <w:t>Local descriptive analytics for utilization, attendance, patient wait, booking lead time, production, and provider revenue per booked hour.</w:t>
      </w:r>
    </w:p>
    <w:p>
      <w:pPr>
        <w:pStyle w:val="ListBullet"/>
        <w:spacing w:after="80" w:line="300" w:lineRule="auto"/>
        <w:ind w:left="540" w:hanging="271"/>
      </w:pPr>
      <w:r>
        <w:rPr>
          <w:rFonts w:ascii="Calibri" w:hAnsi="Calibri"/>
          <w:color w:val="183331"/>
        </w:rPr>
        <w:t>Unique local accounts, role checks, secure session cookies, TLS, append-only hash-chained audit records, and offline runtime assets.</w:t>
      </w:r>
    </w:p>
    <w:p>
      <w:pPr>
        <w:pStyle w:val="Heading2"/>
        <w:keepNext/>
      </w:pPr>
      <w:r>
        <w:rPr>
          <w:rFonts w:ascii="Calibri" w:hAnsi="Calibri"/>
          <w:b/>
          <w:color w:val="286D65"/>
        </w:rPr>
        <w:t>Status Interpretation</w:t>
      </w:r>
    </w:p>
    <w:p>
      <w:pPr>
        <w:keepLines w:val="0"/>
        <w:spacing w:before="0" w:after="120" w:line="300" w:lineRule="auto"/>
      </w:pPr>
      <w:r>
        <w:rPr>
          <w:rFonts w:ascii="Calibri" w:hAnsi="Calibri"/>
          <w:i w:val="0"/>
          <w:color w:val="183331"/>
        </w:rPr>
        <w:t>The implementation is a verified production candidate, not a clinically validated final configuration. Reference procedure durations, production values, emergency rules, staff names, and targets are seed assumptions. The practice must approve or replace them before go-live. HIPAA compliance also requires administrative and physical safeguards outside the application.</w:t>
      </w:r>
    </w:p>
    <w:p>
      <w:pPr>
        <w:pStyle w:val="Heading1"/>
        <w:keepNext/>
      </w:pPr>
      <w:r>
        <w:rPr>
          <w:rFonts w:ascii="Calibri" w:hAnsi="Calibri"/>
          <w:b/>
          <w:color w:val="286D65"/>
        </w:rPr>
        <w:t>2. Scope, Boundaries, and Users</w:t>
      </w:r>
    </w:p>
    <w:p>
      <w:pPr>
        <w:pStyle w:val="Heading2"/>
        <w:keepNext/>
      </w:pPr>
      <w:r>
        <w:rPr>
          <w:rFonts w:ascii="Calibri" w:hAnsi="Calibri"/>
          <w:b/>
          <w:color w:val="286D65"/>
        </w:rPr>
        <w:t>2.1 In Scope</w:t>
      </w:r>
    </w:p>
    <w:p>
      <w:pPr>
        <w:pStyle w:val="ListBullet"/>
        <w:spacing w:after="80" w:line="300" w:lineRule="auto"/>
        <w:ind w:left="540" w:hanging="271"/>
      </w:pPr>
      <w:r>
        <w:rPr>
          <w:rFonts w:ascii="Calibri" w:hAnsi="Calibri"/>
          <w:color w:val="183331"/>
        </w:rPr>
        <w:t>Patient identification by display name and medical record number for scheduling operations.</w:t>
      </w:r>
    </w:p>
    <w:p>
      <w:pPr>
        <w:pStyle w:val="ListBullet"/>
        <w:spacing w:after="80" w:line="300" w:lineRule="auto"/>
        <w:ind w:left="540" w:hanging="271"/>
      </w:pPr>
      <w:r>
        <w:rPr>
          <w:rFonts w:ascii="Calibri" w:hAnsi="Calibri"/>
          <w:color w:val="183331"/>
        </w:rPr>
        <w:t>Condition-text normalization, staff review, priority assignment, and appointment recommendations.</w:t>
      </w:r>
    </w:p>
    <w:p>
      <w:pPr>
        <w:pStyle w:val="ListBullet"/>
        <w:spacing w:after="80" w:line="300" w:lineRule="auto"/>
        <w:ind w:left="540" w:hanging="271"/>
      </w:pPr>
      <w:r>
        <w:rPr>
          <w:rFonts w:ascii="Calibri" w:hAnsi="Calibri"/>
          <w:color w:val="183331"/>
        </w:rPr>
        <w:t>A complete rolling-year calendar with incremental insertion of new requests.</w:t>
      </w:r>
    </w:p>
    <w:p>
      <w:pPr>
        <w:pStyle w:val="ListBullet"/>
        <w:spacing w:after="80" w:line="300" w:lineRule="auto"/>
        <w:ind w:left="540" w:hanging="271"/>
      </w:pPr>
      <w:r>
        <w:rPr>
          <w:rFonts w:ascii="Calibri" w:hAnsi="Calibri"/>
          <w:color w:val="183331"/>
        </w:rPr>
        <w:t>Operational management of appointment outcomes, clinical flow, waitlist demand, resources, and policy.</w:t>
      </w:r>
    </w:p>
    <w:p>
      <w:pPr>
        <w:pStyle w:val="ListBullet"/>
        <w:spacing w:after="80" w:line="300" w:lineRule="auto"/>
        <w:ind w:left="540" w:hanging="271"/>
      </w:pPr>
      <w:r>
        <w:rPr>
          <w:rFonts w:ascii="Calibri" w:hAnsi="Calibri"/>
          <w:color w:val="183331"/>
        </w:rPr>
        <w:t>Local access control, audit, analytics, and de-identified duration calibration.</w:t>
      </w:r>
    </w:p>
    <w:p>
      <w:pPr>
        <w:pStyle w:val="Heading2"/>
        <w:keepNext/>
      </w:pPr>
      <w:r>
        <w:rPr>
          <w:rFonts w:ascii="Calibri" w:hAnsi="Calibri"/>
          <w:b/>
          <w:color w:val="286D65"/>
        </w:rPr>
        <w:t>2.2 Explicitly Out of Scope</w:t>
      </w:r>
    </w:p>
    <w:p>
      <w:pPr>
        <w:pStyle w:val="ListBullet"/>
        <w:spacing w:after="80" w:line="300" w:lineRule="auto"/>
        <w:ind w:left="540" w:hanging="271"/>
      </w:pPr>
      <w:r>
        <w:rPr>
          <w:rFonts w:ascii="Calibri" w:hAnsi="Calibri"/>
          <w:color w:val="183331"/>
        </w:rPr>
        <w:t>Clinical diagnosis, treatment recommendation, medical necessity, or autonomous triage.</w:t>
      </w:r>
    </w:p>
    <w:p>
      <w:pPr>
        <w:pStyle w:val="ListBullet"/>
        <w:spacing w:after="80" w:line="300" w:lineRule="auto"/>
        <w:ind w:left="540" w:hanging="271"/>
      </w:pPr>
      <w:r>
        <w:rPr>
          <w:rFonts w:ascii="Calibri" w:hAnsi="Calibri"/>
          <w:color w:val="183331"/>
        </w:rPr>
        <w:t>Replacing dentist, hygienist, or scheduler judgment.</w:t>
      </w:r>
    </w:p>
    <w:p>
      <w:pPr>
        <w:pStyle w:val="ListBullet"/>
        <w:spacing w:after="80" w:line="300" w:lineRule="auto"/>
        <w:ind w:left="540" w:hanging="271"/>
      </w:pPr>
      <w:r>
        <w:rPr>
          <w:rFonts w:ascii="Calibri" w:hAnsi="Calibri"/>
          <w:color w:val="183331"/>
        </w:rPr>
        <w:t>Insurance eligibility, claims, billing, payments, imaging, electronic prescriptions, or a full EHR/PMS.</w:t>
      </w:r>
    </w:p>
    <w:p>
      <w:pPr>
        <w:pStyle w:val="ListBullet"/>
        <w:spacing w:after="80" w:line="300" w:lineRule="auto"/>
        <w:ind w:left="540" w:hanging="271"/>
      </w:pPr>
      <w:r>
        <w:rPr>
          <w:rFonts w:ascii="Calibri" w:hAnsi="Calibri"/>
          <w:color w:val="183331"/>
        </w:rPr>
        <w:t>Cloud model calls, internet-hosted assets, telemetry, or runtime software/model downloads.</w:t>
      </w:r>
    </w:p>
    <w:p>
      <w:pPr>
        <w:pStyle w:val="ListBullet"/>
        <w:spacing w:after="80" w:line="300" w:lineRule="auto"/>
        <w:ind w:left="540" w:hanging="271"/>
      </w:pPr>
      <w:r>
        <w:rPr>
          <w:rFonts w:ascii="Calibri" w:hAnsi="Calibri"/>
          <w:color w:val="183331"/>
        </w:rPr>
        <w:t>Automatic rescheduling of confirmed appointments or automatic application of historical calibration.</w:t>
      </w:r>
    </w:p>
    <w:p>
      <w:pPr>
        <w:pStyle w:val="ListBullet"/>
        <w:spacing w:after="80" w:line="300" w:lineRule="auto"/>
        <w:ind w:left="540" w:hanging="271"/>
      </w:pPr>
      <w:r>
        <w:rPr>
          <w:rFonts w:ascii="Calibri" w:hAnsi="Calibri"/>
          <w:color w:val="183331"/>
        </w:rPr>
        <w:t>Legal certification of HIPAA compliance or completion of the practice's required risk analysis.</w:t>
      </w:r>
    </w:p>
    <w:p>
      <w:pPr>
        <w:pStyle w:val="Heading2"/>
        <w:keepNext/>
      </w:pPr>
      <w:r>
        <w:rPr>
          <w:rFonts w:ascii="Calibri" w:hAnsi="Calibri"/>
          <w:b/>
          <w:color w:val="286D65"/>
        </w:rPr>
        <w:t>2.3 User Roles</w:t>
      </w:r>
    </w:p>
    <w:tbl>
      <w:tblPr>
        <w:tblStyle w:val="TableGrid"/>
        <w:tblW w:type="dxa" w:w="9360"/>
        <w:jc w:val="left"/>
        <w:tblLayout w:type="fixed"/>
        <w:tblLook w:firstColumn="1" w:firstRow="1" w:lastColumn="0" w:lastRow="0" w:noHBand="0" w:noVBand="1" w:val="04A0"/>
        <w:tblInd w:w="120" w:type="dxa"/>
      </w:tblPr>
      <w:tblGrid>
        <w:gridCol w:w="1500"/>
        <w:gridCol w:w="3300"/>
        <w:gridCol w:w="4560"/>
      </w:tblGrid>
      <w:tr>
        <w:trPr>
          <w:tblHeader w:val="true"/>
        </w:trPr>
        <w:tc>
          <w:tcPr>
            <w:tcW w:type="dxa" w:w="1500"/>
            <w:shd w:fill="173F3D"/>
            <w:tcMar>
              <w:top w:w="80" w:type="dxa"/>
              <w:start w:w="120" w:type="dxa"/>
              <w:bottom w:w="80" w:type="dxa"/>
              <w:end w:w="120" w:type="dxa"/>
            </w:tcMar>
            <w:vAlign w:val="center"/>
          </w:tcPr>
          <w:p>
            <w:pPr>
              <w:spacing w:after="0"/>
              <w:jc w:val="center"/>
            </w:pPr>
            <w:r>
              <w:rPr>
                <w:rFonts w:ascii="Calibri" w:hAnsi="Calibri"/>
                <w:b/>
                <w:color w:val="FFFFFF"/>
                <w:sz w:val="19"/>
              </w:rPr>
              <w:t>Role</w:t>
            </w:r>
          </w:p>
        </w:tc>
        <w:tc>
          <w:tcPr>
            <w:tcW w:type="dxa" w:w="3300"/>
            <w:shd w:fill="173F3D"/>
            <w:tcMar>
              <w:top w:w="80" w:type="dxa"/>
              <w:start w:w="120" w:type="dxa"/>
              <w:bottom w:w="80" w:type="dxa"/>
              <w:end w:w="120" w:type="dxa"/>
            </w:tcMar>
            <w:vAlign w:val="center"/>
          </w:tcPr>
          <w:p>
            <w:pPr>
              <w:spacing w:after="0"/>
              <w:jc w:val="left"/>
            </w:pPr>
            <w:r>
              <w:rPr>
                <w:rFonts w:ascii="Calibri" w:hAnsi="Calibri"/>
                <w:b/>
                <w:color w:val="FFFFFF"/>
                <w:sz w:val="19"/>
              </w:rPr>
              <w:t>Primary responsibility</w:t>
            </w:r>
          </w:p>
        </w:tc>
        <w:tc>
          <w:tcPr>
            <w:tcW w:type="dxa" w:w="4560"/>
            <w:shd w:fill="173F3D"/>
            <w:tcMar>
              <w:top w:w="80" w:type="dxa"/>
              <w:start w:w="120" w:type="dxa"/>
              <w:bottom w:w="80" w:type="dxa"/>
              <w:end w:w="120" w:type="dxa"/>
            </w:tcMar>
            <w:vAlign w:val="center"/>
          </w:tcPr>
          <w:p>
            <w:pPr>
              <w:spacing w:after="0"/>
              <w:jc w:val="left"/>
            </w:pPr>
            <w:r>
              <w:rPr>
                <w:rFonts w:ascii="Calibri" w:hAnsi="Calibri"/>
                <w:b/>
                <w:color w:val="FFFFFF"/>
                <w:sz w:val="19"/>
              </w:rPr>
              <w:t>Representative access</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9"/>
              </w:rPr>
              <w:t>Administrator</w:t>
            </w:r>
          </w:p>
        </w:tc>
        <w:tc>
          <w:tcPr>
            <w:tcW w:type="dxa" w:w="3300"/>
            <w:tcMar>
              <w:top w:w="80" w:type="dxa"/>
              <w:start w:w="120" w:type="dxa"/>
              <w:bottom w:w="80" w:type="dxa"/>
              <w:end w:w="120" w:type="dxa"/>
            </w:tcMar>
            <w:vAlign w:val="center"/>
          </w:tcPr>
          <w:p>
            <w:pPr>
              <w:spacing w:after="0" w:line="264" w:lineRule="auto"/>
            </w:pPr>
            <w:r>
              <w:rPr>
                <w:rFonts w:ascii="Calibri" w:hAnsi="Calibri"/>
                <w:color w:val="183331"/>
                <w:sz w:val="19"/>
              </w:rPr>
              <w:t>System and practice configuration</w:t>
            </w:r>
          </w:p>
        </w:tc>
        <w:tc>
          <w:tcPr>
            <w:tcW w:type="dxa" w:w="4560"/>
            <w:tcMar>
              <w:top w:w="80" w:type="dxa"/>
              <w:start w:w="120" w:type="dxa"/>
              <w:bottom w:w="80" w:type="dxa"/>
              <w:end w:w="120" w:type="dxa"/>
            </w:tcMar>
            <w:vAlign w:val="center"/>
          </w:tcPr>
          <w:p>
            <w:pPr>
              <w:spacing w:after="0" w:line="264" w:lineRule="auto"/>
            </w:pPr>
            <w:r>
              <w:rPr>
                <w:rFonts w:ascii="Calibri" w:hAnsi="Calibri"/>
                <w:color w:val="183331"/>
                <w:sz w:val="19"/>
              </w:rPr>
              <w:t>All workflows, users, resources, policy, analytics, audit</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9"/>
              </w:rPr>
              <w:t>Scheduler</w:t>
            </w:r>
          </w:p>
        </w:tc>
        <w:tc>
          <w:tcPr>
            <w:tcW w:type="dxa" w:w="3300"/>
            <w:tcMar>
              <w:top w:w="80" w:type="dxa"/>
              <w:start w:w="120" w:type="dxa"/>
              <w:bottom w:w="80" w:type="dxa"/>
              <w:end w:w="120" w:type="dxa"/>
            </w:tcMar>
            <w:vAlign w:val="center"/>
          </w:tcPr>
          <w:p>
            <w:pPr>
              <w:spacing w:after="0" w:line="264" w:lineRule="auto"/>
            </w:pPr>
            <w:r>
              <w:rPr>
                <w:rFonts w:ascii="Calibri" w:hAnsi="Calibri"/>
                <w:color w:val="183331"/>
                <w:sz w:val="19"/>
              </w:rPr>
              <w:t>Patient scheduling and daily operations</w:t>
            </w:r>
          </w:p>
        </w:tc>
        <w:tc>
          <w:tcPr>
            <w:tcW w:type="dxa" w:w="4560"/>
            <w:tcMar>
              <w:top w:w="80" w:type="dxa"/>
              <w:start w:w="120" w:type="dxa"/>
              <w:bottom w:w="80" w:type="dxa"/>
              <w:end w:w="120" w:type="dxa"/>
            </w:tcMar>
            <w:vAlign w:val="center"/>
          </w:tcPr>
          <w:p>
            <w:pPr>
              <w:spacing w:after="0" w:line="264" w:lineRule="auto"/>
            </w:pPr>
            <w:r>
              <w:rPr>
                <w:rFonts w:ascii="Calibri" w:hAnsi="Calibri"/>
                <w:color w:val="183331"/>
                <w:sz w:val="19"/>
              </w:rPr>
              <w:t>Recommendations, booking, rescheduling, status, waitlist, rota/leave, analytics</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9"/>
              </w:rPr>
              <w:t>Clinician</w:t>
            </w:r>
          </w:p>
        </w:tc>
        <w:tc>
          <w:tcPr>
            <w:tcW w:type="dxa" w:w="3300"/>
            <w:tcMar>
              <w:top w:w="80" w:type="dxa"/>
              <w:start w:w="120" w:type="dxa"/>
              <w:bottom w:w="80" w:type="dxa"/>
              <w:end w:w="120" w:type="dxa"/>
            </w:tcMar>
            <w:vAlign w:val="center"/>
          </w:tcPr>
          <w:p>
            <w:pPr>
              <w:spacing w:after="0" w:line="264" w:lineRule="auto"/>
            </w:pPr>
            <w:r>
              <w:rPr>
                <w:rFonts w:ascii="Calibri" w:hAnsi="Calibri"/>
                <w:color w:val="183331"/>
                <w:sz w:val="19"/>
              </w:rPr>
              <w:t>Clinical review and policy approval</w:t>
            </w:r>
          </w:p>
        </w:tc>
        <w:tc>
          <w:tcPr>
            <w:tcW w:type="dxa" w:w="4560"/>
            <w:tcMar>
              <w:top w:w="80" w:type="dxa"/>
              <w:start w:w="120" w:type="dxa"/>
              <w:bottom w:w="80" w:type="dxa"/>
              <w:end w:w="120" w:type="dxa"/>
            </w:tcMar>
            <w:vAlign w:val="center"/>
          </w:tcPr>
          <w:p>
            <w:pPr>
              <w:spacing w:after="0" w:line="264" w:lineRule="auto"/>
            </w:pPr>
            <w:r>
              <w:rPr>
                <w:rFonts w:ascii="Calibri" w:hAnsi="Calibri"/>
                <w:color w:val="183331"/>
                <w:sz w:val="19"/>
              </w:rPr>
              <w:t>Scheduling, status/flow, procedure policy, preferences, calibration approval</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9"/>
              </w:rPr>
              <w:t>Auditor</w:t>
            </w:r>
          </w:p>
        </w:tc>
        <w:tc>
          <w:tcPr>
            <w:tcW w:type="dxa" w:w="3300"/>
            <w:tcMar>
              <w:top w:w="80" w:type="dxa"/>
              <w:start w:w="120" w:type="dxa"/>
              <w:bottom w:w="80" w:type="dxa"/>
              <w:end w:w="120" w:type="dxa"/>
            </w:tcMar>
            <w:vAlign w:val="center"/>
          </w:tcPr>
          <w:p>
            <w:pPr>
              <w:spacing w:after="0" w:line="264" w:lineRule="auto"/>
            </w:pPr>
            <w:r>
              <w:rPr>
                <w:rFonts w:ascii="Calibri" w:hAnsi="Calibri"/>
                <w:color w:val="183331"/>
                <w:sz w:val="19"/>
              </w:rPr>
              <w:t>Independent evidence review</w:t>
            </w:r>
          </w:p>
        </w:tc>
        <w:tc>
          <w:tcPr>
            <w:tcW w:type="dxa" w:w="4560"/>
            <w:tcMar>
              <w:top w:w="80" w:type="dxa"/>
              <w:start w:w="120" w:type="dxa"/>
              <w:bottom w:w="80" w:type="dxa"/>
              <w:end w:w="120" w:type="dxa"/>
            </w:tcMar>
            <w:vAlign w:val="center"/>
          </w:tcPr>
          <w:p>
            <w:pPr>
              <w:spacing w:after="0" w:line="264" w:lineRule="auto"/>
            </w:pPr>
            <w:r>
              <w:rPr>
                <w:rFonts w:ascii="Calibri" w:hAnsi="Calibri"/>
                <w:color w:val="183331"/>
                <w:sz w:val="19"/>
              </w:rPr>
              <w:t>Authenticated audit view; no scheduling mutation</w:t>
            </w:r>
          </w:p>
        </w:tc>
      </w:tr>
    </w:tbl>
    <w:p>
      <w:pPr>
        <w:spacing w:after="60"/>
      </w:pPr>
    </w:p>
    <w:p>
      <w:pPr>
        <w:keepLines w:val="0"/>
        <w:spacing w:before="0" w:after="120" w:line="300" w:lineRule="auto"/>
      </w:pPr>
      <w:r>
        <w:rPr>
          <w:rFonts w:ascii="Calibri" w:hAnsi="Calibri"/>
          <w:i/>
          <w:color w:val="667875"/>
        </w:rPr>
        <w:t>The UI intentionally exposes Practice Setup only to administrators, even though selected policy APIs also permit clinicians. A production access matrix should be approved and tested against the practice's workforce authorization policy.</w:t>
      </w:r>
    </w:p>
    <w:p>
      <w:pPr>
        <w:pStyle w:val="Heading1"/>
        <w:keepNext/>
      </w:pPr>
      <w:r>
        <w:rPr>
          <w:rFonts w:ascii="Calibri" w:hAnsi="Calibri"/>
          <w:b/>
          <w:color w:val="286D65"/>
        </w:rPr>
        <w:t>3. System Architecture and Decision Ownership</w:t>
      </w:r>
    </w:p>
    <w:p>
      <w:pPr>
        <w:pStyle w:val="Heading2"/>
        <w:keepNext/>
      </w:pPr>
      <w:r>
        <w:rPr>
          <w:rFonts w:ascii="Calibri" w:hAnsi="Calibri"/>
          <w:b/>
          <w:color w:val="286D65"/>
        </w:rPr>
        <w:t>3.1 Trust Boundary</w:t>
      </w:r>
    </w:p>
    <w:tbl>
      <w:tblPr>
        <w:tblStyle w:val="TableGrid"/>
        <w:tblW w:type="dxa" w:w="9360"/>
        <w:jc w:val="left"/>
        <w:tblLayout w:type="fixed"/>
        <w:tblLook w:firstColumn="1" w:firstRow="1" w:lastColumn="0" w:lastRow="0" w:noHBand="0" w:noVBand="1" w:val="04A0"/>
        <w:tblInd w:w="120" w:type="dxa"/>
      </w:tblPr>
      <w:tblGrid>
        <w:gridCol w:w="1700"/>
        <w:gridCol w:w="1900"/>
        <w:gridCol w:w="3500"/>
        <w:gridCol w:w="2260"/>
      </w:tblGrid>
      <w:tr>
        <w:trPr>
          <w:tblHeader w:val="true"/>
        </w:trPr>
        <w:tc>
          <w:tcPr>
            <w:tcW w:type="dxa" w:w="1700"/>
            <w:shd w:fill="173F3D"/>
            <w:tcMar>
              <w:top w:w="80" w:type="dxa"/>
              <w:start w:w="120" w:type="dxa"/>
              <w:bottom w:w="80" w:type="dxa"/>
              <w:end w:w="120" w:type="dxa"/>
            </w:tcMar>
            <w:vAlign w:val="center"/>
          </w:tcPr>
          <w:p>
            <w:pPr>
              <w:spacing w:after="0"/>
              <w:jc w:val="center"/>
            </w:pPr>
            <w:r>
              <w:rPr>
                <w:rFonts w:ascii="Calibri" w:hAnsi="Calibri"/>
                <w:b/>
                <w:color w:val="FFFFFF"/>
                <w:sz w:val="18"/>
              </w:rPr>
              <w:t>Component</w:t>
            </w:r>
          </w:p>
        </w:tc>
        <w:tc>
          <w:tcPr>
            <w:tcW w:type="dxa" w:w="1900"/>
            <w:shd w:fill="173F3D"/>
            <w:tcMar>
              <w:top w:w="80" w:type="dxa"/>
              <w:start w:w="120" w:type="dxa"/>
              <w:bottom w:w="80" w:type="dxa"/>
              <w:end w:w="120" w:type="dxa"/>
            </w:tcMar>
            <w:vAlign w:val="center"/>
          </w:tcPr>
          <w:p>
            <w:pPr>
              <w:spacing w:after="0"/>
              <w:jc w:val="center"/>
            </w:pPr>
            <w:r>
              <w:rPr>
                <w:rFonts w:ascii="Calibri" w:hAnsi="Calibri"/>
                <w:b/>
                <w:color w:val="FFFFFF"/>
                <w:sz w:val="18"/>
              </w:rPr>
              <w:t>Runs where</w:t>
            </w:r>
          </w:p>
        </w:tc>
        <w:tc>
          <w:tcPr>
            <w:tcW w:type="dxa" w:w="3500"/>
            <w:shd w:fill="173F3D"/>
            <w:tcMar>
              <w:top w:w="80" w:type="dxa"/>
              <w:start w:w="120" w:type="dxa"/>
              <w:bottom w:w="80" w:type="dxa"/>
              <w:end w:w="120" w:type="dxa"/>
            </w:tcMar>
            <w:vAlign w:val="center"/>
          </w:tcPr>
          <w:p>
            <w:pPr>
              <w:spacing w:after="0"/>
              <w:jc w:val="center"/>
            </w:pPr>
            <w:r>
              <w:rPr>
                <w:rFonts w:ascii="Calibri" w:hAnsi="Calibri"/>
                <w:b/>
                <w:color w:val="FFFFFF"/>
                <w:sz w:val="18"/>
              </w:rPr>
              <w:t>Responsibility</w:t>
            </w:r>
          </w:p>
        </w:tc>
        <w:tc>
          <w:tcPr>
            <w:tcW w:type="dxa" w:w="2260"/>
            <w:shd w:fill="173F3D"/>
            <w:tcMar>
              <w:top w:w="80" w:type="dxa"/>
              <w:start w:w="120" w:type="dxa"/>
              <w:bottom w:w="80" w:type="dxa"/>
              <w:end w:w="120" w:type="dxa"/>
            </w:tcMar>
            <w:vAlign w:val="center"/>
          </w:tcPr>
          <w:p>
            <w:pPr>
              <w:spacing w:after="0"/>
              <w:jc w:val="left"/>
            </w:pPr>
            <w:r>
              <w:rPr>
                <w:rFonts w:ascii="Calibri" w:hAnsi="Calibri"/>
                <w:b/>
                <w:color w:val="FFFFFF"/>
                <w:sz w:val="18"/>
              </w:rPr>
              <w:t>Internet dependency</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7"/>
              </w:rPr>
              <w:t>Browser UI</w:t>
            </w:r>
          </w:p>
        </w:tc>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Practice workstation</w:t>
            </w:r>
          </w:p>
        </w:tc>
        <w:tc>
          <w:tcPr>
            <w:tcW w:type="dxa" w:w="3500"/>
            <w:tcMar>
              <w:top w:w="80" w:type="dxa"/>
              <w:start w:w="120" w:type="dxa"/>
              <w:bottom w:w="80" w:type="dxa"/>
              <w:end w:w="120" w:type="dxa"/>
            </w:tcMar>
            <w:vAlign w:val="center"/>
          </w:tcPr>
          <w:p>
            <w:pPr>
              <w:spacing w:after="0" w:line="264" w:lineRule="auto"/>
            </w:pPr>
            <w:r>
              <w:rPr>
                <w:rFonts w:ascii="Calibri" w:hAnsi="Calibri"/>
                <w:color w:val="183331"/>
                <w:sz w:val="17"/>
              </w:rPr>
              <w:t>Scheduling, operations, configuration, analytics, audit</w:t>
            </w:r>
          </w:p>
        </w:tc>
        <w:tc>
          <w:tcPr>
            <w:tcW w:type="dxa" w:w="2260"/>
            <w:tcMar>
              <w:top w:w="80" w:type="dxa"/>
              <w:start w:w="120" w:type="dxa"/>
              <w:bottom w:w="80" w:type="dxa"/>
              <w:end w:w="120" w:type="dxa"/>
            </w:tcMar>
            <w:vAlign w:val="center"/>
          </w:tcPr>
          <w:p>
            <w:pPr>
              <w:spacing w:after="0" w:line="264" w:lineRule="auto"/>
            </w:pPr>
            <w:r>
              <w:rPr>
                <w:rFonts w:ascii="Calibri" w:hAnsi="Calibri"/>
                <w:color w:val="183331"/>
                <w:sz w:val="17"/>
              </w:rPr>
              <w:t>None; same-origin static assets</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7"/>
              </w:rPr>
              <w:t>FastAPI service</w:t>
            </w:r>
          </w:p>
        </w:tc>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On-premises application host</w:t>
            </w:r>
          </w:p>
        </w:tc>
        <w:tc>
          <w:tcPr>
            <w:tcW w:type="dxa" w:w="3500"/>
            <w:tcMar>
              <w:top w:w="80" w:type="dxa"/>
              <w:start w:w="120" w:type="dxa"/>
              <w:bottom w:w="80" w:type="dxa"/>
              <w:end w:w="120" w:type="dxa"/>
            </w:tcMar>
            <w:vAlign w:val="center"/>
          </w:tcPr>
          <w:p>
            <w:pPr>
              <w:spacing w:after="0" w:line="264" w:lineRule="auto"/>
            </w:pPr>
            <w:r>
              <w:rPr>
                <w:rFonts w:ascii="Calibri" w:hAnsi="Calibri"/>
                <w:color w:val="183331"/>
                <w:sz w:val="17"/>
              </w:rPr>
              <w:t>Authentication, validation, workflow, optimizer adapter, audit</w:t>
            </w:r>
          </w:p>
        </w:tc>
        <w:tc>
          <w:tcPr>
            <w:tcW w:type="dxa" w:w="2260"/>
            <w:tcMar>
              <w:top w:w="80" w:type="dxa"/>
              <w:start w:w="120" w:type="dxa"/>
              <w:bottom w:w="80" w:type="dxa"/>
              <w:end w:w="120" w:type="dxa"/>
            </w:tcMar>
            <w:vAlign w:val="center"/>
          </w:tcPr>
          <w:p>
            <w:pPr>
              <w:spacing w:after="0" w:line="264" w:lineRule="auto"/>
            </w:pPr>
            <w:r>
              <w:rPr>
                <w:rFonts w:ascii="Calibri" w:hAnsi="Calibri"/>
                <w:color w:val="183331"/>
                <w:sz w:val="17"/>
              </w:rPr>
              <w:t>None</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7"/>
              </w:rPr>
              <w:t>Deterministic optimizer</w:t>
            </w:r>
          </w:p>
        </w:tc>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Embedded in API image</w:t>
            </w:r>
          </w:p>
        </w:tc>
        <w:tc>
          <w:tcPr>
            <w:tcW w:type="dxa" w:w="3500"/>
            <w:tcMar>
              <w:top w:w="80" w:type="dxa"/>
              <w:start w:w="120" w:type="dxa"/>
              <w:bottom w:w="80" w:type="dxa"/>
              <w:end w:w="120" w:type="dxa"/>
            </w:tcMar>
            <w:vAlign w:val="center"/>
          </w:tcPr>
          <w:p>
            <w:pPr>
              <w:spacing w:after="0" w:line="264" w:lineRule="auto"/>
            </w:pPr>
            <w:r>
              <w:rPr>
                <w:rFonts w:ascii="Calibri" w:hAnsi="Calibri"/>
                <w:color w:val="183331"/>
                <w:sz w:val="17"/>
              </w:rPr>
              <w:t>Feasibility and ranking</w:t>
            </w:r>
          </w:p>
        </w:tc>
        <w:tc>
          <w:tcPr>
            <w:tcW w:type="dxa" w:w="2260"/>
            <w:tcMar>
              <w:top w:w="80" w:type="dxa"/>
              <w:start w:w="120" w:type="dxa"/>
              <w:bottom w:w="80" w:type="dxa"/>
              <w:end w:w="120" w:type="dxa"/>
            </w:tcMar>
            <w:vAlign w:val="center"/>
          </w:tcPr>
          <w:p>
            <w:pPr>
              <w:spacing w:after="0" w:line="264" w:lineRule="auto"/>
            </w:pPr>
            <w:r>
              <w:rPr>
                <w:rFonts w:ascii="Calibri" w:hAnsi="Calibri"/>
                <w:color w:val="183331"/>
                <w:sz w:val="17"/>
              </w:rPr>
              <w:t>None</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7"/>
              </w:rPr>
              <w:t>PostgreSQL</w:t>
            </w:r>
          </w:p>
        </w:tc>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Internal container network</w:t>
            </w:r>
          </w:p>
        </w:tc>
        <w:tc>
          <w:tcPr>
            <w:tcW w:type="dxa" w:w="3500"/>
            <w:tcMar>
              <w:top w:w="80" w:type="dxa"/>
              <w:start w:w="120" w:type="dxa"/>
              <w:bottom w:w="80" w:type="dxa"/>
              <w:end w:w="120" w:type="dxa"/>
            </w:tcMar>
            <w:vAlign w:val="center"/>
          </w:tcPr>
          <w:p>
            <w:pPr>
              <w:spacing w:after="0" w:line="264" w:lineRule="auto"/>
            </w:pPr>
            <w:r>
              <w:rPr>
                <w:rFonts w:ascii="Calibri" w:hAnsi="Calibri"/>
                <w:color w:val="183331"/>
                <w:sz w:val="17"/>
              </w:rPr>
              <w:t>System of record and transactional invariants</w:t>
            </w:r>
          </w:p>
        </w:tc>
        <w:tc>
          <w:tcPr>
            <w:tcW w:type="dxa" w:w="2260"/>
            <w:tcMar>
              <w:top w:w="80" w:type="dxa"/>
              <w:start w:w="120" w:type="dxa"/>
              <w:bottom w:w="80" w:type="dxa"/>
              <w:end w:w="120" w:type="dxa"/>
            </w:tcMar>
            <w:vAlign w:val="center"/>
          </w:tcPr>
          <w:p>
            <w:pPr>
              <w:spacing w:after="0" w:line="264" w:lineRule="auto"/>
            </w:pPr>
            <w:r>
              <w:rPr>
                <w:rFonts w:ascii="Calibri" w:hAnsi="Calibri"/>
                <w:color w:val="183331"/>
                <w:sz w:val="17"/>
              </w:rPr>
              <w:t>None</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7"/>
              </w:rPr>
              <w:t>Ollama + Qwen</w:t>
            </w:r>
          </w:p>
        </w:tc>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Same on-premises host</w:t>
            </w:r>
          </w:p>
        </w:tc>
        <w:tc>
          <w:tcPr>
            <w:tcW w:type="dxa" w:w="3500"/>
            <w:tcMar>
              <w:top w:w="80" w:type="dxa"/>
              <w:start w:w="120" w:type="dxa"/>
              <w:bottom w:w="80" w:type="dxa"/>
              <w:end w:w="120" w:type="dxa"/>
            </w:tcMar>
            <w:vAlign w:val="center"/>
          </w:tcPr>
          <w:p>
            <w:pPr>
              <w:spacing w:after="0" w:line="264" w:lineRule="auto"/>
            </w:pPr>
            <w:r>
              <w:rPr>
                <w:rFonts w:ascii="Calibri" w:hAnsi="Calibri"/>
                <w:color w:val="183331"/>
                <w:sz w:val="17"/>
              </w:rPr>
              <w:t>Local intake-tag extraction only</w:t>
            </w:r>
          </w:p>
        </w:tc>
        <w:tc>
          <w:tcPr>
            <w:tcW w:type="dxa" w:w="2260"/>
            <w:tcMar>
              <w:top w:w="80" w:type="dxa"/>
              <w:start w:w="120" w:type="dxa"/>
              <w:bottom w:w="80" w:type="dxa"/>
              <w:end w:w="120" w:type="dxa"/>
            </w:tcMar>
            <w:vAlign w:val="center"/>
          </w:tcPr>
          <w:p>
            <w:pPr>
              <w:spacing w:after="0" w:line="264" w:lineRule="auto"/>
            </w:pPr>
            <w:r>
              <w:rPr>
                <w:rFonts w:ascii="Calibri" w:hAnsi="Calibri"/>
                <w:color w:val="183331"/>
                <w:sz w:val="17"/>
              </w:rPr>
              <w:t>None at runtime; model preloaded</w:t>
            </w:r>
          </w:p>
        </w:tc>
      </w:tr>
    </w:tbl>
    <w:p>
      <w:pPr>
        <w:spacing w:after="60"/>
      </w:pPr>
    </w:p>
    <w:p>
      <w:pPr>
        <w:pStyle w:val="Heading2"/>
        <w:keepNext/>
      </w:pPr>
      <w:r>
        <w:rPr>
          <w:rFonts w:ascii="Calibri" w:hAnsi="Calibri"/>
          <w:b/>
          <w:color w:val="286D65"/>
        </w:rPr>
        <w:t>3.2 Logical Flow</w:t>
      </w:r>
    </w:p>
    <w:p>
      <w:pPr>
        <w:pStyle w:val="Heading3"/>
        <w:keepNext/>
      </w:pPr>
      <w:r>
        <w:rPr>
          <w:rFonts w:ascii="Calibri" w:hAnsi="Calibri"/>
          <w:b/>
          <w:color w:val="173F3D"/>
        </w:rPr>
        <w:t>Decision Pipeline</w:t>
      </w:r>
    </w:p>
    <w:p>
      <w:pPr>
        <w:pStyle w:val="ListNumber"/>
        <w:spacing w:after="80"/>
        <w:ind w:left="540" w:hanging="271"/>
      </w:pPr>
      <w:r>
        <w:t>Capture. Staff enters patient and clinician-approved procedure. The basic flow assumes any opening in the rolling year; condition context, custom availability, preferred dentist, complexity, waitlist consent, and walk-in status are optional or situational.</w:t>
      </w:r>
    </w:p>
    <w:p>
      <w:pPr>
        <w:pStyle w:val="ListNumber"/>
        <w:spacing w:after="80"/>
        <w:ind w:left="540" w:hanging="271"/>
      </w:pPr>
      <w:r>
        <w:rPr>
          <w:rFonts w:ascii="Calibri" w:hAnsi="Calibri"/>
          <w:b/>
          <w:color w:val="173F3D"/>
        </w:rPr>
        <w:t xml:space="preserve">Normalize. </w:t>
      </w:r>
      <w:r>
        <w:rPr>
          <w:rFonts w:ascii="Calibri" w:hAnsi="Calibri"/>
          <w:color w:val="183331"/>
        </w:rPr>
        <w:t>Local rules and Qwen propose approved condition tags; invalid tags are discarded</w:t>
      </w:r>
    </w:p>
    <w:p>
      <w:pPr>
        <w:pStyle w:val="ListNumber"/>
        <w:spacing w:after="80"/>
        <w:ind w:left="540" w:hanging="271"/>
      </w:pPr>
      <w:r>
        <w:rPr>
          <w:rFonts w:ascii="Calibri" w:hAnsi="Calibri"/>
          <w:b/>
          <w:color w:val="173F3D"/>
        </w:rPr>
        <w:t xml:space="preserve">Prioritize. </w:t>
      </w:r>
      <w:r>
        <w:rPr>
          <w:rFonts w:ascii="Calibri" w:hAnsi="Calibri"/>
          <w:color w:val="183331"/>
        </w:rPr>
        <w:t>Deterministic policy maps procedure and tags to routine, priority, urgent, or manual review</w:t>
      </w:r>
    </w:p>
    <w:p>
      <w:pPr>
        <w:pStyle w:val="ListNumber"/>
        <w:spacing w:after="80"/>
        <w:ind w:left="540" w:hanging="271"/>
      </w:pPr>
      <w:r>
        <w:rPr>
          <w:rFonts w:ascii="Calibri" w:hAnsi="Calibri"/>
          <w:b/>
          <w:color w:val="173F3D"/>
        </w:rPr>
        <w:t xml:space="preserve">Optimize. </w:t>
      </w:r>
      <w:r>
        <w:rPr>
          <w:rFonts w:ascii="Calibri" w:hAnsi="Calibri"/>
          <w:color w:val="183331"/>
        </w:rPr>
        <w:t>The engine enumerates grid starts and rejects any candidate violating a hard constraint</w:t>
      </w:r>
    </w:p>
    <w:p>
      <w:pPr>
        <w:pStyle w:val="ListNumber"/>
        <w:spacing w:after="80"/>
        <w:ind w:left="540" w:hanging="271"/>
      </w:pPr>
      <w:r>
        <w:rPr>
          <w:rFonts w:ascii="Calibri" w:hAnsi="Calibri"/>
          <w:b/>
          <w:color w:val="173F3D"/>
        </w:rPr>
        <w:t xml:space="preserve">Rank. </w:t>
      </w:r>
      <w:r>
        <w:rPr>
          <w:rFonts w:ascii="Calibri" w:hAnsi="Calibri"/>
          <w:color w:val="183331"/>
        </w:rPr>
        <w:t>Feasible candidates receive deterministic soft-objective scores; lower is better</w:t>
      </w:r>
    </w:p>
    <w:p>
      <w:pPr>
        <w:pStyle w:val="ListNumber"/>
        <w:spacing w:after="80"/>
        <w:ind w:left="540" w:hanging="271"/>
      </w:pPr>
      <w:r>
        <w:rPr>
          <w:rFonts w:ascii="Calibri" w:hAnsi="Calibri"/>
          <w:b/>
          <w:color w:val="173F3D"/>
        </w:rPr>
        <w:t xml:space="preserve">Review. </w:t>
      </w:r>
      <w:r>
        <w:rPr>
          <w:rFonts w:ascii="Calibri" w:hAnsi="Calibri"/>
          <w:color w:val="183331"/>
        </w:rPr>
        <w:t>Staff reviews normalized intake and selects a recommendation</w:t>
      </w:r>
    </w:p>
    <w:p>
      <w:pPr>
        <w:pStyle w:val="ListNumber"/>
        <w:spacing w:after="80"/>
        <w:ind w:left="540" w:hanging="271"/>
      </w:pPr>
      <w:r>
        <w:rPr>
          <w:rFonts w:ascii="Calibri" w:hAnsi="Calibri"/>
          <w:b/>
          <w:color w:val="173F3D"/>
        </w:rPr>
        <w:t xml:space="preserve">Confirm. </w:t>
      </w:r>
      <w:r>
        <w:rPr>
          <w:rFonts w:ascii="Calibri" w:hAnsi="Calibri"/>
          <w:color w:val="183331"/>
        </w:rPr>
        <w:t>A database transaction rechecks state and materializes appointment, phases, equipment, production credit, status history, and audit</w:t>
      </w:r>
    </w:p>
    <w:p>
      <w:pPr>
        <w:pStyle w:val="Heading2"/>
        <w:keepNext/>
      </w:pPr>
      <w:r>
        <w:rPr>
          <w:rFonts w:ascii="Calibri" w:hAnsi="Calibri"/>
          <w:b/>
          <w:color w:val="286D65"/>
        </w:rPr>
        <w:t>3.3 Authority Hierarchy</w:t>
      </w:r>
    </w:p>
    <w:tbl>
      <w:tblPr>
        <w:tblStyle w:val="TableGrid"/>
        <w:tblW w:type="dxa" w:w="9360"/>
        <w:jc w:val="left"/>
        <w:tblLayout w:type="fixed"/>
        <w:tblLook w:firstColumn="1" w:firstRow="1" w:lastColumn="0" w:lastRow="0" w:noHBand="0" w:noVBand="1" w:val="04A0"/>
        <w:tblInd w:w="120" w:type="dxa"/>
      </w:tblPr>
      <w:tblGrid>
        <w:gridCol w:w="1900"/>
        <w:gridCol w:w="2500"/>
        <w:gridCol w:w="2300"/>
        <w:gridCol w:w="2660"/>
      </w:tblGrid>
      <w:tr>
        <w:trPr>
          <w:tblHeader w:val="true"/>
        </w:trPr>
        <w:tc>
          <w:tcPr>
            <w:tcW w:type="dxa" w:w="1900"/>
            <w:shd w:fill="173F3D"/>
            <w:tcMar>
              <w:top w:w="80" w:type="dxa"/>
              <w:start w:w="120" w:type="dxa"/>
              <w:bottom w:w="80" w:type="dxa"/>
              <w:end w:w="120" w:type="dxa"/>
            </w:tcMar>
            <w:vAlign w:val="center"/>
          </w:tcPr>
          <w:p>
            <w:pPr>
              <w:spacing w:after="0"/>
              <w:jc w:val="center"/>
            </w:pPr>
            <w:r>
              <w:rPr>
                <w:rFonts w:ascii="Calibri" w:hAnsi="Calibri"/>
                <w:b/>
                <w:color w:val="FFFFFF"/>
                <w:sz w:val="18"/>
              </w:rPr>
              <w:t>Layer</w:t>
            </w:r>
          </w:p>
        </w:tc>
        <w:tc>
          <w:tcPr>
            <w:tcW w:type="dxa" w:w="2500"/>
            <w:shd w:fill="173F3D"/>
            <w:tcMar>
              <w:top w:w="80" w:type="dxa"/>
              <w:start w:w="120" w:type="dxa"/>
              <w:bottom w:w="80" w:type="dxa"/>
              <w:end w:w="120" w:type="dxa"/>
            </w:tcMar>
            <w:vAlign w:val="center"/>
          </w:tcPr>
          <w:p>
            <w:pPr>
              <w:spacing w:after="0"/>
              <w:jc w:val="center"/>
            </w:pPr>
            <w:r>
              <w:rPr>
                <w:rFonts w:ascii="Calibri" w:hAnsi="Calibri"/>
                <w:b/>
                <w:color w:val="FFFFFF"/>
                <w:sz w:val="18"/>
              </w:rPr>
              <w:t>May propose</w:t>
            </w:r>
          </w:p>
        </w:tc>
        <w:tc>
          <w:tcPr>
            <w:tcW w:type="dxa" w:w="2300"/>
            <w:shd w:fill="173F3D"/>
            <w:tcMar>
              <w:top w:w="80" w:type="dxa"/>
              <w:start w:w="120" w:type="dxa"/>
              <w:bottom w:w="80" w:type="dxa"/>
              <w:end w:w="120" w:type="dxa"/>
            </w:tcMar>
            <w:vAlign w:val="center"/>
          </w:tcPr>
          <w:p>
            <w:pPr>
              <w:spacing w:after="0"/>
              <w:jc w:val="center"/>
            </w:pPr>
            <w:r>
              <w:rPr>
                <w:rFonts w:ascii="Calibri" w:hAnsi="Calibri"/>
                <w:b/>
                <w:color w:val="FFFFFF"/>
                <w:sz w:val="18"/>
              </w:rPr>
              <w:t>May enforce</w:t>
            </w:r>
          </w:p>
        </w:tc>
        <w:tc>
          <w:tcPr>
            <w:tcW w:type="dxa" w:w="2660"/>
            <w:shd w:fill="173F3D"/>
            <w:tcMar>
              <w:top w:w="80" w:type="dxa"/>
              <w:start w:w="120" w:type="dxa"/>
              <w:bottom w:w="80" w:type="dxa"/>
              <w:end w:w="120" w:type="dxa"/>
            </w:tcMar>
            <w:vAlign w:val="center"/>
          </w:tcPr>
          <w:p>
            <w:pPr>
              <w:spacing w:after="0"/>
              <w:jc w:val="left"/>
            </w:pPr>
            <w:r>
              <w:rPr>
                <w:rFonts w:ascii="Calibri" w:hAnsi="Calibri"/>
                <w:b/>
                <w:color w:val="FFFFFF"/>
                <w:sz w:val="18"/>
              </w:rPr>
              <w:t>May write appointment</w:t>
            </w:r>
          </w:p>
        </w:tc>
      </w:tr>
      <w:tr>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Qwen intake model</w:t>
            </w:r>
          </w:p>
        </w:tc>
        <w:tc>
          <w:tcPr>
            <w:tcW w:type="dxa" w:w="2500"/>
            <w:tcMar>
              <w:top w:w="80" w:type="dxa"/>
              <w:start w:w="120" w:type="dxa"/>
              <w:bottom w:w="80" w:type="dxa"/>
              <w:end w:w="120" w:type="dxa"/>
            </w:tcMar>
            <w:vAlign w:val="center"/>
          </w:tcPr>
          <w:p>
            <w:pPr>
              <w:spacing w:after="0" w:line="264" w:lineRule="auto"/>
            </w:pPr>
            <w:r>
              <w:rPr>
                <w:rFonts w:ascii="Calibri" w:hAnsi="Calibri"/>
                <w:color w:val="183331"/>
                <w:sz w:val="17"/>
              </w:rPr>
              <w:t>Allowed condition tags and confidence</w:t>
            </w:r>
          </w:p>
        </w:tc>
        <w:tc>
          <w:tcPr>
            <w:tcW w:type="dxa" w:w="2300"/>
            <w:tcMar>
              <w:top w:w="80" w:type="dxa"/>
              <w:start w:w="120" w:type="dxa"/>
              <w:bottom w:w="80" w:type="dxa"/>
              <w:end w:w="120" w:type="dxa"/>
            </w:tcMar>
            <w:vAlign w:val="center"/>
          </w:tcPr>
          <w:p>
            <w:pPr>
              <w:spacing w:after="0" w:line="264" w:lineRule="auto"/>
            </w:pPr>
            <w:r>
              <w:rPr>
                <w:rFonts w:ascii="Calibri" w:hAnsi="Calibri"/>
                <w:color w:val="183331"/>
                <w:sz w:val="17"/>
              </w:rPr>
              <w:t>No</w:t>
            </w:r>
          </w:p>
        </w:tc>
        <w:tc>
          <w:tcPr>
            <w:tcW w:type="dxa" w:w="2660"/>
            <w:tcMar>
              <w:top w:w="80" w:type="dxa"/>
              <w:start w:w="120" w:type="dxa"/>
              <w:bottom w:w="80" w:type="dxa"/>
              <w:end w:w="120" w:type="dxa"/>
            </w:tcMar>
            <w:vAlign w:val="center"/>
          </w:tcPr>
          <w:p>
            <w:pPr>
              <w:spacing w:after="0" w:line="264" w:lineRule="auto"/>
            </w:pPr>
            <w:r>
              <w:rPr>
                <w:rFonts w:ascii="Calibri" w:hAnsi="Calibri"/>
                <w:color w:val="183331"/>
                <w:sz w:val="17"/>
              </w:rPr>
              <w:t>No</w:t>
            </w:r>
          </w:p>
        </w:tc>
      </w:tr>
      <w:tr>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Deterministic priority policy</w:t>
            </w:r>
          </w:p>
        </w:tc>
        <w:tc>
          <w:tcPr>
            <w:tcW w:type="dxa" w:w="2500"/>
            <w:tcMar>
              <w:top w:w="80" w:type="dxa"/>
              <w:start w:w="120" w:type="dxa"/>
              <w:bottom w:w="80" w:type="dxa"/>
              <w:end w:w="120" w:type="dxa"/>
            </w:tcMar>
            <w:vAlign w:val="center"/>
          </w:tcPr>
          <w:p>
            <w:pPr>
              <w:spacing w:after="0" w:line="264" w:lineRule="auto"/>
            </w:pPr>
            <w:r>
              <w:rPr>
                <w:rFonts w:ascii="Calibri" w:hAnsi="Calibri"/>
                <w:color w:val="183331"/>
                <w:sz w:val="17"/>
              </w:rPr>
              <w:t>Priority category</w:t>
            </w:r>
          </w:p>
        </w:tc>
        <w:tc>
          <w:tcPr>
            <w:tcW w:type="dxa" w:w="2300"/>
            <w:tcMar>
              <w:top w:w="80" w:type="dxa"/>
              <w:start w:w="120" w:type="dxa"/>
              <w:bottom w:w="80" w:type="dxa"/>
              <w:end w:w="120" w:type="dxa"/>
            </w:tcMar>
            <w:vAlign w:val="center"/>
          </w:tcPr>
          <w:p>
            <w:pPr>
              <w:spacing w:after="0" w:line="264" w:lineRule="auto"/>
            </w:pPr>
            <w:r>
              <w:rPr>
                <w:rFonts w:ascii="Calibri" w:hAnsi="Calibri"/>
                <w:color w:val="183331"/>
                <w:sz w:val="17"/>
              </w:rPr>
              <w:t>Validated category only</w:t>
            </w:r>
          </w:p>
        </w:tc>
        <w:tc>
          <w:tcPr>
            <w:tcW w:type="dxa" w:w="2660"/>
            <w:tcMar>
              <w:top w:w="80" w:type="dxa"/>
              <w:start w:w="120" w:type="dxa"/>
              <w:bottom w:w="80" w:type="dxa"/>
              <w:end w:w="120" w:type="dxa"/>
            </w:tcMar>
            <w:vAlign w:val="center"/>
          </w:tcPr>
          <w:p>
            <w:pPr>
              <w:spacing w:after="0" w:line="264" w:lineRule="auto"/>
            </w:pPr>
            <w:r>
              <w:rPr>
                <w:rFonts w:ascii="Calibri" w:hAnsi="Calibri"/>
                <w:color w:val="183331"/>
                <w:sz w:val="17"/>
              </w:rPr>
              <w:t>No</w:t>
            </w:r>
          </w:p>
        </w:tc>
      </w:tr>
      <w:tr>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Optimizer</w:t>
            </w:r>
          </w:p>
        </w:tc>
        <w:tc>
          <w:tcPr>
            <w:tcW w:type="dxa" w:w="2500"/>
            <w:tcMar>
              <w:top w:w="80" w:type="dxa"/>
              <w:start w:w="120" w:type="dxa"/>
              <w:bottom w:w="80" w:type="dxa"/>
              <w:end w:w="120" w:type="dxa"/>
            </w:tcMar>
            <w:vAlign w:val="center"/>
          </w:tcPr>
          <w:p>
            <w:pPr>
              <w:spacing w:after="0" w:line="264" w:lineRule="auto"/>
            </w:pPr>
            <w:r>
              <w:rPr>
                <w:rFonts w:ascii="Calibri" w:hAnsi="Calibri"/>
                <w:color w:val="183331"/>
                <w:sz w:val="17"/>
              </w:rPr>
              <w:t>Ranked feasible slots</w:t>
            </w:r>
          </w:p>
        </w:tc>
        <w:tc>
          <w:tcPr>
            <w:tcW w:type="dxa" w:w="2300"/>
            <w:tcMar>
              <w:top w:w="80" w:type="dxa"/>
              <w:start w:w="120" w:type="dxa"/>
              <w:bottom w:w="80" w:type="dxa"/>
              <w:end w:w="120" w:type="dxa"/>
            </w:tcMar>
            <w:vAlign w:val="center"/>
          </w:tcPr>
          <w:p>
            <w:pPr>
              <w:spacing w:after="0" w:line="264" w:lineRule="auto"/>
            </w:pPr>
            <w:r>
              <w:rPr>
                <w:rFonts w:ascii="Calibri" w:hAnsi="Calibri"/>
                <w:color w:val="183331"/>
                <w:sz w:val="17"/>
              </w:rPr>
              <w:t>In-memory snapshot constraints</w:t>
            </w:r>
          </w:p>
        </w:tc>
        <w:tc>
          <w:tcPr>
            <w:tcW w:type="dxa" w:w="2660"/>
            <w:tcMar>
              <w:top w:w="80" w:type="dxa"/>
              <w:start w:w="120" w:type="dxa"/>
              <w:bottom w:w="80" w:type="dxa"/>
              <w:end w:w="120" w:type="dxa"/>
            </w:tcMar>
            <w:vAlign w:val="center"/>
          </w:tcPr>
          <w:p>
            <w:pPr>
              <w:spacing w:after="0" w:line="264" w:lineRule="auto"/>
            </w:pPr>
            <w:r>
              <w:rPr>
                <w:rFonts w:ascii="Calibri" w:hAnsi="Calibri"/>
                <w:color w:val="183331"/>
                <w:sz w:val="17"/>
              </w:rPr>
              <w:t>No</w:t>
            </w:r>
          </w:p>
        </w:tc>
      </w:tr>
      <w:tr>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API workflow</w:t>
            </w:r>
          </w:p>
        </w:tc>
        <w:tc>
          <w:tcPr>
            <w:tcW w:type="dxa" w:w="2500"/>
            <w:tcMar>
              <w:top w:w="80" w:type="dxa"/>
              <w:start w:w="120" w:type="dxa"/>
              <w:bottom w:w="80" w:type="dxa"/>
              <w:end w:w="120" w:type="dxa"/>
            </w:tcMar>
            <w:vAlign w:val="center"/>
          </w:tcPr>
          <w:p>
            <w:pPr>
              <w:spacing w:after="0" w:line="264" w:lineRule="auto"/>
            </w:pPr>
            <w:r>
              <w:rPr>
                <w:rFonts w:ascii="Calibri" w:hAnsi="Calibri"/>
                <w:color w:val="183331"/>
                <w:sz w:val="17"/>
              </w:rPr>
              <w:t>Validated transaction</w:t>
            </w:r>
          </w:p>
        </w:tc>
        <w:tc>
          <w:tcPr>
            <w:tcW w:type="dxa" w:w="2300"/>
            <w:tcMar>
              <w:top w:w="80" w:type="dxa"/>
              <w:start w:w="120" w:type="dxa"/>
              <w:bottom w:w="80" w:type="dxa"/>
              <w:end w:w="120" w:type="dxa"/>
            </w:tcMar>
            <w:vAlign w:val="center"/>
          </w:tcPr>
          <w:p>
            <w:pPr>
              <w:spacing w:after="0" w:line="264" w:lineRule="auto"/>
            </w:pPr>
            <w:r>
              <w:rPr>
                <w:rFonts w:ascii="Calibri" w:hAnsi="Calibri"/>
                <w:color w:val="183331"/>
                <w:sz w:val="17"/>
              </w:rPr>
              <w:t>Role, input, and workflow rules</w:t>
            </w:r>
          </w:p>
        </w:tc>
        <w:tc>
          <w:tcPr>
            <w:tcW w:type="dxa" w:w="2660"/>
            <w:tcMar>
              <w:top w:w="80" w:type="dxa"/>
              <w:start w:w="120" w:type="dxa"/>
              <w:bottom w:w="80" w:type="dxa"/>
              <w:end w:w="120" w:type="dxa"/>
            </w:tcMar>
            <w:vAlign w:val="center"/>
          </w:tcPr>
          <w:p>
            <w:pPr>
              <w:spacing w:after="0" w:line="264" w:lineRule="auto"/>
            </w:pPr>
            <w:r>
              <w:rPr>
                <w:rFonts w:ascii="Calibri" w:hAnsi="Calibri"/>
                <w:color w:val="183331"/>
                <w:sz w:val="17"/>
              </w:rPr>
              <w:t>Yes, through database</w:t>
            </w:r>
          </w:p>
        </w:tc>
      </w:tr>
      <w:tr>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PostgreSQL</w:t>
            </w:r>
          </w:p>
        </w:tc>
        <w:tc>
          <w:tcPr>
            <w:tcW w:type="dxa" w:w="2500"/>
            <w:tcMar>
              <w:top w:w="80" w:type="dxa"/>
              <w:start w:w="120" w:type="dxa"/>
              <w:bottom w:w="80" w:type="dxa"/>
              <w:end w:w="120" w:type="dxa"/>
            </w:tcMar>
            <w:vAlign w:val="center"/>
          </w:tcPr>
          <w:p>
            <w:pPr>
              <w:spacing w:after="0" w:line="264" w:lineRule="auto"/>
            </w:pPr>
            <w:r>
              <w:rPr>
                <w:rFonts w:ascii="Calibri" w:hAnsi="Calibri"/>
                <w:color w:val="183331"/>
                <w:sz w:val="17"/>
              </w:rPr>
              <w:t>No recommendation</w:t>
            </w:r>
          </w:p>
        </w:tc>
        <w:tc>
          <w:tcPr>
            <w:tcW w:type="dxa" w:w="2300"/>
            <w:tcMar>
              <w:top w:w="80" w:type="dxa"/>
              <w:start w:w="120" w:type="dxa"/>
              <w:bottom w:w="80" w:type="dxa"/>
              <w:end w:w="120" w:type="dxa"/>
            </w:tcMar>
            <w:vAlign w:val="center"/>
          </w:tcPr>
          <w:p>
            <w:pPr>
              <w:spacing w:after="0" w:line="264" w:lineRule="auto"/>
            </w:pPr>
            <w:r>
              <w:rPr>
                <w:rFonts w:ascii="Calibri" w:hAnsi="Calibri"/>
                <w:color w:val="183331"/>
                <w:sz w:val="17"/>
              </w:rPr>
              <w:t>Final overlap, lock, capacity, and audit invariants</w:t>
            </w:r>
          </w:p>
        </w:tc>
        <w:tc>
          <w:tcPr>
            <w:tcW w:type="dxa" w:w="2660"/>
            <w:tcMar>
              <w:top w:w="80" w:type="dxa"/>
              <w:start w:w="120" w:type="dxa"/>
              <w:bottom w:w="80" w:type="dxa"/>
              <w:end w:w="120" w:type="dxa"/>
            </w:tcMar>
            <w:vAlign w:val="center"/>
          </w:tcPr>
          <w:p>
            <w:pPr>
              <w:spacing w:after="0" w:line="264" w:lineRule="auto"/>
            </w:pPr>
            <w:r>
              <w:rPr>
                <w:rFonts w:ascii="Calibri" w:hAnsi="Calibri"/>
                <w:color w:val="183331"/>
                <w:sz w:val="17"/>
              </w:rPr>
              <w:t>Authoritative commit or reject</w:t>
            </w:r>
          </w:p>
        </w:tc>
      </w:tr>
    </w:tbl>
    <w:p>
      <w:pPr>
        <w:spacing w:after="60"/>
      </w:pPr>
    </w:p>
    <w:p>
      <w:pPr>
        <w:pStyle w:val="Heading1"/>
        <w:keepNext/>
      </w:pPr>
      <w:r>
        <w:rPr>
          <w:rFonts w:ascii="Calibri" w:hAnsi="Calibri"/>
          <w:b/>
          <w:color w:val="286D65"/>
        </w:rPr>
        <w:t>4. Pretrained Local Intake Model</w:t>
      </w:r>
    </w:p>
    <w:p>
      <w:pPr>
        <w:pStyle w:val="Heading2"/>
        <w:keepNext/>
      </w:pPr>
      <w:r>
        <w:rPr>
          <w:rFonts w:ascii="Calibri" w:hAnsi="Calibri"/>
          <w:b/>
          <w:color w:val="286D65"/>
        </w:rPr>
        <w:t>4.1 Model Identity and Hosting</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173F3D"/>
            <w:tcMar>
              <w:top w:w="80" w:type="dxa"/>
              <w:start w:w="120" w:type="dxa"/>
              <w:bottom w:w="80" w:type="dxa"/>
              <w:end w:w="120" w:type="dxa"/>
            </w:tcMar>
            <w:vAlign w:val="center"/>
          </w:tcPr>
          <w:p>
            <w:pPr>
              <w:spacing w:after="0"/>
              <w:jc w:val="center"/>
            </w:pPr>
            <w:r>
              <w:rPr>
                <w:rFonts w:ascii="Calibri" w:hAnsi="Calibri"/>
                <w:b/>
                <w:color w:val="FFFFFF"/>
                <w:sz w:val="19"/>
              </w:rPr>
              <w:t>Property</w:t>
            </w:r>
          </w:p>
        </w:tc>
        <w:tc>
          <w:tcPr>
            <w:tcW w:type="dxa" w:w="6960"/>
            <w:shd w:fill="173F3D"/>
            <w:tcMar>
              <w:top w:w="80" w:type="dxa"/>
              <w:start w:w="120" w:type="dxa"/>
              <w:bottom w:w="80" w:type="dxa"/>
              <w:end w:w="120" w:type="dxa"/>
            </w:tcMar>
            <w:vAlign w:val="center"/>
          </w:tcPr>
          <w:p>
            <w:pPr>
              <w:spacing w:after="0"/>
              <w:jc w:val="left"/>
            </w:pPr>
            <w:r>
              <w:rPr>
                <w:rFonts w:ascii="Calibri" w:hAnsi="Calibri"/>
                <w:b/>
                <w:color w:val="FFFFFF"/>
                <w:sz w:val="19"/>
              </w:rPr>
              <w:t>Implemented value</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Configured model ID</w:t>
            </w:r>
          </w:p>
        </w:tc>
        <w:tc>
          <w:tcPr>
            <w:tcW w:type="dxa" w:w="6960"/>
            <w:tcMar>
              <w:top w:w="80" w:type="dxa"/>
              <w:start w:w="120" w:type="dxa"/>
              <w:bottom w:w="80" w:type="dxa"/>
              <w:end w:w="120" w:type="dxa"/>
            </w:tcMar>
            <w:vAlign w:val="center"/>
          </w:tcPr>
          <w:p>
            <w:pPr>
              <w:spacing w:after="0" w:line="264" w:lineRule="auto"/>
            </w:pPr>
            <w:r>
              <w:rPr>
                <w:rFonts w:ascii="Calibri" w:hAnsi="Calibri"/>
                <w:color w:val="183331"/>
                <w:sz w:val="19"/>
              </w:rPr>
              <w:t>qwen3.5:4b</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Serving runtime</w:t>
            </w:r>
          </w:p>
        </w:tc>
        <w:tc>
          <w:tcPr>
            <w:tcW w:type="dxa" w:w="6960"/>
            <w:tcMar>
              <w:top w:w="80" w:type="dxa"/>
              <w:start w:w="120" w:type="dxa"/>
              <w:bottom w:w="80" w:type="dxa"/>
              <w:end w:w="120" w:type="dxa"/>
            </w:tcMar>
            <w:vAlign w:val="center"/>
          </w:tcPr>
          <w:p>
            <w:pPr>
              <w:spacing w:after="0" w:line="264" w:lineRule="auto"/>
            </w:pPr>
            <w:r>
              <w:rPr>
                <w:rFonts w:ascii="Calibri" w:hAnsi="Calibri"/>
                <w:color w:val="183331"/>
                <w:sz w:val="19"/>
              </w:rPr>
              <w:t>Local Ollama HTTP API</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Default endpoint</w:t>
            </w:r>
          </w:p>
        </w:tc>
        <w:tc>
          <w:tcPr>
            <w:tcW w:type="dxa" w:w="6960"/>
            <w:tcMar>
              <w:top w:w="80" w:type="dxa"/>
              <w:start w:w="120" w:type="dxa"/>
              <w:bottom w:w="80" w:type="dxa"/>
              <w:end w:w="120" w:type="dxa"/>
            </w:tcMar>
            <w:vAlign w:val="center"/>
          </w:tcPr>
          <w:p>
            <w:pPr>
              <w:spacing w:after="0" w:line="264" w:lineRule="auto"/>
            </w:pPr>
            <w:r>
              <w:rPr>
                <w:rFonts w:ascii="Calibri" w:hAnsi="Calibri"/>
                <w:color w:val="183331"/>
                <w:sz w:val="19"/>
              </w:rPr>
              <w:t>http://host.docker.internal:11434/api/generate</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Execution boundary</w:t>
            </w:r>
          </w:p>
        </w:tc>
        <w:tc>
          <w:tcPr>
            <w:tcW w:type="dxa" w:w="6960"/>
            <w:tcMar>
              <w:top w:w="80" w:type="dxa"/>
              <w:start w:w="120" w:type="dxa"/>
              <w:bottom w:w="80" w:type="dxa"/>
              <w:end w:w="120" w:type="dxa"/>
            </w:tcMar>
            <w:vAlign w:val="center"/>
          </w:tcPr>
          <w:p>
            <w:pPr>
              <w:spacing w:after="0" w:line="264" w:lineRule="auto"/>
            </w:pPr>
            <w:r>
              <w:rPr>
                <w:rFonts w:ascii="Calibri" w:hAnsi="Calibri"/>
                <w:color w:val="183331"/>
                <w:sz w:val="19"/>
              </w:rPr>
              <w:t>Same on-premises host; API-to-host local connection</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Runtime downloads</w:t>
            </w:r>
          </w:p>
        </w:tc>
        <w:tc>
          <w:tcPr>
            <w:tcW w:type="dxa" w:w="6960"/>
            <w:tcMar>
              <w:top w:w="80" w:type="dxa"/>
              <w:start w:w="120" w:type="dxa"/>
              <w:bottom w:w="80" w:type="dxa"/>
              <w:end w:w="120" w:type="dxa"/>
            </w:tcMar>
            <w:vAlign w:val="center"/>
          </w:tcPr>
          <w:p>
            <w:pPr>
              <w:spacing w:after="0" w:line="264" w:lineRule="auto"/>
            </w:pPr>
            <w:r>
              <w:rPr>
                <w:rFonts w:ascii="Calibri" w:hAnsi="Calibri"/>
                <w:color w:val="183331"/>
                <w:sz w:val="19"/>
              </w:rPr>
              <w:t>Prohibited; model must already be installed</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Generation settings</w:t>
            </w:r>
          </w:p>
        </w:tc>
        <w:tc>
          <w:tcPr>
            <w:tcW w:type="dxa" w:w="6960"/>
            <w:tcMar>
              <w:top w:w="80" w:type="dxa"/>
              <w:start w:w="120" w:type="dxa"/>
              <w:bottom w:w="80" w:type="dxa"/>
              <w:end w:w="120" w:type="dxa"/>
            </w:tcMar>
            <w:vAlign w:val="center"/>
          </w:tcPr>
          <w:p>
            <w:pPr>
              <w:spacing w:after="0" w:line="264" w:lineRule="auto"/>
            </w:pPr>
            <w:r>
              <w:rPr>
                <w:rFonts w:ascii="Calibri" w:hAnsi="Calibri"/>
                <w:color w:val="183331"/>
                <w:sz w:val="19"/>
              </w:rPr>
              <w:t>JSON format, streaming off, reasoning/thinking off, temperature 0</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Input limit</w:t>
            </w:r>
          </w:p>
        </w:tc>
        <w:tc>
          <w:tcPr>
            <w:tcW w:type="dxa" w:w="6960"/>
            <w:tcMar>
              <w:top w:w="80" w:type="dxa"/>
              <w:start w:w="120" w:type="dxa"/>
              <w:bottom w:w="80" w:type="dxa"/>
              <w:end w:w="120" w:type="dxa"/>
            </w:tcMar>
            <w:vAlign w:val="center"/>
          </w:tcPr>
          <w:p>
            <w:pPr>
              <w:spacing w:after="0" w:line="264" w:lineRule="auto"/>
            </w:pPr>
            <w:r>
              <w:rPr>
                <w:rFonts w:ascii="Calibri" w:hAnsi="Calibri"/>
                <w:color w:val="183331"/>
                <w:sz w:val="19"/>
              </w:rPr>
              <w:t>First 2,000 characters of normalized condition text</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Purpose</w:t>
            </w:r>
          </w:p>
        </w:tc>
        <w:tc>
          <w:tcPr>
            <w:tcW w:type="dxa" w:w="6960"/>
            <w:tcMar>
              <w:top w:w="80" w:type="dxa"/>
              <w:start w:w="120" w:type="dxa"/>
              <w:bottom w:w="80" w:type="dxa"/>
              <w:end w:w="120" w:type="dxa"/>
            </w:tcMar>
            <w:vAlign w:val="center"/>
          </w:tcPr>
          <w:p>
            <w:pPr>
              <w:spacing w:after="0" w:line="264" w:lineRule="auto"/>
            </w:pPr>
            <w:r>
              <w:rPr>
                <w:rFonts w:ascii="Calibri" w:hAnsi="Calibri"/>
                <w:color w:val="183331"/>
                <w:sz w:val="19"/>
              </w:rPr>
              <w:t>Extract approved scheduling-context tags; never diagnose or schedule</w:t>
            </w:r>
          </w:p>
        </w:tc>
      </w:tr>
    </w:tbl>
    <w:p>
      <w:pPr>
        <w:spacing w:after="60"/>
      </w:pPr>
    </w:p>
    <w:p>
      <w:pPr>
        <w:spacing w:before="60" w:after="160" w:line="288" w:lineRule="auto"/>
        <w:ind w:left="173" w:right="173"/>
        <w:shd w:fill="FFF7E8"/>
        <w:pBdr>
          <w:left w:val="single" w:sz="18" w:space="6" w:color="B9863B"/>
        </w:pBdr>
      </w:pPr>
      <w:r>
        <w:rPr>
          <w:rFonts w:ascii="Calibri" w:hAnsi="Calibri"/>
          <w:b/>
          <w:color w:val="B9863B"/>
        </w:rPr>
        <w:t xml:space="preserve">Artifact governance: </w:t>
      </w:r>
      <w:r>
        <w:rPr>
          <w:rFonts w:ascii="Calibri" w:hAnsi="Calibri"/>
          <w:color w:val="183331"/>
        </w:rPr>
        <w:t>The configured model name is not a cryptographic identity. Production release management should record the exact Ollama model artifact, digest, license, provenance, validation result, and approved version before deployment.</w:t>
      </w:r>
    </w:p>
    <w:p>
      <w:pPr>
        <w:pStyle w:val="Heading2"/>
        <w:keepNext/>
      </w:pPr>
      <w:r>
        <w:rPr>
          <w:rFonts w:ascii="Calibri" w:hAnsi="Calibri"/>
          <w:b/>
          <w:color w:val="286D65"/>
        </w:rPr>
        <w:t>4.2 Model Input and Output</w:t>
      </w:r>
    </w:p>
    <w:p>
      <w:pPr>
        <w:keepLines w:val="0"/>
        <w:spacing w:before="0" w:after="120" w:line="300" w:lineRule="auto"/>
      </w:pPr>
      <w:r>
        <w:rPr>
          <w:rFonts w:ascii="Calibri" w:hAnsi="Calibri"/>
          <w:i w:val="0"/>
          <w:color w:val="183331"/>
        </w:rPr>
        <w:t>The prompt instructs the model to return JSON containing tags and confidence, use only the allowlist, and avoid diagnosis or treatment advice. The raw model response is parsed locally. Tags outside the allowlist are discarded; confidence is clamped to 0–1. Model tags are unioned with deterministic keyword-rule tags.</w:t>
      </w:r>
    </w:p>
    <w:tbl>
      <w:tblPr>
        <w:tblStyle w:val="TableGrid"/>
        <w:tblW w:type="dxa" w:w="9360"/>
        <w:jc w:val="left"/>
        <w:tblLayout w:type="fixed"/>
        <w:tblLook w:firstColumn="1" w:firstRow="1" w:lastColumn="0" w:lastRow="0" w:noHBand="0" w:noVBand="1" w:val="04A0"/>
        <w:tblInd w:w="120" w:type="dxa"/>
      </w:tblPr>
      <w:tblGrid>
        <w:gridCol w:w="1700"/>
        <w:gridCol w:w="3300"/>
        <w:gridCol w:w="4360"/>
      </w:tblGrid>
      <w:tr>
        <w:trPr>
          <w:tblHeader w:val="true"/>
        </w:trPr>
        <w:tc>
          <w:tcPr>
            <w:tcW w:type="dxa" w:w="1700"/>
            <w:shd w:fill="173F3D"/>
            <w:tcMar>
              <w:top w:w="80" w:type="dxa"/>
              <w:start w:w="120" w:type="dxa"/>
              <w:bottom w:w="80" w:type="dxa"/>
              <w:end w:w="120" w:type="dxa"/>
            </w:tcMar>
            <w:vAlign w:val="center"/>
          </w:tcPr>
          <w:p>
            <w:pPr>
              <w:spacing w:after="0"/>
              <w:jc w:val="center"/>
            </w:pPr>
            <w:r>
              <w:rPr>
                <w:rFonts w:ascii="Calibri" w:hAnsi="Calibri"/>
                <w:b/>
                <w:color w:val="FFFFFF"/>
                <w:sz w:val="18"/>
              </w:rPr>
              <w:t>Input</w:t>
            </w:r>
          </w:p>
        </w:tc>
        <w:tc>
          <w:tcPr>
            <w:tcW w:type="dxa" w:w="3300"/>
            <w:shd w:fill="173F3D"/>
            <w:tcMar>
              <w:top w:w="80" w:type="dxa"/>
              <w:start w:w="120" w:type="dxa"/>
              <w:bottom w:w="80" w:type="dxa"/>
              <w:end w:w="120" w:type="dxa"/>
            </w:tcMar>
            <w:vAlign w:val="center"/>
          </w:tcPr>
          <w:p>
            <w:pPr>
              <w:spacing w:after="0"/>
              <w:jc w:val="center"/>
            </w:pPr>
            <w:r>
              <w:rPr>
                <w:rFonts w:ascii="Calibri" w:hAnsi="Calibri"/>
                <w:b/>
                <w:color w:val="FFFFFF"/>
                <w:sz w:val="18"/>
              </w:rPr>
              <w:t>Example</w:t>
            </w:r>
          </w:p>
        </w:tc>
        <w:tc>
          <w:tcPr>
            <w:tcW w:type="dxa" w:w="4360"/>
            <w:shd w:fill="173F3D"/>
            <w:tcMar>
              <w:top w:w="80" w:type="dxa"/>
              <w:start w:w="120" w:type="dxa"/>
              <w:bottom w:w="80" w:type="dxa"/>
              <w:end w:w="120" w:type="dxa"/>
            </w:tcMar>
            <w:vAlign w:val="center"/>
          </w:tcPr>
          <w:p>
            <w:pPr>
              <w:spacing w:after="0"/>
              <w:jc w:val="center"/>
            </w:pPr>
            <w:r>
              <w:rPr>
                <w:rFonts w:ascii="Calibri" w:hAnsi="Calibri"/>
                <w:b/>
                <w:color w:val="FFFFFF"/>
                <w:sz w:val="18"/>
              </w:rPr>
              <w:t>Handling</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7"/>
              </w:rPr>
              <w:t>Condition text</w:t>
            </w:r>
          </w:p>
        </w:tc>
        <w:tc>
          <w:tcPr>
            <w:tcW w:type="dxa" w:w="3300"/>
            <w:tcMar>
              <w:top w:w="80" w:type="dxa"/>
              <w:start w:w="120" w:type="dxa"/>
              <w:bottom w:w="80" w:type="dxa"/>
              <w:end w:w="120" w:type="dxa"/>
            </w:tcMar>
            <w:vAlign w:val="center"/>
          </w:tcPr>
          <w:p>
            <w:pPr>
              <w:spacing w:after="0" w:line="264" w:lineRule="auto"/>
            </w:pPr>
            <w:r>
              <w:rPr>
                <w:rFonts w:ascii="Calibri" w:hAnsi="Calibri"/>
                <w:color w:val="183331"/>
                <w:sz w:val="17"/>
              </w:rPr>
              <w:t>Severe pain and swelling since yesterday</w:t>
            </w:r>
          </w:p>
        </w:tc>
        <w:tc>
          <w:tcPr>
            <w:tcW w:type="dxa" w:w="4360"/>
            <w:tcMar>
              <w:top w:w="80" w:type="dxa"/>
              <w:start w:w="120" w:type="dxa"/>
              <w:bottom w:w="80" w:type="dxa"/>
              <w:end w:w="120" w:type="dxa"/>
            </w:tcMar>
            <w:vAlign w:val="center"/>
          </w:tcPr>
          <w:p>
            <w:pPr>
              <w:spacing w:after="0" w:line="264" w:lineRule="auto"/>
            </w:pPr>
            <w:r>
              <w:rPr>
                <w:rFonts w:ascii="Calibri" w:hAnsi="Calibri"/>
                <w:color w:val="183331"/>
                <w:sz w:val="17"/>
              </w:rPr>
              <w:t>Whitespace-normalized; maximum 2,000 characters passed locally</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7"/>
              </w:rPr>
              <w:t>Procedure code</w:t>
            </w:r>
          </w:p>
        </w:tc>
        <w:tc>
          <w:tcPr>
            <w:tcW w:type="dxa" w:w="3300"/>
            <w:tcMar>
              <w:top w:w="80" w:type="dxa"/>
              <w:start w:w="120" w:type="dxa"/>
              <w:bottom w:w="80" w:type="dxa"/>
              <w:end w:w="120" w:type="dxa"/>
            </w:tcMar>
            <w:vAlign w:val="center"/>
          </w:tcPr>
          <w:p>
            <w:pPr>
              <w:spacing w:after="0" w:line="264" w:lineRule="auto"/>
            </w:pPr>
            <w:r>
              <w:rPr>
                <w:rFonts w:ascii="Calibri" w:hAnsi="Calibri"/>
                <w:color w:val="183331"/>
                <w:sz w:val="17"/>
              </w:rPr>
              <w:t>emergency</w:t>
            </w:r>
          </w:p>
        </w:tc>
        <w:tc>
          <w:tcPr>
            <w:tcW w:type="dxa" w:w="4360"/>
            <w:tcMar>
              <w:top w:w="80" w:type="dxa"/>
              <w:start w:w="120" w:type="dxa"/>
              <w:bottom w:w="80" w:type="dxa"/>
              <w:end w:w="120" w:type="dxa"/>
            </w:tcMar>
            <w:vAlign w:val="center"/>
          </w:tcPr>
          <w:p>
            <w:pPr>
              <w:spacing w:after="0" w:line="264" w:lineRule="auto"/>
            </w:pPr>
            <w:r>
              <w:rPr>
                <w:rFonts w:ascii="Calibri" w:hAnsi="Calibri"/>
                <w:color w:val="183331"/>
                <w:sz w:val="17"/>
              </w:rPr>
              <w:t>Used by deterministic priority policy, not sent as a separate model field</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7"/>
              </w:rPr>
              <w:t>Model output</w:t>
            </w:r>
          </w:p>
        </w:tc>
        <w:tc>
          <w:tcPr>
            <w:tcW w:type="dxa" w:w="3300"/>
            <w:tcMar>
              <w:top w:w="80" w:type="dxa"/>
              <w:start w:w="120" w:type="dxa"/>
              <w:bottom w:w="80" w:type="dxa"/>
              <w:end w:w="120" w:type="dxa"/>
            </w:tcMar>
            <w:vAlign w:val="center"/>
          </w:tcPr>
          <w:p>
            <w:pPr>
              <w:spacing w:after="0" w:line="264" w:lineRule="auto"/>
            </w:pPr>
            <w:r>
              <w:rPr>
                <w:rFonts w:ascii="Calibri" w:hAnsi="Calibri"/>
                <w:color w:val="183331"/>
                <w:sz w:val="17"/>
              </w:rPr>
              <w:t>{"tags":["pain","swelling"],"confidence":0.91}</w:t>
            </w:r>
          </w:p>
        </w:tc>
        <w:tc>
          <w:tcPr>
            <w:tcW w:type="dxa" w:w="4360"/>
            <w:tcMar>
              <w:top w:w="80" w:type="dxa"/>
              <w:start w:w="120" w:type="dxa"/>
              <w:bottom w:w="80" w:type="dxa"/>
              <w:end w:w="120" w:type="dxa"/>
            </w:tcMar>
            <w:vAlign w:val="center"/>
          </w:tcPr>
          <w:p>
            <w:pPr>
              <w:spacing w:after="0" w:line="264" w:lineRule="auto"/>
            </w:pPr>
            <w:r>
              <w:rPr>
                <w:rFonts w:ascii="Calibri" w:hAnsi="Calibri"/>
                <w:color w:val="183331"/>
                <w:sz w:val="17"/>
              </w:rPr>
              <w:t>JSON parsed; allowlist and numeric bounds enforced</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7"/>
              </w:rPr>
              <w:t>Stored result</w:t>
            </w:r>
          </w:p>
        </w:tc>
        <w:tc>
          <w:tcPr>
            <w:tcW w:type="dxa" w:w="3300"/>
            <w:tcMar>
              <w:top w:w="80" w:type="dxa"/>
              <w:start w:w="120" w:type="dxa"/>
              <w:bottom w:w="80" w:type="dxa"/>
              <w:end w:w="120" w:type="dxa"/>
            </w:tcMar>
            <w:vAlign w:val="center"/>
          </w:tcPr>
          <w:p>
            <w:pPr>
              <w:spacing w:after="0" w:line="264" w:lineRule="auto"/>
            </w:pPr>
            <w:r>
              <w:rPr>
                <w:rFonts w:ascii="Calibri" w:hAnsi="Calibri"/>
                <w:color w:val="183331"/>
                <w:sz w:val="17"/>
              </w:rPr>
              <w:t>tags, source, confidence, priority</w:t>
            </w:r>
          </w:p>
        </w:tc>
        <w:tc>
          <w:tcPr>
            <w:tcW w:type="dxa" w:w="4360"/>
            <w:tcMar>
              <w:top w:w="80" w:type="dxa"/>
              <w:start w:w="120" w:type="dxa"/>
              <w:bottom w:w="80" w:type="dxa"/>
              <w:end w:w="120" w:type="dxa"/>
            </w:tcMar>
            <w:vAlign w:val="center"/>
          </w:tcPr>
          <w:p>
            <w:pPr>
              <w:spacing w:after="0" w:line="264" w:lineRule="auto"/>
            </w:pPr>
            <w:r>
              <w:rPr>
                <w:rFonts w:ascii="Calibri" w:hAnsi="Calibri"/>
                <w:color w:val="183331"/>
                <w:sz w:val="17"/>
              </w:rPr>
              <w:t>Stored with scheduling request; staff confirmation recorded</w:t>
            </w:r>
          </w:p>
        </w:tc>
      </w:tr>
    </w:tbl>
    <w:p>
      <w:pPr>
        <w:spacing w:after="60"/>
      </w:pPr>
    </w:p>
    <w:p>
      <w:pPr>
        <w:pStyle w:val="Heading2"/>
        <w:keepNext/>
      </w:pPr>
      <w:r>
        <w:rPr>
          <w:rFonts w:ascii="Calibri" w:hAnsi="Calibri"/>
          <w:b/>
          <w:color w:val="286D65"/>
        </w:rPr>
        <w:t>4.3 Approved Tag Vocabulary</w:t>
      </w:r>
    </w:p>
    <w:p>
      <w:pPr>
        <w:pStyle w:val="ListBullet"/>
        <w:spacing w:after="80" w:line="300" w:lineRule="auto"/>
        <w:ind w:left="540" w:hanging="271"/>
      </w:pPr>
      <w:r>
        <w:rPr>
          <w:rFonts w:ascii="Calibri" w:hAnsi="Calibri"/>
          <w:color w:val="183331"/>
        </w:rPr>
        <w:t>bleeding</w:t>
      </w:r>
    </w:p>
    <w:p>
      <w:pPr>
        <w:pStyle w:val="ListBullet"/>
        <w:spacing w:after="80" w:line="300" w:lineRule="auto"/>
        <w:ind w:left="540" w:hanging="271"/>
      </w:pPr>
      <w:r>
        <w:rPr>
          <w:rFonts w:ascii="Calibri" w:hAnsi="Calibri"/>
          <w:color w:val="183331"/>
        </w:rPr>
        <w:t>broken_tooth</w:t>
      </w:r>
    </w:p>
    <w:p>
      <w:pPr>
        <w:pStyle w:val="ListBullet"/>
        <w:spacing w:after="80" w:line="300" w:lineRule="auto"/>
        <w:ind w:left="540" w:hanging="271"/>
      </w:pPr>
      <w:r>
        <w:rPr>
          <w:rFonts w:ascii="Calibri" w:hAnsi="Calibri"/>
          <w:color w:val="183331"/>
        </w:rPr>
        <w:t>cold_sensitivity</w:t>
      </w:r>
    </w:p>
    <w:p>
      <w:pPr>
        <w:pStyle w:val="ListBullet"/>
        <w:spacing w:after="80" w:line="300" w:lineRule="auto"/>
        <w:ind w:left="540" w:hanging="271"/>
      </w:pPr>
      <w:r>
        <w:rPr>
          <w:rFonts w:ascii="Calibri" w:hAnsi="Calibri"/>
          <w:color w:val="183331"/>
        </w:rPr>
        <w:t>hot_sensitivity</w:t>
      </w:r>
    </w:p>
    <w:p>
      <w:pPr>
        <w:pStyle w:val="ListBullet"/>
        <w:spacing w:after="80" w:line="300" w:lineRule="auto"/>
        <w:ind w:left="540" w:hanging="271"/>
      </w:pPr>
      <w:r>
        <w:rPr>
          <w:rFonts w:ascii="Calibri" w:hAnsi="Calibri"/>
          <w:color w:val="183331"/>
        </w:rPr>
        <w:t>infection_concern</w:t>
      </w:r>
    </w:p>
    <w:p>
      <w:pPr>
        <w:pStyle w:val="ListBullet"/>
        <w:spacing w:after="80" w:line="300" w:lineRule="auto"/>
        <w:ind w:left="540" w:hanging="271"/>
      </w:pPr>
      <w:r>
        <w:rPr>
          <w:rFonts w:ascii="Calibri" w:hAnsi="Calibri"/>
          <w:color w:val="183331"/>
        </w:rPr>
        <w:t>lost_restoration</w:t>
      </w:r>
    </w:p>
    <w:p>
      <w:pPr>
        <w:pStyle w:val="ListBullet"/>
        <w:spacing w:after="80" w:line="300" w:lineRule="auto"/>
        <w:ind w:left="540" w:hanging="271"/>
      </w:pPr>
      <w:r>
        <w:rPr>
          <w:rFonts w:ascii="Calibri" w:hAnsi="Calibri"/>
          <w:color w:val="183331"/>
        </w:rPr>
        <w:t>pain</w:t>
      </w:r>
    </w:p>
    <w:p>
      <w:pPr>
        <w:pStyle w:val="ListBullet"/>
        <w:spacing w:after="80" w:line="300" w:lineRule="auto"/>
        <w:ind w:left="540" w:hanging="271"/>
      </w:pPr>
      <w:r>
        <w:rPr>
          <w:rFonts w:ascii="Calibri" w:hAnsi="Calibri"/>
          <w:color w:val="183331"/>
        </w:rPr>
        <w:t>routine_care</w:t>
      </w:r>
    </w:p>
    <w:p>
      <w:pPr>
        <w:pStyle w:val="ListBullet"/>
        <w:spacing w:after="80" w:line="300" w:lineRule="auto"/>
        <w:ind w:left="540" w:hanging="271"/>
      </w:pPr>
      <w:r>
        <w:rPr>
          <w:rFonts w:ascii="Calibri" w:hAnsi="Calibri"/>
          <w:color w:val="183331"/>
        </w:rPr>
        <w:t>swelling</w:t>
      </w:r>
    </w:p>
    <w:p>
      <w:pPr>
        <w:pStyle w:val="ListBullet"/>
        <w:spacing w:after="80" w:line="300" w:lineRule="auto"/>
        <w:ind w:left="540" w:hanging="271"/>
      </w:pPr>
      <w:r>
        <w:rPr>
          <w:rFonts w:ascii="Calibri" w:hAnsi="Calibri"/>
          <w:color w:val="183331"/>
        </w:rPr>
        <w:t>trauma</w:t>
      </w:r>
    </w:p>
    <w:p>
      <w:pPr>
        <w:pStyle w:val="Heading2"/>
        <w:keepNext/>
      </w:pPr>
      <w:r>
        <w:rPr>
          <w:rFonts w:ascii="Calibri" w:hAnsi="Calibri"/>
          <w:b/>
          <w:color w:val="286D65"/>
        </w:rPr>
        <w:t>4.4 Deterministic Priority Policy</w:t>
      </w:r>
    </w:p>
    <w:tbl>
      <w:tblPr>
        <w:tblStyle w:val="TableGrid"/>
        <w:tblW w:type="dxa" w:w="9360"/>
        <w:jc w:val="left"/>
        <w:tblLayout w:type="fixed"/>
        <w:tblLook w:firstColumn="1" w:firstRow="1" w:lastColumn="0" w:lastRow="0" w:noHBand="0" w:noVBand="1" w:val="04A0"/>
        <w:tblInd w:w="120" w:type="dxa"/>
      </w:tblPr>
      <w:tblGrid>
        <w:gridCol w:w="7200"/>
        <w:gridCol w:w="2160"/>
      </w:tblGrid>
      <w:tr>
        <w:trPr>
          <w:tblHeader w:val="true"/>
        </w:trPr>
        <w:tc>
          <w:tcPr>
            <w:tcW w:type="dxa" w:w="7200"/>
            <w:shd w:fill="173F3D"/>
            <w:tcMar>
              <w:top w:w="80" w:type="dxa"/>
              <w:start w:w="120" w:type="dxa"/>
              <w:bottom w:w="80" w:type="dxa"/>
              <w:end w:w="120" w:type="dxa"/>
            </w:tcMar>
            <w:vAlign w:val="center"/>
          </w:tcPr>
          <w:p>
            <w:pPr>
              <w:spacing w:after="0"/>
              <w:jc w:val="center"/>
            </w:pPr>
            <w:r>
              <w:rPr>
                <w:rFonts w:ascii="Calibri" w:hAnsi="Calibri"/>
                <w:b/>
                <w:color w:val="FFFFFF"/>
                <w:sz w:val="19"/>
              </w:rPr>
              <w:t>Condition</w:t>
            </w:r>
          </w:p>
        </w:tc>
        <w:tc>
          <w:tcPr>
            <w:tcW w:type="dxa" w:w="2160"/>
            <w:shd w:fill="173F3D"/>
            <w:tcMar>
              <w:top w:w="80" w:type="dxa"/>
              <w:start w:w="120" w:type="dxa"/>
              <w:bottom w:w="80" w:type="dxa"/>
              <w:end w:w="120" w:type="dxa"/>
            </w:tcMar>
            <w:vAlign w:val="center"/>
          </w:tcPr>
          <w:p>
            <w:pPr>
              <w:spacing w:after="0"/>
              <w:jc w:val="center"/>
            </w:pPr>
            <w:r>
              <w:rPr>
                <w:rFonts w:ascii="Calibri" w:hAnsi="Calibri"/>
                <w:b/>
                <w:color w:val="FFFFFF"/>
                <w:sz w:val="19"/>
              </w:rPr>
              <w:t>Priority</w:t>
            </w:r>
          </w:p>
        </w:tc>
      </w:tr>
      <w:tr>
        <w:tc>
          <w:tcPr>
            <w:tcW w:type="dxa" w:w="7200"/>
            <w:tcMar>
              <w:top w:w="80" w:type="dxa"/>
              <w:start w:w="120" w:type="dxa"/>
              <w:bottom w:w="80" w:type="dxa"/>
              <w:end w:w="120" w:type="dxa"/>
            </w:tcMar>
            <w:vAlign w:val="center"/>
          </w:tcPr>
          <w:p>
            <w:pPr>
              <w:spacing w:after="0" w:line="264" w:lineRule="auto"/>
            </w:pPr>
            <w:r>
              <w:rPr>
                <w:rFonts w:ascii="Calibri" w:hAnsi="Calibri"/>
                <w:color w:val="183331"/>
                <w:sz w:val="19"/>
              </w:rPr>
              <w:t>Procedure is emergency, or tags include trauma, swelling, or infection concern</w:t>
            </w:r>
          </w:p>
        </w:tc>
        <w:tc>
          <w:tcPr>
            <w:tcW w:type="dxa" w:w="2160"/>
            <w:tcMar>
              <w:top w:w="80" w:type="dxa"/>
              <w:start w:w="120" w:type="dxa"/>
              <w:bottom w:w="80" w:type="dxa"/>
              <w:end w:w="120" w:type="dxa"/>
            </w:tcMar>
            <w:vAlign w:val="center"/>
          </w:tcPr>
          <w:p>
            <w:pPr>
              <w:spacing w:after="0" w:line="264" w:lineRule="auto"/>
            </w:pPr>
            <w:r>
              <w:rPr>
                <w:rFonts w:ascii="Calibri" w:hAnsi="Calibri"/>
                <w:color w:val="183331"/>
                <w:sz w:val="19"/>
              </w:rPr>
              <w:t>Urgent</w:t>
            </w:r>
          </w:p>
        </w:tc>
      </w:tr>
      <w:tr>
        <w:tc>
          <w:tcPr>
            <w:tcW w:type="dxa" w:w="7200"/>
            <w:tcMar>
              <w:top w:w="80" w:type="dxa"/>
              <w:start w:w="120" w:type="dxa"/>
              <w:bottom w:w="80" w:type="dxa"/>
              <w:end w:w="120" w:type="dxa"/>
            </w:tcMar>
            <w:vAlign w:val="center"/>
          </w:tcPr>
          <w:p>
            <w:pPr>
              <w:spacing w:after="0" w:line="264" w:lineRule="auto"/>
            </w:pPr>
            <w:r>
              <w:rPr>
                <w:rFonts w:ascii="Calibri" w:hAnsi="Calibri"/>
                <w:color w:val="183331"/>
                <w:sz w:val="19"/>
              </w:rPr>
              <w:t>Text includes severe and tag includes pain</w:t>
            </w:r>
          </w:p>
        </w:tc>
        <w:tc>
          <w:tcPr>
            <w:tcW w:type="dxa" w:w="2160"/>
            <w:tcMar>
              <w:top w:w="80" w:type="dxa"/>
              <w:start w:w="120" w:type="dxa"/>
              <w:bottom w:w="80" w:type="dxa"/>
              <w:end w:w="120" w:type="dxa"/>
            </w:tcMar>
            <w:vAlign w:val="center"/>
          </w:tcPr>
          <w:p>
            <w:pPr>
              <w:spacing w:after="0" w:line="264" w:lineRule="auto"/>
            </w:pPr>
            <w:r>
              <w:rPr>
                <w:rFonts w:ascii="Calibri" w:hAnsi="Calibri"/>
                <w:color w:val="183331"/>
                <w:sz w:val="19"/>
              </w:rPr>
              <w:t>Urgent</w:t>
            </w:r>
          </w:p>
        </w:tc>
      </w:tr>
      <w:tr>
        <w:tc>
          <w:tcPr>
            <w:tcW w:type="dxa" w:w="7200"/>
            <w:tcMar>
              <w:top w:w="80" w:type="dxa"/>
              <w:start w:w="120" w:type="dxa"/>
              <w:bottom w:w="80" w:type="dxa"/>
              <w:end w:w="120" w:type="dxa"/>
            </w:tcMar>
            <w:vAlign w:val="center"/>
          </w:tcPr>
          <w:p>
            <w:pPr>
              <w:spacing w:after="0" w:line="264" w:lineRule="auto"/>
            </w:pPr>
            <w:r>
              <w:rPr>
                <w:rFonts w:ascii="Calibri" w:hAnsi="Calibri"/>
                <w:color w:val="183331"/>
                <w:sz w:val="19"/>
              </w:rPr>
              <w:t>Tags include pain, bleeding, broken tooth, or lost restoration</w:t>
            </w:r>
          </w:p>
        </w:tc>
        <w:tc>
          <w:tcPr>
            <w:tcW w:type="dxa" w:w="2160"/>
            <w:tcMar>
              <w:top w:w="80" w:type="dxa"/>
              <w:start w:w="120" w:type="dxa"/>
              <w:bottom w:w="80" w:type="dxa"/>
              <w:end w:w="120" w:type="dxa"/>
            </w:tcMar>
            <w:vAlign w:val="center"/>
          </w:tcPr>
          <w:p>
            <w:pPr>
              <w:spacing w:after="0" w:line="264" w:lineRule="auto"/>
            </w:pPr>
            <w:r>
              <w:rPr>
                <w:rFonts w:ascii="Calibri" w:hAnsi="Calibri"/>
                <w:color w:val="183331"/>
                <w:sz w:val="19"/>
              </w:rPr>
              <w:t>Priority</w:t>
            </w:r>
          </w:p>
        </w:tc>
      </w:tr>
      <w:tr>
        <w:tc>
          <w:tcPr>
            <w:tcW w:type="dxa" w:w="7200"/>
            <w:tcMar>
              <w:top w:w="80" w:type="dxa"/>
              <w:start w:w="120" w:type="dxa"/>
              <w:bottom w:w="80" w:type="dxa"/>
              <w:end w:w="120" w:type="dxa"/>
            </w:tcMar>
            <w:vAlign w:val="center"/>
          </w:tcPr>
          <w:p>
            <w:pPr>
              <w:spacing w:after="0" w:line="264" w:lineRule="auto"/>
            </w:pPr>
            <w:r>
              <w:rPr>
                <w:rFonts w:ascii="Calibri" w:hAnsi="Calibri"/>
                <w:color w:val="183331"/>
                <w:sz w:val="19"/>
              </w:rPr>
              <w:t>Condition text is blank</w:t>
            </w:r>
          </w:p>
        </w:tc>
        <w:tc>
          <w:tcPr>
            <w:tcW w:type="dxa" w:w="2160"/>
            <w:tcMar>
              <w:top w:w="80" w:type="dxa"/>
              <w:start w:w="120" w:type="dxa"/>
              <w:bottom w:w="80" w:type="dxa"/>
              <w:end w:w="120" w:type="dxa"/>
            </w:tcMar>
            <w:vAlign w:val="center"/>
          </w:tcPr>
          <w:p>
            <w:pPr>
              <w:spacing w:after="0" w:line="264" w:lineRule="auto"/>
            </w:pPr>
            <w:r>
              <w:rPr>
                <w:rFonts w:ascii="Calibri" w:hAnsi="Calibri"/>
                <w:color w:val="183331"/>
                <w:sz w:val="19"/>
              </w:rPr>
              <w:t>Manual review</w:t>
            </w:r>
          </w:p>
        </w:tc>
      </w:tr>
      <w:tr>
        <w:tc>
          <w:tcPr>
            <w:tcW w:type="dxa" w:w="7200"/>
            <w:tcMar>
              <w:top w:w="80" w:type="dxa"/>
              <w:start w:w="120" w:type="dxa"/>
              <w:bottom w:w="80" w:type="dxa"/>
              <w:end w:w="120" w:type="dxa"/>
            </w:tcMar>
            <w:vAlign w:val="center"/>
          </w:tcPr>
          <w:p>
            <w:pPr>
              <w:spacing w:after="0" w:line="264" w:lineRule="auto"/>
            </w:pPr>
            <w:r>
              <w:rPr>
                <w:rFonts w:ascii="Calibri" w:hAnsi="Calibri"/>
                <w:color w:val="183331"/>
                <w:sz w:val="19"/>
              </w:rPr>
              <w:t>Other nonblank text</w:t>
            </w:r>
          </w:p>
        </w:tc>
        <w:tc>
          <w:tcPr>
            <w:tcW w:type="dxa" w:w="2160"/>
            <w:tcMar>
              <w:top w:w="80" w:type="dxa"/>
              <w:start w:w="120" w:type="dxa"/>
              <w:bottom w:w="80" w:type="dxa"/>
              <w:end w:w="120" w:type="dxa"/>
            </w:tcMar>
            <w:vAlign w:val="center"/>
          </w:tcPr>
          <w:p>
            <w:pPr>
              <w:spacing w:after="0" w:line="264" w:lineRule="auto"/>
            </w:pPr>
            <w:r>
              <w:rPr>
                <w:rFonts w:ascii="Calibri" w:hAnsi="Calibri"/>
                <w:color w:val="183331"/>
                <w:sz w:val="19"/>
              </w:rPr>
              <w:t>Routine</w:t>
            </w:r>
          </w:p>
        </w:tc>
      </w:tr>
    </w:tbl>
    <w:p>
      <w:pPr>
        <w:spacing w:after="60"/>
      </w:pPr>
    </w:p>
    <w:p>
      <w:pPr>
        <w:pStyle w:val="Heading2"/>
        <w:keepNext/>
      </w:pPr>
      <w:r>
        <w:rPr>
          <w:rFonts w:ascii="Calibri" w:hAnsi="Calibri"/>
          <w:b/>
          <w:color w:val="286D65"/>
        </w:rPr>
        <w:t>4.5 Fallback and Safety Behavior</w:t>
      </w:r>
    </w:p>
    <w:p>
      <w:pPr>
        <w:pStyle w:val="ListBullet"/>
        <w:spacing w:after="80" w:line="300" w:lineRule="auto"/>
        <w:ind w:left="540" w:hanging="271"/>
      </w:pPr>
      <w:r>
        <w:rPr>
          <w:rFonts w:ascii="Calibri" w:hAnsi="Calibri"/>
          <w:color w:val="183331"/>
        </w:rPr>
        <w:t>If the model is disabled, unavailable, times out, or returns invalid JSON, deterministic keyword rules continue locally.</w:t>
      </w:r>
    </w:p>
    <w:p>
      <w:pPr>
        <w:pStyle w:val="ListBullet"/>
        <w:spacing w:after="80" w:line="300" w:lineRule="auto"/>
        <w:ind w:left="540" w:hanging="271"/>
      </w:pPr>
      <w:r>
        <w:rPr>
          <w:rFonts w:ascii="Calibri" w:hAnsi="Calibri"/>
          <w:color w:val="183331"/>
        </w:rPr>
        <w:t>If rules find no tags, confidence defaults to 0.5; if rules find tags, fallback confidence is 1.0.</w:t>
      </w:r>
    </w:p>
    <w:p>
      <w:pPr>
        <w:pStyle w:val="ListBullet"/>
        <w:spacing w:after="80" w:line="300" w:lineRule="auto"/>
        <w:ind w:left="540" w:hanging="271"/>
      </w:pPr>
      <w:r>
        <w:rPr>
          <w:rFonts w:ascii="Calibri" w:hAnsi="Calibri"/>
          <w:color w:val="183331"/>
        </w:rPr>
        <w:t>Condition text requiring model review must be confirmed by staff before appointment confirmation.</w:t>
      </w:r>
    </w:p>
    <w:p>
      <w:pPr>
        <w:pStyle w:val="ListBullet"/>
        <w:spacing w:after="80" w:line="300" w:lineRule="auto"/>
        <w:ind w:left="540" w:hanging="271"/>
      </w:pPr>
      <w:r>
        <w:rPr>
          <w:rFonts w:ascii="Calibri" w:hAnsi="Calibri"/>
          <w:color w:val="183331"/>
        </w:rPr>
        <w:t>The model cannot change procedure duration, resource constraints, qualifications, appointment state, or database policy.</w:t>
      </w:r>
    </w:p>
    <w:p>
      <w:pPr>
        <w:pStyle w:val="ListBullet"/>
        <w:spacing w:after="80" w:line="300" w:lineRule="auto"/>
        <w:ind w:left="540" w:hanging="271"/>
      </w:pPr>
      <w:r>
        <w:rPr>
          <w:rFonts w:ascii="Calibri" w:hAnsi="Calibri"/>
          <w:color w:val="183331"/>
        </w:rPr>
        <w:t>Model output is assistance, not diagnosis, clinical advice, or an emergency-services determination.</w:t>
      </w:r>
    </w:p>
    <w:p>
      <w:pPr>
        <w:pStyle w:val="Heading2"/>
        <w:keepNext/>
      </w:pPr>
      <w:r>
        <w:rPr>
          <w:rFonts w:ascii="Calibri" w:hAnsi="Calibri"/>
          <w:b/>
          <w:color w:val="286D65"/>
        </w:rPr>
        <w:t>4.6 Model Validation Required Before Production</w:t>
      </w:r>
    </w:p>
    <w:p>
      <w:pPr>
        <w:pStyle w:val="ListBullet"/>
        <w:spacing w:after="80" w:line="300" w:lineRule="auto"/>
        <w:ind w:left="540" w:hanging="271"/>
      </w:pPr>
      <w:r>
        <w:rPr>
          <w:rFonts w:ascii="Calibri" w:hAnsi="Calibri"/>
          <w:color w:val="183331"/>
        </w:rPr>
        <w:t>Create a de-identified, clinician-approved validation set covering routine, ambiguous, urgent, negated, misspelled, and adversarial text.</w:t>
      </w:r>
    </w:p>
    <w:p>
      <w:pPr>
        <w:pStyle w:val="ListBullet"/>
        <w:spacing w:after="80" w:line="300" w:lineRule="auto"/>
        <w:ind w:left="540" w:hanging="271"/>
      </w:pPr>
      <w:r>
        <w:rPr>
          <w:rFonts w:ascii="Calibri" w:hAnsi="Calibri"/>
          <w:color w:val="183331"/>
        </w:rPr>
        <w:t>Measure per-tag precision/recall, urgent-case sensitivity, false escalation, invalid-output rate, latency, and fallback rate.</w:t>
      </w:r>
    </w:p>
    <w:p>
      <w:pPr>
        <w:pStyle w:val="ListBullet"/>
        <w:spacing w:after="80" w:line="300" w:lineRule="auto"/>
        <w:ind w:left="540" w:hanging="271"/>
      </w:pPr>
      <w:r>
        <w:rPr>
          <w:rFonts w:ascii="Calibri" w:hAnsi="Calibri"/>
          <w:color w:val="183331"/>
        </w:rPr>
        <w:t>Test demographic and language variation appropriate to the patient population.</w:t>
      </w:r>
    </w:p>
    <w:p>
      <w:pPr>
        <w:pStyle w:val="ListBullet"/>
        <w:spacing w:after="80" w:line="300" w:lineRule="auto"/>
        <w:ind w:left="540" w:hanging="271"/>
      </w:pPr>
      <w:r>
        <w:rPr>
          <w:rFonts w:ascii="Calibri" w:hAnsi="Calibri"/>
          <w:color w:val="183331"/>
        </w:rPr>
        <w:t>Approve an operational response for low confidence, model unavailability, and suspected model drift.</w:t>
      </w:r>
    </w:p>
    <w:p>
      <w:pPr>
        <w:pStyle w:val="ListBullet"/>
        <w:spacing w:after="80" w:line="300" w:lineRule="auto"/>
        <w:ind w:left="540" w:hanging="271"/>
      </w:pPr>
      <w:r>
        <w:rPr>
          <w:rFonts w:ascii="Calibri" w:hAnsi="Calibri"/>
          <w:color w:val="183331"/>
        </w:rPr>
        <w:t>Retest whenever the model artifact, prompt, allowlist, runtime, or priority policy changes.</w:t>
      </w:r>
    </w:p>
    <w:p>
      <w:pPr>
        <w:pStyle w:val="Heading1"/>
        <w:keepNext/>
      </w:pPr>
      <w:r>
        <w:rPr>
          <w:rFonts w:ascii="Calibri" w:hAnsi="Calibri"/>
          <w:b/>
          <w:color w:val="286D65"/>
        </w:rPr>
        <w:t>5. Deterministic Scheduling Optimization Model</w:t>
      </w:r>
    </w:p>
    <w:p>
      <w:pPr>
        <w:pStyle w:val="Heading2"/>
        <w:keepNext/>
      </w:pPr>
      <w:r>
        <w:rPr>
          <w:rFonts w:ascii="Calibri" w:hAnsi="Calibri"/>
          <w:b/>
          <w:color w:val="286D65"/>
        </w:rPr>
        <w:t>5.1 Model Type</w:t>
      </w:r>
    </w:p>
    <w:p>
      <w:pPr>
        <w:keepLines w:val="0"/>
        <w:spacing w:before="0" w:after="120" w:line="300" w:lineRule="auto"/>
      </w:pPr>
      <w:r>
        <w:rPr>
          <w:rFonts w:ascii="Calibri" w:hAnsi="Calibri"/>
          <w:i w:val="0"/>
          <w:color w:val="183331"/>
        </w:rPr>
        <w:t>The scheduling engine is not a trained machine-learning model. It is a deterministic incremental constraint-and-ranking algorithm written in Python. It builds a snapshot from PostgreSQL, enumerates candidate starts, schedules ordered procedure phases, assigns resources, filters infeasible candidates, scores remaining candidates, removes duplicates, and returns the top five. Repeating the same request against the same snapshot produces the same ordering.</w:t>
      </w:r>
    </w:p>
    <w:p>
      <w:pPr>
        <w:pStyle w:val="Heading2"/>
        <w:keepNext/>
      </w:pPr>
      <w:r>
        <w:rPr>
          <w:rFonts w:ascii="Calibri" w:hAnsi="Calibri"/>
          <w:b/>
          <w:color w:val="286D65"/>
        </w:rPr>
        <w:t>5.2 Scheduling Inputs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173F3D"/>
            <w:tcMar>
              <w:top w:w="80" w:type="dxa"/>
              <w:start w:w="120" w:type="dxa"/>
              <w:bottom w:w="80" w:type="dxa"/>
              <w:end w:w="120" w:type="dxa"/>
            </w:tcMar>
            <w:vAlign w:val="center"/>
          </w:tcPr>
          <w:p>
            <w:pPr>
              <w:spacing w:after="0"/>
              <w:jc w:val="center"/>
            </w:pPr>
            <w:r>
              <w:rPr>
                <w:rFonts w:ascii="Calibri" w:hAnsi="Calibri"/>
                <w:b/>
                <w:color w:val="FFFFFF"/>
                <w:sz w:val="19"/>
              </w:rPr>
              <w:t>Input group</w:t>
            </w:r>
          </w:p>
        </w:tc>
        <w:tc>
          <w:tcPr>
            <w:tcW w:type="dxa" w:w="7260"/>
            <w:shd w:fill="173F3D"/>
            <w:tcMar>
              <w:top w:w="80" w:type="dxa"/>
              <w:start w:w="120" w:type="dxa"/>
              <w:bottom w:w="80" w:type="dxa"/>
              <w:end w:w="120" w:type="dxa"/>
            </w:tcMar>
            <w:vAlign w:val="center"/>
          </w:tcPr>
          <w:p>
            <w:pPr>
              <w:spacing w:after="0"/>
              <w:jc w:val="left"/>
            </w:pPr>
            <w:r>
              <w:rPr>
                <w:rFonts w:ascii="Calibri" w:hAnsi="Calibri"/>
                <w:b/>
                <w:color w:val="FFFFFF"/>
                <w:sz w:val="19"/>
              </w:rPr>
              <w:t>Representative fields</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9"/>
              </w:rPr>
              <w:t>Request</w:t>
            </w:r>
          </w:p>
        </w:tc>
        <w:tc>
          <w:tcPr>
            <w:tcW w:type="dxa" w:w="7260"/>
            <w:tcMar>
              <w:top w:w="80" w:type="dxa"/>
              <w:start w:w="120" w:type="dxa"/>
              <w:bottom w:w="80" w:type="dxa"/>
              <w:end w:w="120" w:type="dxa"/>
            </w:tcMar>
            <w:vAlign w:val="center"/>
          </w:tcPr>
          <w:p>
            <w:pPr>
              <w:spacing w:after="0" w:line="264" w:lineRule="auto"/>
            </w:pPr>
            <w:r>
              <w:rPr>
                <w:rFonts w:ascii="Calibri" w:hAnsi="Calibri"/>
                <w:color w:val="183331"/>
                <w:sz w:val="19"/>
              </w:rPr>
              <w:t>patient, procedure, duration, date/time windows, priority, complexity, preferred dentist, equipment quantities</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9"/>
              </w:rPr>
              <w:t>Dentists</w:t>
            </w:r>
          </w:p>
        </w:tc>
        <w:tc>
          <w:tcPr>
            <w:tcW w:type="dxa" w:w="7260"/>
            <w:tcMar>
              <w:top w:w="80" w:type="dxa"/>
              <w:start w:w="120" w:type="dxa"/>
              <w:bottom w:w="80" w:type="dxa"/>
              <w:end w:w="120" w:type="dxa"/>
            </w:tcMar>
            <w:vAlign w:val="center"/>
          </w:tcPr>
          <w:p>
            <w:pPr>
              <w:spacing w:after="0" w:line="264" w:lineRule="auto"/>
            </w:pPr>
            <w:r>
              <w:rPr>
                <w:rFonts w:ascii="Calibri" w:hAnsi="Calibri"/>
                <w:color w:val="183331"/>
                <w:sz w:val="19"/>
              </w:rPr>
              <w:t>qualification, working windows, provider identity, preferences, production gap, emergency protection, max active visits</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9"/>
              </w:rPr>
              <w:t>Support providers</w:t>
            </w:r>
          </w:p>
        </w:tc>
        <w:tc>
          <w:tcPr>
            <w:tcW w:type="dxa" w:w="7260"/>
            <w:tcMar>
              <w:top w:w="80" w:type="dxa"/>
              <w:start w:w="120" w:type="dxa"/>
              <w:bottom w:w="80" w:type="dxa"/>
              <w:end w:w="120" w:type="dxa"/>
            </w:tcMar>
            <w:vAlign w:val="center"/>
          </w:tcPr>
          <w:p>
            <w:pPr>
              <w:spacing w:after="0" w:line="264" w:lineRule="auto"/>
            </w:pPr>
            <w:r>
              <w:rPr>
                <w:rFonts w:ascii="Calibri" w:hAnsi="Calibri"/>
                <w:color w:val="183331"/>
                <w:sz w:val="19"/>
              </w:rPr>
              <w:t>role, working windows, dated shifts, leave, existing phase reservations</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9"/>
              </w:rPr>
              <w:t>Rooms</w:t>
            </w:r>
          </w:p>
        </w:tc>
        <w:tc>
          <w:tcPr>
            <w:tcW w:type="dxa" w:w="7260"/>
            <w:tcMar>
              <w:top w:w="80" w:type="dxa"/>
              <w:start w:w="120" w:type="dxa"/>
              <w:bottom w:w="80" w:type="dxa"/>
              <w:end w:w="120" w:type="dxa"/>
            </w:tcMar>
            <w:vAlign w:val="center"/>
          </w:tcPr>
          <w:p>
            <w:pPr>
              <w:spacing w:after="0" w:line="264" w:lineRule="auto"/>
            </w:pPr>
            <w:r>
              <w:rPr>
                <w:rFonts w:ascii="Calibri" w:hAnsi="Calibri"/>
                <w:color w:val="183331"/>
                <w:sz w:val="19"/>
              </w:rPr>
              <w:t>procedure eligibility, working windows, closure exclusions, existing visits</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9"/>
              </w:rPr>
              <w:t>Equipment</w:t>
            </w:r>
          </w:p>
        </w:tc>
        <w:tc>
          <w:tcPr>
            <w:tcW w:type="dxa" w:w="7260"/>
            <w:tcMar>
              <w:top w:w="80" w:type="dxa"/>
              <w:start w:w="120" w:type="dxa"/>
              <w:bottom w:w="80" w:type="dxa"/>
              <w:end w:w="120" w:type="dxa"/>
            </w:tcMar>
            <w:vAlign w:val="center"/>
          </w:tcPr>
          <w:p>
            <w:pPr>
              <w:spacing w:after="0" w:line="264" w:lineRule="auto"/>
            </w:pPr>
            <w:r>
              <w:rPr>
                <w:rFonts w:ascii="Calibri" w:hAnsi="Calibri"/>
                <w:color w:val="183331"/>
                <w:sz w:val="19"/>
              </w:rPr>
              <w:t>equipment type, numbered units, availability, active reservations</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9"/>
              </w:rPr>
              <w:t>Existing calendar</w:t>
            </w:r>
          </w:p>
        </w:tc>
        <w:tc>
          <w:tcPr>
            <w:tcW w:type="dxa" w:w="7260"/>
            <w:tcMar>
              <w:top w:w="80" w:type="dxa"/>
              <w:start w:w="120" w:type="dxa"/>
              <w:bottom w:w="80" w:type="dxa"/>
              <w:end w:w="120" w:type="dxa"/>
            </w:tcMar>
            <w:vAlign w:val="center"/>
          </w:tcPr>
          <w:p>
            <w:pPr>
              <w:spacing w:after="0" w:line="264" w:lineRule="auto"/>
            </w:pPr>
            <w:r>
              <w:rPr>
                <w:rFonts w:ascii="Calibri" w:hAnsi="Calibri"/>
                <w:color w:val="183331"/>
                <w:sz w:val="19"/>
              </w:rPr>
              <w:t>patient, doctor, room, full visit interval, phase reservations, status, lock state</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9"/>
              </w:rPr>
              <w:t>Policy</w:t>
            </w:r>
          </w:p>
        </w:tc>
        <w:tc>
          <w:tcPr>
            <w:tcW w:type="dxa" w:w="7260"/>
            <w:tcMar>
              <w:top w:w="80" w:type="dxa"/>
              <w:start w:w="120" w:type="dxa"/>
              <w:bottom w:w="80" w:type="dxa"/>
              <w:end w:w="120" w:type="dxa"/>
            </w:tcMar>
            <w:vAlign w:val="center"/>
          </w:tcPr>
          <w:p>
            <w:pPr>
              <w:spacing w:after="0" w:line="264" w:lineRule="auto"/>
            </w:pPr>
            <w:r>
              <w:rPr>
                <w:rFonts w:ascii="Calibri" w:hAnsi="Calibri"/>
                <w:color w:val="183331"/>
                <w:sz w:val="19"/>
              </w:rPr>
              <w:t>30-minute start grid, 365-day horizon, ranking weights, emergency release window</w:t>
            </w:r>
          </w:p>
        </w:tc>
      </w:tr>
    </w:tbl>
    <w:p>
      <w:pPr>
        <w:spacing w:after="60"/>
      </w:pPr>
    </w:p>
    <w:p>
      <w:pPr>
        <w:pStyle w:val="Heading2"/>
        <w:keepNext/>
      </w:pPr>
      <w:r>
        <w:rPr>
          <w:rFonts w:ascii="Calibri" w:hAnsi="Calibri"/>
          <w:b/>
          <w:color w:val="286D65"/>
        </w:rPr>
        <w:t>5.3 Hard Constraints</w:t>
      </w:r>
    </w:p>
    <w:p>
      <w:pPr>
        <w:pStyle w:val="ListBullet"/>
        <w:spacing w:after="80" w:line="300" w:lineRule="auto"/>
        <w:ind w:left="540" w:hanging="271"/>
      </w:pPr>
      <w:r>
        <w:rPr>
          <w:rFonts w:ascii="Calibri" w:hAnsi="Calibri"/>
          <w:color w:val="183331"/>
        </w:rPr>
        <w:t>The selected dentist is active and qualified for the procedure on the service date.</w:t>
      </w:r>
    </w:p>
    <w:p>
      <w:pPr>
        <w:pStyle w:val="ListBullet"/>
        <w:spacing w:after="80" w:line="300" w:lineRule="auto"/>
        <w:ind w:left="540" w:hanging="271"/>
      </w:pPr>
      <w:r>
        <w:rPr>
          <w:rFonts w:ascii="Calibri" w:hAnsi="Calibri"/>
          <w:color w:val="183331"/>
        </w:rPr>
        <w:t>The patient, room, and full visit fit within requested and configured availability.</w:t>
      </w:r>
    </w:p>
    <w:p>
      <w:pPr>
        <w:pStyle w:val="ListBullet"/>
        <w:spacing w:after="80" w:line="300" w:lineRule="auto"/>
        <w:ind w:left="540" w:hanging="271"/>
      </w:pPr>
      <w:r>
        <w:rPr>
          <w:rFonts w:ascii="Calibri" w:hAnsi="Calibri"/>
          <w:color w:val="183331"/>
        </w:rPr>
        <w:t>The patient has no overlapping held or confirmed appointment.</w:t>
      </w:r>
    </w:p>
    <w:p>
      <w:pPr>
        <w:pStyle w:val="ListBullet"/>
        <w:spacing w:after="80" w:line="300" w:lineRule="auto"/>
        <w:ind w:left="540" w:hanging="271"/>
      </w:pPr>
      <w:r>
        <w:rPr>
          <w:rFonts w:ascii="Calibri" w:hAnsi="Calibri"/>
          <w:color w:val="183331"/>
        </w:rPr>
        <w:t>The selected room supports the procedure and has no overlapping held or confirmed visit.</w:t>
      </w:r>
    </w:p>
    <w:p>
      <w:pPr>
        <w:pStyle w:val="ListBullet"/>
        <w:spacing w:after="80" w:line="300" w:lineRule="auto"/>
        <w:ind w:left="540" w:hanging="271"/>
      </w:pPr>
      <w:r>
        <w:rPr>
          <w:rFonts w:ascii="Calibri" w:hAnsi="Calibri"/>
          <w:color w:val="183331"/>
        </w:rPr>
        <w:t>Every dentist, hygienist, and assistant phase fits inside that provider's availability and does not overlap another active phase.</w:t>
      </w:r>
    </w:p>
    <w:p>
      <w:pPr>
        <w:pStyle w:val="ListBullet"/>
        <w:spacing w:after="80" w:line="300" w:lineRule="auto"/>
        <w:ind w:left="540" w:hanging="271"/>
      </w:pPr>
      <w:r>
        <w:rPr>
          <w:rFonts w:ascii="Calibri" w:hAnsi="Calibri"/>
          <w:color w:val="183331"/>
        </w:rPr>
        <w:t>The complete ordered phase sequence covers the visit without gaps or negative duration.</w:t>
      </w:r>
    </w:p>
    <w:p>
      <w:pPr>
        <w:pStyle w:val="ListBullet"/>
        <w:spacing w:after="80" w:line="300" w:lineRule="auto"/>
        <w:ind w:left="540" w:hanging="271"/>
      </w:pPr>
      <w:r>
        <w:rPr>
          <w:rFonts w:ascii="Calibri" w:hAnsi="Calibri"/>
          <w:color w:val="183331"/>
        </w:rPr>
        <w:t>Every required equipment quantity can be assigned to distinct available numbered units without overlap.</w:t>
      </w:r>
    </w:p>
    <w:p>
      <w:pPr>
        <w:pStyle w:val="ListBullet"/>
        <w:spacing w:after="80" w:line="300" w:lineRule="auto"/>
        <w:ind w:left="540" w:hanging="271"/>
      </w:pPr>
      <w:r>
        <w:rPr>
          <w:rFonts w:ascii="Calibri" w:hAnsi="Calibri"/>
          <w:color w:val="183331"/>
        </w:rPr>
        <w:t>The dentist's number of simultaneous supervised patient visits does not exceed max_active_rooms.</w:t>
      </w:r>
    </w:p>
    <w:p>
      <w:pPr>
        <w:pStyle w:val="ListBullet"/>
        <w:spacing w:after="80" w:line="300" w:lineRule="auto"/>
        <w:ind w:left="540" w:hanging="271"/>
      </w:pPr>
      <w:r>
        <w:rPr>
          <w:rFonts w:ascii="Calibri" w:hAnsi="Calibri"/>
          <w:color w:val="183331"/>
        </w:rPr>
        <w:t>Practice closures, provider leave, room hours, rota overrides, and protected emergency capacity are respected.</w:t>
      </w:r>
    </w:p>
    <w:p>
      <w:pPr>
        <w:pStyle w:val="ListBullet"/>
        <w:spacing w:after="80" w:line="300" w:lineRule="auto"/>
        <w:ind w:left="540" w:hanging="271"/>
      </w:pPr>
      <w:r>
        <w:rPr>
          <w:rFonts w:ascii="Calibri" w:hAnsi="Calibri"/>
          <w:color w:val="183331"/>
        </w:rPr>
        <w:t>The candidate falls inside the rolling horizon and uses a timezone-aware interval.</w:t>
      </w:r>
    </w:p>
    <w:p>
      <w:pPr>
        <w:pStyle w:val="ListBullet"/>
        <w:spacing w:after="80" w:line="300" w:lineRule="auto"/>
        <w:ind w:left="540" w:hanging="271"/>
      </w:pPr>
      <w:r>
        <w:rPr>
          <w:rFonts w:ascii="Calibri" w:hAnsi="Calibri"/>
          <w:color w:val="183331"/>
        </w:rPr>
        <w:t>During rescheduling, the current appointment is excluded only for preview; the original remains unchanged until exact authorization commits the replacement.</w:t>
      </w:r>
    </w:p>
    <w:p>
      <w:pPr>
        <w:pStyle w:val="Heading2"/>
        <w:keepNext/>
      </w:pPr>
      <w:r>
        <w:rPr>
          <w:rFonts w:ascii="Calibri" w:hAnsi="Calibri"/>
          <w:b/>
          <w:color w:val="286D65"/>
        </w:rPr>
        <w:t>5.4 Phase Scheduling</w:t>
      </w:r>
    </w:p>
    <w:p>
      <w:pPr>
        <w:keepLines w:val="0"/>
        <w:spacing w:before="0" w:after="120" w:line="300" w:lineRule="auto"/>
      </w:pPr>
      <w:r>
        <w:rPr>
          <w:rFonts w:ascii="Calibri" w:hAnsi="Calibri"/>
          <w:i w:val="0"/>
          <w:color w:val="183331"/>
        </w:rPr>
        <w:t>A procedure is represented as an ordered list of phases. The algorithm advances a cursor from the candidate start. Doctor phases bind to the selected dentist's provider record. Hygienist and assistant phases select the first eligible available provider in deterministic display-name/ID order. Room-only phases reserve time within the full room visit but have no provider ID. The patient and room remain reserved for the full visit even while an assistant or hygienist performs a phase.</w:t>
      </w:r>
    </w:p>
    <w:p>
      <w:pPr>
        <w:spacing w:before="60" w:after="160" w:line="288" w:lineRule="auto"/>
        <w:ind w:left="173" w:right="173"/>
        <w:shd w:fill="E8F2ED"/>
        <w:pBdr>
          <w:left w:val="single" w:sz="18" w:space="6" w:color="286D65"/>
        </w:pBdr>
      </w:pPr>
      <w:r>
        <w:rPr>
          <w:rFonts w:ascii="Calibri" w:hAnsi="Calibri"/>
          <w:b/>
          <w:color w:val="286D65"/>
        </w:rPr>
        <w:t xml:space="preserve">Multi-room behavior: </w:t>
      </w:r>
      <w:r>
        <w:rPr>
          <w:rFonts w:ascii="Calibri" w:hAnsi="Calibri"/>
          <w:color w:val="183331"/>
        </w:rPr>
        <w:t>A dentist may supervise overlapping full visits only when the dentist-required phases do not overlap and the configured simultaneous-visit cap remains satisfied. This enables preparation, hygiene, restoration completion, and turnover to continue while the dentist moves between rooms.</w:t>
      </w:r>
    </w:p>
    <w:p>
      <w:pPr>
        <w:pStyle w:val="Heading2"/>
        <w:keepNext/>
      </w:pPr>
      <w:r>
        <w:rPr>
          <w:rFonts w:ascii="Calibri" w:hAnsi="Calibri"/>
          <w:b/>
          <w:color w:val="286D65"/>
        </w:rPr>
        <w:t>5.5 Candidate Grid and Horizon</w:t>
      </w:r>
    </w:p>
    <w:p>
      <w:pPr>
        <w:pStyle w:val="ListBullet"/>
        <w:spacing w:after="80" w:line="300" w:lineRule="auto"/>
        <w:ind w:left="540" w:hanging="271"/>
      </w:pPr>
      <w:r>
        <w:rPr>
          <w:rFonts w:ascii="Calibri" w:hAnsi="Calibri"/>
          <w:color w:val="183331"/>
        </w:rPr>
        <w:t>Candidate start times are rounded upward to the next 30-minute grid boundary.</w:t>
      </w:r>
    </w:p>
    <w:p>
      <w:pPr>
        <w:pStyle w:val="ListBullet"/>
        <w:spacing w:after="80" w:line="300" w:lineRule="auto"/>
        <w:ind w:left="540" w:hanging="271"/>
      </w:pPr>
      <w:r>
        <w:rPr>
          <w:rFonts w:ascii="Calibri" w:hAnsi="Calibri"/>
          <w:color w:val="183331"/>
        </w:rPr>
        <w:t>Phase durations may be 5-, 10-, 15-, or other approved minute values; only the visit start is grid-aligned.</w:t>
      </w:r>
    </w:p>
    <w:p>
      <w:pPr>
        <w:pStyle w:val="ListBullet"/>
        <w:spacing w:after="80" w:line="300" w:lineRule="auto"/>
        <w:ind w:left="540" w:hanging="271"/>
      </w:pPr>
      <w:r>
        <w:rPr>
          <w:rFonts w:ascii="Calibri" w:hAnsi="Calibri"/>
          <w:color w:val="183331"/>
        </w:rPr>
        <w:t>The search window is clipped to today through today plus the configured horizon, normally 365 days.</w:t>
      </w:r>
    </w:p>
    <w:p>
      <w:pPr>
        <w:pStyle w:val="ListBullet"/>
        <w:spacing w:after="80" w:line="300" w:lineRule="auto"/>
        <w:ind w:left="540" w:hanging="271"/>
      </w:pPr>
      <w:r>
        <w:rPr>
          <w:rFonts w:ascii="Calibri" w:hAnsi="Calibri"/>
          <w:color w:val="183331"/>
        </w:rPr>
        <w:t>Availability is materialized in the practice timezone; persisted appointment timestamps are timezone-aware and PostgreSQL stores timestamptz values in UTC semantics.</w:t>
      </w:r>
    </w:p>
    <w:p>
      <w:pPr>
        <w:pStyle w:val="ListBullet"/>
        <w:spacing w:after="80" w:line="300" w:lineRule="auto"/>
        <w:ind w:left="540" w:hanging="271"/>
      </w:pPr>
      <w:r>
        <w:rPr>
          <w:rFonts w:ascii="Calibri" w:hAnsi="Calibri"/>
          <w:color w:val="183331"/>
        </w:rPr>
        <w:t>The optimizer indexes appointments and reservations by patient, doctor, room, provider, and day for bounded candidate checks.</w:t>
      </w:r>
    </w:p>
    <w:p>
      <w:pPr>
        <w:pStyle w:val="Heading2"/>
        <w:keepNext/>
      </w:pPr>
      <w:r>
        <w:rPr>
          <w:rFonts w:ascii="Calibri" w:hAnsi="Calibri"/>
          <w:b/>
          <w:color w:val="286D65"/>
        </w:rPr>
        <w:t>5.6 Ranking Function</w:t>
      </w:r>
    </w:p>
    <w:p>
      <w:pPr>
        <w:keepLines w:val="0"/>
        <w:spacing w:before="0" w:after="120" w:line="300" w:lineRule="auto"/>
      </w:pPr>
      <w:r>
        <w:rPr>
          <w:rFonts w:ascii="Calibri" w:hAnsi="Calibri"/>
          <w:i w:val="0"/>
          <w:color w:val="183331"/>
        </w:rPr>
        <w:t>Lower scores are better. Hard constraints are resolved before scoring; scoring cannot make an infeasible slot feasible. The implemented score uses the following reference weights:</w:t>
      </w:r>
    </w:p>
    <w:tbl>
      <w:tblPr>
        <w:tblStyle w:val="TableGrid"/>
        <w:tblW w:type="dxa" w:w="9360"/>
        <w:jc w:val="left"/>
        <w:tblLayout w:type="fixed"/>
        <w:tblLook w:firstColumn="1" w:firstRow="1" w:lastColumn="0" w:lastRow="0" w:noHBand="0" w:noVBand="1" w:val="04A0"/>
        <w:tblInd w:w="120" w:type="dxa"/>
      </w:tblPr>
      <w:tblGrid>
        <w:gridCol w:w="2100"/>
        <w:gridCol w:w="2900"/>
        <w:gridCol w:w="4360"/>
      </w:tblGrid>
      <w:tr>
        <w:trPr>
          <w:tblHeader w:val="true"/>
        </w:trPr>
        <w:tc>
          <w:tcPr>
            <w:tcW w:type="dxa" w:w="2100"/>
            <w:shd w:fill="173F3D"/>
            <w:tcMar>
              <w:top w:w="80" w:type="dxa"/>
              <w:start w:w="120" w:type="dxa"/>
              <w:bottom w:w="80" w:type="dxa"/>
              <w:end w:w="120" w:type="dxa"/>
            </w:tcMar>
            <w:vAlign w:val="center"/>
          </w:tcPr>
          <w:p>
            <w:pPr>
              <w:spacing w:after="0"/>
              <w:jc w:val="center"/>
            </w:pPr>
            <w:r>
              <w:rPr>
                <w:rFonts w:ascii="Calibri" w:hAnsi="Calibri"/>
                <w:b/>
                <w:color w:val="FFFFFF"/>
                <w:sz w:val="18"/>
              </w:rPr>
              <w:t>Factor</w:t>
            </w:r>
          </w:p>
        </w:tc>
        <w:tc>
          <w:tcPr>
            <w:tcW w:type="dxa" w:w="2900"/>
            <w:shd w:fill="173F3D"/>
            <w:tcMar>
              <w:top w:w="80" w:type="dxa"/>
              <w:start w:w="120" w:type="dxa"/>
              <w:bottom w:w="80" w:type="dxa"/>
              <w:end w:w="120" w:type="dxa"/>
            </w:tcMar>
            <w:vAlign w:val="center"/>
          </w:tcPr>
          <w:p>
            <w:pPr>
              <w:spacing w:after="0"/>
              <w:jc w:val="center"/>
            </w:pPr>
            <w:r>
              <w:rPr>
                <w:rFonts w:ascii="Calibri" w:hAnsi="Calibri"/>
                <w:b/>
                <w:color w:val="FFFFFF"/>
                <w:sz w:val="18"/>
              </w:rPr>
              <w:t>Score effect</w:t>
            </w:r>
          </w:p>
        </w:tc>
        <w:tc>
          <w:tcPr>
            <w:tcW w:type="dxa" w:w="4360"/>
            <w:shd w:fill="173F3D"/>
            <w:tcMar>
              <w:top w:w="80" w:type="dxa"/>
              <w:start w:w="120" w:type="dxa"/>
              <w:bottom w:w="80" w:type="dxa"/>
              <w:end w:w="120" w:type="dxa"/>
            </w:tcMar>
            <w:vAlign w:val="center"/>
          </w:tcPr>
          <w:p>
            <w:pPr>
              <w:spacing w:after="0"/>
              <w:jc w:val="center"/>
            </w:pPr>
            <w:r>
              <w:rPr>
                <w:rFonts w:ascii="Calibri" w:hAnsi="Calibri"/>
                <w:b/>
                <w:color w:val="FFFFFF"/>
                <w:sz w:val="18"/>
              </w:rPr>
              <w:t>Purpose</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7"/>
              </w:rPr>
              <w:t>Wait from search start</w:t>
            </w:r>
          </w:p>
        </w:tc>
        <w:tc>
          <w:tcPr>
            <w:tcW w:type="dxa" w:w="2900"/>
            <w:tcMar>
              <w:top w:w="80" w:type="dxa"/>
              <w:start w:w="120" w:type="dxa"/>
              <w:bottom w:w="80" w:type="dxa"/>
              <w:end w:w="120" w:type="dxa"/>
            </w:tcMar>
            <w:vAlign w:val="center"/>
          </w:tcPr>
          <w:p>
            <w:pPr>
              <w:spacing w:after="0" w:line="264" w:lineRule="auto"/>
            </w:pPr>
            <w:r>
              <w:rPr>
                <w:rFonts w:ascii="Calibri" w:hAnsi="Calibri"/>
                <w:color w:val="183331"/>
                <w:sz w:val="17"/>
              </w:rPr>
              <w:t>+1/min routine, +2/min priority, +4/min urgent</w:t>
            </w:r>
          </w:p>
        </w:tc>
        <w:tc>
          <w:tcPr>
            <w:tcW w:type="dxa" w:w="4360"/>
            <w:tcMar>
              <w:top w:w="80" w:type="dxa"/>
              <w:start w:w="120" w:type="dxa"/>
              <w:bottom w:w="80" w:type="dxa"/>
              <w:end w:w="120" w:type="dxa"/>
            </w:tcMar>
            <w:vAlign w:val="center"/>
          </w:tcPr>
          <w:p>
            <w:pPr>
              <w:spacing w:after="0" w:line="264" w:lineRule="auto"/>
            </w:pPr>
            <w:r>
              <w:rPr>
                <w:rFonts w:ascii="Calibri" w:hAnsi="Calibri"/>
                <w:color w:val="183331"/>
                <w:sz w:val="17"/>
              </w:rPr>
              <w:t>Prefer earlier access; amplify urgent delay</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7"/>
              </w:rPr>
              <w:t>Preferred time interval</w:t>
            </w:r>
          </w:p>
        </w:tc>
        <w:tc>
          <w:tcPr>
            <w:tcW w:type="dxa" w:w="2900"/>
            <w:tcMar>
              <w:top w:w="80" w:type="dxa"/>
              <w:start w:w="120" w:type="dxa"/>
              <w:bottom w:w="80" w:type="dxa"/>
              <w:end w:w="120" w:type="dxa"/>
            </w:tcMar>
            <w:vAlign w:val="center"/>
          </w:tcPr>
          <w:p>
            <w:pPr>
              <w:spacing w:after="0" w:line="264" w:lineRule="auto"/>
            </w:pPr>
            <w:r>
              <w:rPr>
                <w:rFonts w:ascii="Calibri" w:hAnsi="Calibri"/>
                <w:color w:val="183331"/>
                <w:sz w:val="17"/>
              </w:rPr>
              <w:t>−720</w:t>
            </w:r>
          </w:p>
        </w:tc>
        <w:tc>
          <w:tcPr>
            <w:tcW w:type="dxa" w:w="4360"/>
            <w:tcMar>
              <w:top w:w="80" w:type="dxa"/>
              <w:start w:w="120" w:type="dxa"/>
              <w:bottom w:w="80" w:type="dxa"/>
              <w:end w:w="120" w:type="dxa"/>
            </w:tcMar>
            <w:vAlign w:val="center"/>
          </w:tcPr>
          <w:p>
            <w:pPr>
              <w:spacing w:after="0" w:line="264" w:lineRule="auto"/>
            </w:pPr>
            <w:r>
              <w:rPr>
                <w:rFonts w:ascii="Calibri" w:hAnsi="Calibri"/>
                <w:color w:val="183331"/>
                <w:sz w:val="17"/>
              </w:rPr>
              <w:t>Reward a time preference</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7"/>
              </w:rPr>
              <w:t>Preferred dentist</w:t>
            </w:r>
          </w:p>
        </w:tc>
        <w:tc>
          <w:tcPr>
            <w:tcW w:type="dxa" w:w="2900"/>
            <w:tcMar>
              <w:top w:w="80" w:type="dxa"/>
              <w:start w:w="120" w:type="dxa"/>
              <w:bottom w:w="80" w:type="dxa"/>
              <w:end w:w="120" w:type="dxa"/>
            </w:tcMar>
            <w:vAlign w:val="center"/>
          </w:tcPr>
          <w:p>
            <w:pPr>
              <w:spacing w:after="0" w:line="264" w:lineRule="auto"/>
            </w:pPr>
            <w:r>
              <w:rPr>
                <w:rFonts w:ascii="Calibri" w:hAnsi="Calibri"/>
                <w:color w:val="183331"/>
                <w:sz w:val="17"/>
              </w:rPr>
              <w:t>−1,440 match; +1,440 nonmatch</w:t>
            </w:r>
          </w:p>
        </w:tc>
        <w:tc>
          <w:tcPr>
            <w:tcW w:type="dxa" w:w="4360"/>
            <w:tcMar>
              <w:top w:w="80" w:type="dxa"/>
              <w:start w:w="120" w:type="dxa"/>
              <w:bottom w:w="80" w:type="dxa"/>
              <w:end w:w="120" w:type="dxa"/>
            </w:tcMar>
            <w:vAlign w:val="center"/>
          </w:tcPr>
          <w:p>
            <w:pPr>
              <w:spacing w:after="0" w:line="264" w:lineRule="auto"/>
            </w:pPr>
            <w:r>
              <w:rPr>
                <w:rFonts w:ascii="Calibri" w:hAnsi="Calibri"/>
                <w:color w:val="183331"/>
                <w:sz w:val="17"/>
              </w:rPr>
              <w:t>Strongly honor explicit provider request</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7"/>
              </w:rPr>
              <w:t>Established dentist</w:t>
            </w:r>
          </w:p>
        </w:tc>
        <w:tc>
          <w:tcPr>
            <w:tcW w:type="dxa" w:w="2900"/>
            <w:tcMar>
              <w:top w:w="80" w:type="dxa"/>
              <w:start w:w="120" w:type="dxa"/>
              <w:bottom w:w="80" w:type="dxa"/>
              <w:end w:w="120" w:type="dxa"/>
            </w:tcMar>
            <w:vAlign w:val="center"/>
          </w:tcPr>
          <w:p>
            <w:pPr>
              <w:spacing w:after="0" w:line="264" w:lineRule="auto"/>
            </w:pPr>
            <w:r>
              <w:rPr>
                <w:rFonts w:ascii="Calibri" w:hAnsi="Calibri"/>
                <w:color w:val="183331"/>
                <w:sz w:val="17"/>
              </w:rPr>
              <w:t>−360 when populated</w:t>
            </w:r>
          </w:p>
        </w:tc>
        <w:tc>
          <w:tcPr>
            <w:tcW w:type="dxa" w:w="4360"/>
            <w:tcMar>
              <w:top w:w="80" w:type="dxa"/>
              <w:start w:w="120" w:type="dxa"/>
              <w:bottom w:w="80" w:type="dxa"/>
              <w:end w:w="120" w:type="dxa"/>
            </w:tcMar>
            <w:vAlign w:val="center"/>
          </w:tcPr>
          <w:p>
            <w:pPr>
              <w:spacing w:after="0" w:line="264" w:lineRule="auto"/>
            </w:pPr>
            <w:r>
              <w:rPr>
                <w:rFonts w:ascii="Calibri" w:hAnsi="Calibri"/>
                <w:color w:val="183331"/>
                <w:sz w:val="17"/>
              </w:rPr>
              <w:t>Support continuity; core supports it but current UI adapter does not populate it</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7"/>
              </w:rPr>
              <w:t>Clinical priority</w:t>
            </w:r>
          </w:p>
        </w:tc>
        <w:tc>
          <w:tcPr>
            <w:tcW w:type="dxa" w:w="2900"/>
            <w:tcMar>
              <w:top w:w="80" w:type="dxa"/>
              <w:start w:w="120" w:type="dxa"/>
              <w:bottom w:w="80" w:type="dxa"/>
              <w:end w:w="120" w:type="dxa"/>
            </w:tcMar>
            <w:vAlign w:val="center"/>
          </w:tcPr>
          <w:p>
            <w:pPr>
              <w:spacing w:after="0" w:line="264" w:lineRule="auto"/>
            </w:pPr>
            <w:r>
              <w:rPr>
                <w:rFonts w:ascii="Calibri" w:hAnsi="Calibri"/>
                <w:color w:val="183331"/>
                <w:sz w:val="17"/>
              </w:rPr>
              <w:t>−2,880 urgent; −720 priority</w:t>
            </w:r>
          </w:p>
        </w:tc>
        <w:tc>
          <w:tcPr>
            <w:tcW w:type="dxa" w:w="4360"/>
            <w:tcMar>
              <w:top w:w="80" w:type="dxa"/>
              <w:start w:w="120" w:type="dxa"/>
              <w:bottom w:w="80" w:type="dxa"/>
              <w:end w:w="120" w:type="dxa"/>
            </w:tcMar>
            <w:vAlign w:val="center"/>
          </w:tcPr>
          <w:p>
            <w:pPr>
              <w:spacing w:after="0" w:line="264" w:lineRule="auto"/>
            </w:pPr>
            <w:r>
              <w:rPr>
                <w:rFonts w:ascii="Calibri" w:hAnsi="Calibri"/>
                <w:color w:val="183331"/>
                <w:sz w:val="17"/>
              </w:rPr>
              <w:t>Priority policy advantage</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7"/>
              </w:rPr>
              <w:t>Procedure preference</w:t>
            </w:r>
          </w:p>
        </w:tc>
        <w:tc>
          <w:tcPr>
            <w:tcW w:type="dxa" w:w="2900"/>
            <w:tcMar>
              <w:top w:w="80" w:type="dxa"/>
              <w:start w:w="120" w:type="dxa"/>
              <w:bottom w:w="80" w:type="dxa"/>
              <w:end w:w="120" w:type="dxa"/>
            </w:tcMar>
            <w:vAlign w:val="center"/>
          </w:tcPr>
          <w:p>
            <w:pPr>
              <w:spacing w:after="0" w:line="264" w:lineRule="auto"/>
            </w:pPr>
            <w:r>
              <w:rPr>
                <w:rFonts w:ascii="Calibri" w:hAnsi="Calibri"/>
                <w:color w:val="183331"/>
                <w:sz w:val="17"/>
              </w:rPr>
              <w:t>−10 per preference point</w:t>
            </w:r>
          </w:p>
        </w:tc>
        <w:tc>
          <w:tcPr>
            <w:tcW w:type="dxa" w:w="4360"/>
            <w:tcMar>
              <w:top w:w="80" w:type="dxa"/>
              <w:start w:w="120" w:type="dxa"/>
              <w:bottom w:w="80" w:type="dxa"/>
              <w:end w:w="120" w:type="dxa"/>
            </w:tcMar>
            <w:vAlign w:val="center"/>
          </w:tcPr>
          <w:p>
            <w:pPr>
              <w:spacing w:after="0" w:line="264" w:lineRule="auto"/>
            </w:pPr>
            <w:r>
              <w:rPr>
                <w:rFonts w:ascii="Calibri" w:hAnsi="Calibri"/>
                <w:color w:val="183331"/>
                <w:sz w:val="17"/>
              </w:rPr>
              <w:t>Use clinician-configured dentist preference</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7"/>
              </w:rPr>
              <w:t>Production gap</w:t>
            </w:r>
          </w:p>
        </w:tc>
        <w:tc>
          <w:tcPr>
            <w:tcW w:type="dxa" w:w="2900"/>
            <w:tcMar>
              <w:top w:w="80" w:type="dxa"/>
              <w:start w:w="120" w:type="dxa"/>
              <w:bottom w:w="80" w:type="dxa"/>
              <w:end w:w="120" w:type="dxa"/>
            </w:tcMar>
            <w:vAlign w:val="center"/>
          </w:tcPr>
          <w:p>
            <w:pPr>
              <w:spacing w:after="0" w:line="264" w:lineRule="auto"/>
            </w:pPr>
            <w:r>
              <w:rPr>
                <w:rFonts w:ascii="Calibri" w:hAnsi="Calibri"/>
                <w:color w:val="183331"/>
                <w:sz w:val="17"/>
              </w:rPr>
              <w:t>Up to −1,000</w:t>
            </w:r>
          </w:p>
        </w:tc>
        <w:tc>
          <w:tcPr>
            <w:tcW w:type="dxa" w:w="4360"/>
            <w:tcMar>
              <w:top w:w="80" w:type="dxa"/>
              <w:start w:w="120" w:type="dxa"/>
              <w:bottom w:w="80" w:type="dxa"/>
              <w:end w:w="120" w:type="dxa"/>
            </w:tcMar>
            <w:vAlign w:val="center"/>
          </w:tcPr>
          <w:p>
            <w:pPr>
              <w:spacing w:after="0" w:line="264" w:lineRule="auto"/>
            </w:pPr>
            <w:r>
              <w:rPr>
                <w:rFonts w:ascii="Calibri" w:hAnsi="Calibri"/>
                <w:color w:val="183331"/>
                <w:sz w:val="17"/>
              </w:rPr>
              <w:t>Support approved target gap</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7"/>
              </w:rPr>
              <w:t>Daily dentist load</w:t>
            </w:r>
          </w:p>
        </w:tc>
        <w:tc>
          <w:tcPr>
            <w:tcW w:type="dxa" w:w="2900"/>
            <w:tcMar>
              <w:top w:w="80" w:type="dxa"/>
              <w:start w:w="120" w:type="dxa"/>
              <w:bottom w:w="80" w:type="dxa"/>
              <w:end w:w="120" w:type="dxa"/>
            </w:tcMar>
            <w:vAlign w:val="center"/>
          </w:tcPr>
          <w:p>
            <w:pPr>
              <w:spacing w:after="0" w:line="264" w:lineRule="auto"/>
            </w:pPr>
            <w:r>
              <w:rPr>
                <w:rFonts w:ascii="Calibri" w:hAnsi="Calibri"/>
                <w:color w:val="183331"/>
                <w:sz w:val="17"/>
              </w:rPr>
              <w:t>+2 per already booked minute</w:t>
            </w:r>
          </w:p>
        </w:tc>
        <w:tc>
          <w:tcPr>
            <w:tcW w:type="dxa" w:w="4360"/>
            <w:tcMar>
              <w:top w:w="80" w:type="dxa"/>
              <w:start w:w="120" w:type="dxa"/>
              <w:bottom w:w="80" w:type="dxa"/>
              <w:end w:w="120" w:type="dxa"/>
            </w:tcMar>
            <w:vAlign w:val="center"/>
          </w:tcPr>
          <w:p>
            <w:pPr>
              <w:spacing w:after="0" w:line="264" w:lineRule="auto"/>
            </w:pPr>
            <w:r>
              <w:rPr>
                <w:rFonts w:ascii="Calibri" w:hAnsi="Calibri"/>
                <w:color w:val="183331"/>
                <w:sz w:val="17"/>
              </w:rPr>
              <w:t>Balance the day</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7"/>
              </w:rPr>
              <w:t>Overall dentist load</w:t>
            </w:r>
          </w:p>
        </w:tc>
        <w:tc>
          <w:tcPr>
            <w:tcW w:type="dxa" w:w="2900"/>
            <w:tcMar>
              <w:top w:w="80" w:type="dxa"/>
              <w:start w:w="120" w:type="dxa"/>
              <w:bottom w:w="80" w:type="dxa"/>
              <w:end w:w="120" w:type="dxa"/>
            </w:tcMar>
            <w:vAlign w:val="center"/>
          </w:tcPr>
          <w:p>
            <w:pPr>
              <w:spacing w:after="0" w:line="264" w:lineRule="auto"/>
            </w:pPr>
            <w:r>
              <w:rPr>
                <w:rFonts w:ascii="Calibri" w:hAnsi="Calibri"/>
                <w:color w:val="183331"/>
                <w:sz w:val="17"/>
              </w:rPr>
              <w:t>+0.25 per booked minute</w:t>
            </w:r>
          </w:p>
        </w:tc>
        <w:tc>
          <w:tcPr>
            <w:tcW w:type="dxa" w:w="4360"/>
            <w:tcMar>
              <w:top w:w="80" w:type="dxa"/>
              <w:start w:w="120" w:type="dxa"/>
              <w:bottom w:w="80" w:type="dxa"/>
              <w:end w:w="120" w:type="dxa"/>
            </w:tcMar>
            <w:vAlign w:val="center"/>
          </w:tcPr>
          <w:p>
            <w:pPr>
              <w:spacing w:after="0" w:line="264" w:lineRule="auto"/>
            </w:pPr>
            <w:r>
              <w:rPr>
                <w:rFonts w:ascii="Calibri" w:hAnsi="Calibri"/>
                <w:color w:val="183331"/>
                <w:sz w:val="17"/>
              </w:rPr>
              <w:t>Balance across the searched snapshot</w:t>
            </w:r>
          </w:p>
        </w:tc>
      </w:tr>
    </w:tbl>
    <w:p>
      <w:pPr>
        <w:spacing w:after="60"/>
      </w:pPr>
    </w:p>
    <w:p>
      <w:pPr>
        <w:keepLines w:val="0"/>
        <w:spacing w:before="0" w:after="120" w:line="300" w:lineRule="auto"/>
      </w:pPr>
      <w:r>
        <w:rPr>
          <w:rFonts w:ascii="Calibri" w:hAnsi="Calibri"/>
          <w:i/>
          <w:color w:val="667875"/>
        </w:rPr>
        <w:t>Tie-breaking is deterministic: score, UTC start, dentist ID, then room ID. The current production-gap adapter calculates the gap using the first effective search date; a future enhancement could calculate a date-specific gap for every candidate day.</w:t>
      </w:r>
    </w:p>
    <w:p>
      <w:pPr>
        <w:pStyle w:val="Heading2"/>
        <w:keepNext/>
      </w:pPr>
      <w:r>
        <w:rPr>
          <w:rFonts w:ascii="Calibri" w:hAnsi="Calibri"/>
          <w:b/>
          <w:color w:val="286D65"/>
        </w:rPr>
        <w:t>5.7 Transactional Recheck</w:t>
      </w:r>
    </w:p>
    <w:p>
      <w:pPr>
        <w:keepLines w:val="0"/>
        <w:spacing w:before="0" w:after="120" w:line="300" w:lineRule="auto"/>
      </w:pPr>
      <w:r>
        <w:rPr>
          <w:rFonts w:ascii="Calibri" w:hAnsi="Calibri"/>
          <w:i w:val="0"/>
          <w:color w:val="183331"/>
        </w:rPr>
        <w:t>Recommendations expire after 15 minutes and are advisory. Confirmation inserts the appointment and exact resource plan in one database transaction. PostgreSQL exclusion constraints and triggers reject stale or concurrent conflicts. The database also serializes dentist-capacity checks with an advisory transaction lock and independently validates equipment unit numbers. A rejected confirmation returns a conflict and requires a new search.</w:t>
      </w:r>
    </w:p>
    <w:p>
      <w:pPr>
        <w:pStyle w:val="Heading1"/>
        <w:keepNext/>
      </w:pPr>
      <w:r>
        <w:rPr>
          <w:rFonts w:ascii="Calibri" w:hAnsi="Calibri"/>
          <w:b/>
          <w:color w:val="286D65"/>
        </w:rPr>
        <w:t>6. Reference Practice Configuration</w:t>
      </w:r>
    </w:p>
    <w:p>
      <w:pPr>
        <w:spacing w:before="60" w:after="160" w:line="288" w:lineRule="auto"/>
        <w:ind w:left="173" w:right="173"/>
        <w:shd w:fill="FFF7E8"/>
        <w:pBdr>
          <w:left w:val="single" w:sz="18" w:space="6" w:color="B9863B"/>
        </w:pBdr>
      </w:pPr>
      <w:r>
        <w:rPr>
          <w:rFonts w:ascii="Calibri" w:hAnsi="Calibri"/>
          <w:b/>
          <w:color w:val="B9863B"/>
        </w:rPr>
        <w:t xml:space="preserve">Configuration status: </w:t>
      </w:r>
      <w:r>
        <w:rPr>
          <w:rFonts w:ascii="Calibri" w:hAnsi="Calibri"/>
          <w:color w:val="183331"/>
        </w:rPr>
        <w:t>The values below are seeded reference assumptions used to make the application runnable and testable. They are not confirmed clinical or financial policy and must be reviewed by the practice.</w:t>
      </w:r>
    </w:p>
    <w:p>
      <w:pPr>
        <w:pStyle w:val="Heading2"/>
        <w:keepNext/>
      </w:pPr>
      <w:r>
        <w:rPr>
          <w:rFonts w:ascii="Calibri" w:hAnsi="Calibri"/>
          <w:b/>
          <w:color w:val="286D65"/>
        </w:rPr>
        <w:t>6.1 Reference Team and Rooms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73F3D"/>
            <w:tcMar>
              <w:top w:w="80" w:type="dxa"/>
              <w:start w:w="120" w:type="dxa"/>
              <w:bottom w:w="80" w:type="dxa"/>
              <w:end w:w="120" w:type="dxa"/>
            </w:tcMar>
            <w:vAlign w:val="center"/>
          </w:tcPr>
          <w:p>
            <w:pPr>
              <w:spacing w:after="0"/>
              <w:jc w:val="center"/>
            </w:pPr>
            <w:r>
              <w:rPr>
                <w:rFonts w:ascii="Calibri" w:hAnsi="Calibri"/>
                <w:b/>
                <w:color w:val="FFFFFF"/>
                <w:sz w:val="19"/>
              </w:rPr>
              <w:t>Resource</w:t>
            </w:r>
          </w:p>
        </w:tc>
        <w:tc>
          <w:tcPr>
            <w:tcW w:type="dxa" w:w="7160"/>
            <w:shd w:fill="173F3D"/>
            <w:tcMar>
              <w:top w:w="80" w:type="dxa"/>
              <w:start w:w="120" w:type="dxa"/>
              <w:bottom w:w="80" w:type="dxa"/>
              <w:end w:w="120" w:type="dxa"/>
            </w:tcMar>
            <w:vAlign w:val="center"/>
          </w:tcPr>
          <w:p>
            <w:pPr>
              <w:spacing w:after="0"/>
              <w:jc w:val="left"/>
            </w:pPr>
            <w:r>
              <w:rPr>
                <w:rFonts w:ascii="Calibri" w:hAnsi="Calibri"/>
                <w:b/>
                <w:color w:val="FFFFFF"/>
                <w:sz w:val="19"/>
              </w:rPr>
              <w:t>Reference configuration</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9"/>
              </w:rPr>
              <w:t>Dentists</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9"/>
              </w:rPr>
              <w:t>3 general dentists; all seeded as qualified for every active procedure</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9"/>
              </w:rPr>
              <w:t>Hygienists</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9"/>
              </w:rPr>
              <w:t>5 support providers</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9"/>
              </w:rPr>
              <w:t>Assistants</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9"/>
              </w:rPr>
              <w:t>4 support providers</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9"/>
              </w:rPr>
              <w:t>Rooms</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9"/>
              </w:rPr>
              <w:t>8 shared rooms: five hygiene-labeled, two exam, one flexible surgical suite</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9"/>
              </w:rPr>
              <w:t>Hours</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9"/>
              </w:rPr>
              <w:t>Weekdays 08:00–17:00; dated overrides and leave can replace or subtract time</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9"/>
              </w:rPr>
              <w:t>Dentist supervision</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9"/>
              </w:rPr>
              <w:t>Default maximum 3 simultaneous active patient visits per dentist</w:t>
            </w:r>
          </w:p>
        </w:tc>
      </w:tr>
    </w:tbl>
    <w:p>
      <w:pPr>
        <w:spacing w:after="60"/>
      </w:pPr>
    </w:p>
    <w:p>
      <w:pPr>
        <w:pStyle w:val="Heading2"/>
        <w:keepNext/>
      </w:pPr>
      <w:r>
        <w:rPr>
          <w:rFonts w:ascii="Calibri" w:hAnsi="Calibri"/>
          <w:b/>
          <w:color w:val="286D65"/>
        </w:rPr>
        <w:t>6.2 Reference Procedure Policies</w:t>
      </w:r>
    </w:p>
    <w:tbl>
      <w:tblPr>
        <w:tblStyle w:val="TableGrid"/>
        <w:tblW w:type="dxa" w:w="9360"/>
        <w:jc w:val="left"/>
        <w:tblLayout w:type="fixed"/>
        <w:tblLook w:firstColumn="1" w:firstRow="1" w:lastColumn="0" w:lastRow="0" w:noHBand="0" w:noVBand="1" w:val="04A0"/>
        <w:tblInd w:w="120" w:type="dxa"/>
      </w:tblPr>
      <w:tblGrid>
        <w:gridCol w:w="1400"/>
        <w:gridCol w:w="3500"/>
        <w:gridCol w:w="2200"/>
        <w:gridCol w:w="2260"/>
      </w:tblGrid>
      <w:tr>
        <w:trPr>
          <w:tblHeader w:val="true"/>
        </w:trPr>
        <w:tc>
          <w:tcPr>
            <w:tcW w:type="dxa" w:w="1400"/>
            <w:shd w:fill="173F3D"/>
            <w:tcMar>
              <w:top w:w="80" w:type="dxa"/>
              <w:start w:w="120" w:type="dxa"/>
              <w:bottom w:w="80" w:type="dxa"/>
              <w:end w:w="120" w:type="dxa"/>
            </w:tcMar>
            <w:vAlign w:val="center"/>
          </w:tcPr>
          <w:p>
            <w:pPr>
              <w:spacing w:after="0"/>
              <w:jc w:val="center"/>
            </w:pPr>
            <w:r>
              <w:rPr>
                <w:rFonts w:ascii="Calibri" w:hAnsi="Calibri"/>
                <w:b/>
                <w:color w:val="FFFFFF"/>
                <w:sz w:val="18"/>
              </w:rPr>
              <w:t>Code</w:t>
            </w:r>
          </w:p>
        </w:tc>
        <w:tc>
          <w:tcPr>
            <w:tcW w:type="dxa" w:w="3500"/>
            <w:shd w:fill="173F3D"/>
            <w:tcMar>
              <w:top w:w="80" w:type="dxa"/>
              <w:start w:w="120" w:type="dxa"/>
              <w:bottom w:w="80" w:type="dxa"/>
              <w:end w:w="120" w:type="dxa"/>
            </w:tcMar>
            <w:vAlign w:val="center"/>
          </w:tcPr>
          <w:p>
            <w:pPr>
              <w:spacing w:after="0"/>
              <w:jc w:val="center"/>
            </w:pPr>
            <w:r>
              <w:rPr>
                <w:rFonts w:ascii="Calibri" w:hAnsi="Calibri"/>
                <w:b/>
                <w:color w:val="FFFFFF"/>
                <w:sz w:val="18"/>
              </w:rPr>
              <w:t>Procedure</w:t>
            </w:r>
          </w:p>
        </w:tc>
        <w:tc>
          <w:tcPr>
            <w:tcW w:type="dxa" w:w="2200"/>
            <w:shd w:fill="173F3D"/>
            <w:tcMar>
              <w:top w:w="80" w:type="dxa"/>
              <w:start w:w="120" w:type="dxa"/>
              <w:bottom w:w="80" w:type="dxa"/>
              <w:end w:w="120" w:type="dxa"/>
            </w:tcMar>
            <w:vAlign w:val="center"/>
          </w:tcPr>
          <w:p>
            <w:pPr>
              <w:spacing w:after="0"/>
              <w:jc w:val="left"/>
            </w:pPr>
            <w:r>
              <w:rPr>
                <w:rFonts w:ascii="Calibri" w:hAnsi="Calibri"/>
                <w:b/>
                <w:color w:val="FFFFFF"/>
                <w:sz w:val="18"/>
              </w:rPr>
              <w:t>Standard phase total</w:t>
            </w:r>
          </w:p>
        </w:tc>
        <w:tc>
          <w:tcPr>
            <w:tcW w:type="dxa" w:w="2260"/>
            <w:shd w:fill="173F3D"/>
            <w:tcMar>
              <w:top w:w="80" w:type="dxa"/>
              <w:start w:w="120" w:type="dxa"/>
              <w:bottom w:w="80" w:type="dxa"/>
              <w:end w:w="120" w:type="dxa"/>
            </w:tcMar>
            <w:vAlign w:val="center"/>
          </w:tcPr>
          <w:p>
            <w:pPr>
              <w:spacing w:after="0"/>
              <w:jc w:val="left"/>
            </w:pPr>
            <w:r>
              <w:rPr>
                <w:rFonts w:ascii="Calibri" w:hAnsi="Calibri"/>
                <w:b/>
                <w:color w:val="FFFFFF"/>
                <w:sz w:val="18"/>
              </w:rPr>
              <w:t>Reference production</w:t>
            </w:r>
          </w:p>
        </w:tc>
      </w:tr>
      <w:tr>
        <w:tc>
          <w:tcPr>
            <w:tcW w:type="dxa" w:w="1400"/>
            <w:tcMar>
              <w:top w:w="80" w:type="dxa"/>
              <w:start w:w="120" w:type="dxa"/>
              <w:bottom w:w="80" w:type="dxa"/>
              <w:end w:w="120" w:type="dxa"/>
            </w:tcMar>
            <w:vAlign w:val="center"/>
          </w:tcPr>
          <w:p>
            <w:pPr>
              <w:spacing w:after="0" w:line="264" w:lineRule="auto"/>
            </w:pPr>
            <w:r>
              <w:rPr>
                <w:rFonts w:ascii="Calibri" w:hAnsi="Calibri"/>
                <w:color w:val="183331"/>
                <w:sz w:val="17"/>
              </w:rPr>
              <w:t>exam</w:t>
            </w:r>
          </w:p>
        </w:tc>
        <w:tc>
          <w:tcPr>
            <w:tcW w:type="dxa" w:w="3500"/>
            <w:tcMar>
              <w:top w:w="80" w:type="dxa"/>
              <w:start w:w="120" w:type="dxa"/>
              <w:bottom w:w="80" w:type="dxa"/>
              <w:end w:w="120" w:type="dxa"/>
            </w:tcMar>
            <w:vAlign w:val="center"/>
          </w:tcPr>
          <w:p>
            <w:pPr>
              <w:spacing w:after="0" w:line="264" w:lineRule="auto"/>
            </w:pPr>
            <w:r>
              <w:rPr>
                <w:rFonts w:ascii="Calibri" w:hAnsi="Calibri"/>
                <w:color w:val="183331"/>
                <w:sz w:val="17"/>
              </w:rPr>
              <w:t>Comprehensive exam</w:t>
            </w:r>
          </w:p>
        </w:tc>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40 min</w:t>
            </w:r>
          </w:p>
        </w:tc>
        <w:tc>
          <w:tcPr>
            <w:tcW w:type="dxa" w:w="2260"/>
            <w:tcMar>
              <w:top w:w="80" w:type="dxa"/>
              <w:start w:w="120" w:type="dxa"/>
              <w:bottom w:w="80" w:type="dxa"/>
              <w:end w:w="120" w:type="dxa"/>
            </w:tcMar>
            <w:vAlign w:val="center"/>
          </w:tcPr>
          <w:p>
            <w:pPr>
              <w:spacing w:after="0" w:line="264" w:lineRule="auto"/>
            </w:pPr>
            <w:r>
              <w:rPr>
                <w:rFonts w:ascii="Calibri" w:hAnsi="Calibri"/>
                <w:color w:val="183331"/>
                <w:sz w:val="17"/>
              </w:rPr>
              <w:t>$125</w:t>
            </w:r>
          </w:p>
        </w:tc>
      </w:tr>
      <w:tr>
        <w:tc>
          <w:tcPr>
            <w:tcW w:type="dxa" w:w="1400"/>
            <w:tcMar>
              <w:top w:w="80" w:type="dxa"/>
              <w:start w:w="120" w:type="dxa"/>
              <w:bottom w:w="80" w:type="dxa"/>
              <w:end w:w="120" w:type="dxa"/>
            </w:tcMar>
            <w:vAlign w:val="center"/>
          </w:tcPr>
          <w:p>
            <w:pPr>
              <w:spacing w:after="0" w:line="264" w:lineRule="auto"/>
            </w:pPr>
            <w:r>
              <w:rPr>
                <w:rFonts w:ascii="Calibri" w:hAnsi="Calibri"/>
                <w:color w:val="183331"/>
                <w:sz w:val="17"/>
              </w:rPr>
              <w:t>cleaning</w:t>
            </w:r>
          </w:p>
        </w:tc>
        <w:tc>
          <w:tcPr>
            <w:tcW w:type="dxa" w:w="3500"/>
            <w:tcMar>
              <w:top w:w="80" w:type="dxa"/>
              <w:start w:w="120" w:type="dxa"/>
              <w:bottom w:w="80" w:type="dxa"/>
              <w:end w:w="120" w:type="dxa"/>
            </w:tcMar>
            <w:vAlign w:val="center"/>
          </w:tcPr>
          <w:p>
            <w:pPr>
              <w:spacing w:after="0" w:line="264" w:lineRule="auto"/>
            </w:pPr>
            <w:r>
              <w:rPr>
                <w:rFonts w:ascii="Calibri" w:hAnsi="Calibri"/>
                <w:color w:val="183331"/>
                <w:sz w:val="17"/>
              </w:rPr>
              <w:t>Dental cleaning</w:t>
            </w:r>
          </w:p>
        </w:tc>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60 min</w:t>
            </w:r>
          </w:p>
        </w:tc>
        <w:tc>
          <w:tcPr>
            <w:tcW w:type="dxa" w:w="2260"/>
            <w:tcMar>
              <w:top w:w="80" w:type="dxa"/>
              <w:start w:w="120" w:type="dxa"/>
              <w:bottom w:w="80" w:type="dxa"/>
              <w:end w:w="120" w:type="dxa"/>
            </w:tcMar>
            <w:vAlign w:val="center"/>
          </w:tcPr>
          <w:p>
            <w:pPr>
              <w:spacing w:after="0" w:line="264" w:lineRule="auto"/>
            </w:pPr>
            <w:r>
              <w:rPr>
                <w:rFonts w:ascii="Calibri" w:hAnsi="Calibri"/>
                <w:color w:val="183331"/>
                <w:sz w:val="17"/>
              </w:rPr>
              <w:t>$175</w:t>
            </w:r>
          </w:p>
        </w:tc>
      </w:tr>
      <w:tr>
        <w:tc>
          <w:tcPr>
            <w:tcW w:type="dxa" w:w="1400"/>
            <w:tcMar>
              <w:top w:w="80" w:type="dxa"/>
              <w:start w:w="120" w:type="dxa"/>
              <w:bottom w:w="80" w:type="dxa"/>
              <w:end w:w="120" w:type="dxa"/>
            </w:tcMar>
            <w:vAlign w:val="center"/>
          </w:tcPr>
          <w:p>
            <w:pPr>
              <w:spacing w:after="0" w:line="264" w:lineRule="auto"/>
            </w:pPr>
            <w:r>
              <w:rPr>
                <w:rFonts w:ascii="Calibri" w:hAnsi="Calibri"/>
                <w:color w:val="183331"/>
                <w:sz w:val="17"/>
              </w:rPr>
              <w:t>filling</w:t>
            </w:r>
          </w:p>
        </w:tc>
        <w:tc>
          <w:tcPr>
            <w:tcW w:type="dxa" w:w="3500"/>
            <w:tcMar>
              <w:top w:w="80" w:type="dxa"/>
              <w:start w:w="120" w:type="dxa"/>
              <w:bottom w:w="80" w:type="dxa"/>
              <w:end w:w="120" w:type="dxa"/>
            </w:tcMar>
            <w:vAlign w:val="center"/>
          </w:tcPr>
          <w:p>
            <w:pPr>
              <w:spacing w:after="0" w:line="264" w:lineRule="auto"/>
            </w:pPr>
            <w:r>
              <w:rPr>
                <w:rFonts w:ascii="Calibri" w:hAnsi="Calibri"/>
                <w:color w:val="183331"/>
                <w:sz w:val="17"/>
              </w:rPr>
              <w:t>Composite filling</w:t>
            </w:r>
          </w:p>
        </w:tc>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80 min</w:t>
            </w:r>
          </w:p>
        </w:tc>
        <w:tc>
          <w:tcPr>
            <w:tcW w:type="dxa" w:w="2260"/>
            <w:tcMar>
              <w:top w:w="80" w:type="dxa"/>
              <w:start w:w="120" w:type="dxa"/>
              <w:bottom w:w="80" w:type="dxa"/>
              <w:end w:w="120" w:type="dxa"/>
            </w:tcMar>
            <w:vAlign w:val="center"/>
          </w:tcPr>
          <w:p>
            <w:pPr>
              <w:spacing w:after="0" w:line="264" w:lineRule="auto"/>
            </w:pPr>
            <w:r>
              <w:rPr>
                <w:rFonts w:ascii="Calibri" w:hAnsi="Calibri"/>
                <w:color w:val="183331"/>
                <w:sz w:val="17"/>
              </w:rPr>
              <w:t>$325</w:t>
            </w:r>
          </w:p>
        </w:tc>
      </w:tr>
      <w:tr>
        <w:tc>
          <w:tcPr>
            <w:tcW w:type="dxa" w:w="1400"/>
            <w:tcMar>
              <w:top w:w="80" w:type="dxa"/>
              <w:start w:w="120" w:type="dxa"/>
              <w:bottom w:w="80" w:type="dxa"/>
              <w:end w:w="120" w:type="dxa"/>
            </w:tcMar>
            <w:vAlign w:val="center"/>
          </w:tcPr>
          <w:p>
            <w:pPr>
              <w:spacing w:after="0" w:line="264" w:lineRule="auto"/>
            </w:pPr>
            <w:r>
              <w:rPr>
                <w:rFonts w:ascii="Calibri" w:hAnsi="Calibri"/>
                <w:color w:val="183331"/>
                <w:sz w:val="17"/>
              </w:rPr>
              <w:t>crown</w:t>
            </w:r>
          </w:p>
        </w:tc>
        <w:tc>
          <w:tcPr>
            <w:tcW w:type="dxa" w:w="3500"/>
            <w:tcMar>
              <w:top w:w="80" w:type="dxa"/>
              <w:start w:w="120" w:type="dxa"/>
              <w:bottom w:w="80" w:type="dxa"/>
              <w:end w:w="120" w:type="dxa"/>
            </w:tcMar>
            <w:vAlign w:val="center"/>
          </w:tcPr>
          <w:p>
            <w:pPr>
              <w:spacing w:after="0" w:line="264" w:lineRule="auto"/>
            </w:pPr>
            <w:r>
              <w:rPr>
                <w:rFonts w:ascii="Calibri" w:hAnsi="Calibri"/>
                <w:color w:val="183331"/>
                <w:sz w:val="17"/>
              </w:rPr>
              <w:t>Crown preparation</w:t>
            </w:r>
          </w:p>
        </w:tc>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115 min</w:t>
            </w:r>
          </w:p>
        </w:tc>
        <w:tc>
          <w:tcPr>
            <w:tcW w:type="dxa" w:w="2260"/>
            <w:tcMar>
              <w:top w:w="80" w:type="dxa"/>
              <w:start w:w="120" w:type="dxa"/>
              <w:bottom w:w="80" w:type="dxa"/>
              <w:end w:w="120" w:type="dxa"/>
            </w:tcMar>
            <w:vAlign w:val="center"/>
          </w:tcPr>
          <w:p>
            <w:pPr>
              <w:spacing w:after="0" w:line="264" w:lineRule="auto"/>
            </w:pPr>
            <w:r>
              <w:rPr>
                <w:rFonts w:ascii="Calibri" w:hAnsi="Calibri"/>
                <w:color w:val="183331"/>
                <w:sz w:val="17"/>
              </w:rPr>
              <w:t>$1,350</w:t>
            </w:r>
          </w:p>
        </w:tc>
      </w:tr>
      <w:tr>
        <w:tc>
          <w:tcPr>
            <w:tcW w:type="dxa" w:w="1400"/>
            <w:tcMar>
              <w:top w:w="80" w:type="dxa"/>
              <w:start w:w="120" w:type="dxa"/>
              <w:bottom w:w="80" w:type="dxa"/>
              <w:end w:w="120" w:type="dxa"/>
            </w:tcMar>
            <w:vAlign w:val="center"/>
          </w:tcPr>
          <w:p>
            <w:pPr>
              <w:spacing w:after="0" w:line="264" w:lineRule="auto"/>
            </w:pPr>
            <w:r>
              <w:rPr>
                <w:rFonts w:ascii="Calibri" w:hAnsi="Calibri"/>
                <w:color w:val="183331"/>
                <w:sz w:val="17"/>
              </w:rPr>
              <w:t>crown-seat</w:t>
            </w:r>
          </w:p>
        </w:tc>
        <w:tc>
          <w:tcPr>
            <w:tcW w:type="dxa" w:w="3500"/>
            <w:tcMar>
              <w:top w:w="80" w:type="dxa"/>
              <w:start w:w="120" w:type="dxa"/>
              <w:bottom w:w="80" w:type="dxa"/>
              <w:end w:w="120" w:type="dxa"/>
            </w:tcMar>
            <w:vAlign w:val="center"/>
          </w:tcPr>
          <w:p>
            <w:pPr>
              <w:spacing w:after="0" w:line="264" w:lineRule="auto"/>
            </w:pPr>
            <w:r>
              <w:rPr>
                <w:rFonts w:ascii="Calibri" w:hAnsi="Calibri"/>
                <w:color w:val="183331"/>
                <w:sz w:val="17"/>
              </w:rPr>
              <w:t>Crown seating / lab return</w:t>
            </w:r>
          </w:p>
        </w:tc>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40 min</w:t>
            </w:r>
          </w:p>
        </w:tc>
        <w:tc>
          <w:tcPr>
            <w:tcW w:type="dxa" w:w="2260"/>
            <w:tcMar>
              <w:top w:w="80" w:type="dxa"/>
              <w:start w:w="120" w:type="dxa"/>
              <w:bottom w:w="80" w:type="dxa"/>
              <w:end w:w="120" w:type="dxa"/>
            </w:tcMar>
            <w:vAlign w:val="center"/>
          </w:tcPr>
          <w:p>
            <w:pPr>
              <w:spacing w:after="0" w:line="264" w:lineRule="auto"/>
            </w:pPr>
            <w:r>
              <w:rPr>
                <w:rFonts w:ascii="Calibri" w:hAnsi="Calibri"/>
                <w:color w:val="183331"/>
                <w:sz w:val="17"/>
              </w:rPr>
              <w:t>$0</w:t>
            </w:r>
          </w:p>
        </w:tc>
      </w:tr>
      <w:tr>
        <w:tc>
          <w:tcPr>
            <w:tcW w:type="dxa" w:w="1400"/>
            <w:tcMar>
              <w:top w:w="80" w:type="dxa"/>
              <w:start w:w="120" w:type="dxa"/>
              <w:bottom w:w="80" w:type="dxa"/>
              <w:end w:w="120" w:type="dxa"/>
            </w:tcMar>
            <w:vAlign w:val="center"/>
          </w:tcPr>
          <w:p>
            <w:pPr>
              <w:spacing w:after="0" w:line="264" w:lineRule="auto"/>
            </w:pPr>
            <w:r>
              <w:rPr>
                <w:rFonts w:ascii="Calibri" w:hAnsi="Calibri"/>
                <w:color w:val="183331"/>
                <w:sz w:val="17"/>
              </w:rPr>
              <w:t>root-canal</w:t>
            </w:r>
          </w:p>
        </w:tc>
        <w:tc>
          <w:tcPr>
            <w:tcW w:type="dxa" w:w="3500"/>
            <w:tcMar>
              <w:top w:w="80" w:type="dxa"/>
              <w:start w:w="120" w:type="dxa"/>
              <w:bottom w:w="80" w:type="dxa"/>
              <w:end w:w="120" w:type="dxa"/>
            </w:tcMar>
            <w:vAlign w:val="center"/>
          </w:tcPr>
          <w:p>
            <w:pPr>
              <w:spacing w:after="0" w:line="264" w:lineRule="auto"/>
            </w:pPr>
            <w:r>
              <w:rPr>
                <w:rFonts w:ascii="Calibri" w:hAnsi="Calibri"/>
                <w:color w:val="183331"/>
                <w:sz w:val="17"/>
              </w:rPr>
              <w:t>Root canal treatment</w:t>
            </w:r>
          </w:p>
        </w:tc>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115 min</w:t>
            </w:r>
          </w:p>
        </w:tc>
        <w:tc>
          <w:tcPr>
            <w:tcW w:type="dxa" w:w="2260"/>
            <w:tcMar>
              <w:top w:w="80" w:type="dxa"/>
              <w:start w:w="120" w:type="dxa"/>
              <w:bottom w:w="80" w:type="dxa"/>
              <w:end w:w="120" w:type="dxa"/>
            </w:tcMar>
            <w:vAlign w:val="center"/>
          </w:tcPr>
          <w:p>
            <w:pPr>
              <w:spacing w:after="0" w:line="264" w:lineRule="auto"/>
            </w:pPr>
            <w:r>
              <w:rPr>
                <w:rFonts w:ascii="Calibri" w:hAnsi="Calibri"/>
                <w:color w:val="183331"/>
                <w:sz w:val="17"/>
              </w:rPr>
              <w:t>$1,550</w:t>
            </w:r>
          </w:p>
        </w:tc>
      </w:tr>
      <w:tr>
        <w:tc>
          <w:tcPr>
            <w:tcW w:type="dxa" w:w="1400"/>
            <w:tcMar>
              <w:top w:w="80" w:type="dxa"/>
              <w:start w:w="120" w:type="dxa"/>
              <w:bottom w:w="80" w:type="dxa"/>
              <w:end w:w="120" w:type="dxa"/>
            </w:tcMar>
            <w:vAlign w:val="center"/>
          </w:tcPr>
          <w:p>
            <w:pPr>
              <w:spacing w:after="0" w:line="264" w:lineRule="auto"/>
            </w:pPr>
            <w:r>
              <w:rPr>
                <w:rFonts w:ascii="Calibri" w:hAnsi="Calibri"/>
                <w:color w:val="183331"/>
                <w:sz w:val="17"/>
              </w:rPr>
              <w:t>extraction</w:t>
            </w:r>
          </w:p>
        </w:tc>
        <w:tc>
          <w:tcPr>
            <w:tcW w:type="dxa" w:w="3500"/>
            <w:tcMar>
              <w:top w:w="80" w:type="dxa"/>
              <w:start w:w="120" w:type="dxa"/>
              <w:bottom w:w="80" w:type="dxa"/>
              <w:end w:w="120" w:type="dxa"/>
            </w:tcMar>
            <w:vAlign w:val="center"/>
          </w:tcPr>
          <w:p>
            <w:pPr>
              <w:spacing w:after="0" w:line="264" w:lineRule="auto"/>
            </w:pPr>
            <w:r>
              <w:rPr>
                <w:rFonts w:ascii="Calibri" w:hAnsi="Calibri"/>
                <w:color w:val="183331"/>
                <w:sz w:val="17"/>
              </w:rPr>
              <w:t>Dental extraction</w:t>
            </w:r>
          </w:p>
        </w:tc>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90 min</w:t>
            </w:r>
          </w:p>
        </w:tc>
        <w:tc>
          <w:tcPr>
            <w:tcW w:type="dxa" w:w="2260"/>
            <w:tcMar>
              <w:top w:w="80" w:type="dxa"/>
              <w:start w:w="120" w:type="dxa"/>
              <w:bottom w:w="80" w:type="dxa"/>
              <w:end w:w="120" w:type="dxa"/>
            </w:tcMar>
            <w:vAlign w:val="center"/>
          </w:tcPr>
          <w:p>
            <w:pPr>
              <w:spacing w:after="0" w:line="264" w:lineRule="auto"/>
            </w:pPr>
            <w:r>
              <w:rPr>
                <w:rFonts w:ascii="Calibri" w:hAnsi="Calibri"/>
                <w:color w:val="183331"/>
                <w:sz w:val="17"/>
              </w:rPr>
              <w:t>$650</w:t>
            </w:r>
          </w:p>
        </w:tc>
      </w:tr>
      <w:tr>
        <w:tc>
          <w:tcPr>
            <w:tcW w:type="dxa" w:w="1400"/>
            <w:tcMar>
              <w:top w:w="80" w:type="dxa"/>
              <w:start w:w="120" w:type="dxa"/>
              <w:bottom w:w="80" w:type="dxa"/>
              <w:end w:w="120" w:type="dxa"/>
            </w:tcMar>
            <w:vAlign w:val="center"/>
          </w:tcPr>
          <w:p>
            <w:pPr>
              <w:spacing w:after="0" w:line="264" w:lineRule="auto"/>
            </w:pPr>
            <w:r>
              <w:rPr>
                <w:rFonts w:ascii="Calibri" w:hAnsi="Calibri"/>
                <w:color w:val="183331"/>
                <w:sz w:val="17"/>
              </w:rPr>
              <w:t>implant</w:t>
            </w:r>
          </w:p>
        </w:tc>
        <w:tc>
          <w:tcPr>
            <w:tcW w:type="dxa" w:w="3500"/>
            <w:tcMar>
              <w:top w:w="80" w:type="dxa"/>
              <w:start w:w="120" w:type="dxa"/>
              <w:bottom w:w="80" w:type="dxa"/>
              <w:end w:w="120" w:type="dxa"/>
            </w:tcMar>
            <w:vAlign w:val="center"/>
          </w:tcPr>
          <w:p>
            <w:pPr>
              <w:spacing w:after="0" w:line="264" w:lineRule="auto"/>
            </w:pPr>
            <w:r>
              <w:rPr>
                <w:rFonts w:ascii="Calibri" w:hAnsi="Calibri"/>
                <w:color w:val="183331"/>
                <w:sz w:val="17"/>
              </w:rPr>
              <w:t>Dental implant placement</w:t>
            </w:r>
          </w:p>
        </w:tc>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120 min</w:t>
            </w:r>
          </w:p>
        </w:tc>
        <w:tc>
          <w:tcPr>
            <w:tcW w:type="dxa" w:w="2260"/>
            <w:tcMar>
              <w:top w:w="80" w:type="dxa"/>
              <w:start w:w="120" w:type="dxa"/>
              <w:bottom w:w="80" w:type="dxa"/>
              <w:end w:w="120" w:type="dxa"/>
            </w:tcMar>
            <w:vAlign w:val="center"/>
          </w:tcPr>
          <w:p>
            <w:pPr>
              <w:spacing w:after="0" w:line="264" w:lineRule="auto"/>
            </w:pPr>
            <w:r>
              <w:rPr>
                <w:rFonts w:ascii="Calibri" w:hAnsi="Calibri"/>
                <w:color w:val="183331"/>
                <w:sz w:val="17"/>
              </w:rPr>
              <w:t>$2,750</w:t>
            </w:r>
          </w:p>
        </w:tc>
      </w:tr>
      <w:tr>
        <w:tc>
          <w:tcPr>
            <w:tcW w:type="dxa" w:w="1400"/>
            <w:tcMar>
              <w:top w:w="80" w:type="dxa"/>
              <w:start w:w="120" w:type="dxa"/>
              <w:bottom w:w="80" w:type="dxa"/>
              <w:end w:w="120" w:type="dxa"/>
            </w:tcMar>
            <w:vAlign w:val="center"/>
          </w:tcPr>
          <w:p>
            <w:pPr>
              <w:spacing w:after="0" w:line="264" w:lineRule="auto"/>
            </w:pPr>
            <w:r>
              <w:rPr>
                <w:rFonts w:ascii="Calibri" w:hAnsi="Calibri"/>
                <w:color w:val="183331"/>
                <w:sz w:val="17"/>
              </w:rPr>
              <w:t>emergency</w:t>
            </w:r>
          </w:p>
        </w:tc>
        <w:tc>
          <w:tcPr>
            <w:tcW w:type="dxa" w:w="3500"/>
            <w:tcMar>
              <w:top w:w="80" w:type="dxa"/>
              <w:start w:w="120" w:type="dxa"/>
              <w:bottom w:w="80" w:type="dxa"/>
              <w:end w:w="120" w:type="dxa"/>
            </w:tcMar>
            <w:vAlign w:val="center"/>
          </w:tcPr>
          <w:p>
            <w:pPr>
              <w:spacing w:after="0" w:line="264" w:lineRule="auto"/>
            </w:pPr>
            <w:r>
              <w:rPr>
                <w:rFonts w:ascii="Calibri" w:hAnsi="Calibri"/>
                <w:color w:val="183331"/>
                <w:sz w:val="17"/>
              </w:rPr>
              <w:t>Emergency evaluation</w:t>
            </w:r>
          </w:p>
        </w:tc>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60 min</w:t>
            </w:r>
          </w:p>
        </w:tc>
        <w:tc>
          <w:tcPr>
            <w:tcW w:type="dxa" w:w="2260"/>
            <w:tcMar>
              <w:top w:w="80" w:type="dxa"/>
              <w:start w:w="120" w:type="dxa"/>
              <w:bottom w:w="80" w:type="dxa"/>
              <w:end w:w="120" w:type="dxa"/>
            </w:tcMar>
            <w:vAlign w:val="center"/>
          </w:tcPr>
          <w:p>
            <w:pPr>
              <w:spacing w:after="0" w:line="264" w:lineRule="auto"/>
            </w:pPr>
            <w:r>
              <w:rPr>
                <w:rFonts w:ascii="Calibri" w:hAnsi="Calibri"/>
                <w:color w:val="183331"/>
                <w:sz w:val="17"/>
              </w:rPr>
              <w:t>$195</w:t>
            </w:r>
          </w:p>
        </w:tc>
      </w:tr>
    </w:tbl>
    <w:p>
      <w:pPr>
        <w:spacing w:after="60"/>
      </w:pPr>
    </w:p>
    <w:p>
      <w:pPr>
        <w:keepLines w:val="0"/>
        <w:spacing w:before="0" w:after="120" w:line="300" w:lineRule="auto"/>
      </w:pPr>
      <w:r>
        <w:rPr>
          <w:rFonts w:ascii="Calibri" w:hAnsi="Calibri"/>
          <w:i/>
          <w:color w:val="667875"/>
        </w:rPr>
        <w:t>Complex duration defaults to each phase rounded to approximately 125% in five-minute increments unless edited or replaced by an approved calibration. The procedure editor persists explicit standard and complex time for every phase.</w:t>
      </w:r>
    </w:p>
    <w:p>
      <w:pPr>
        <w:pStyle w:val="Heading2"/>
        <w:keepNext/>
      </w:pPr>
      <w:r>
        <w:rPr>
          <w:rFonts w:ascii="Calibri" w:hAnsi="Calibri"/>
          <w:b/>
          <w:color w:val="286D65"/>
        </w:rPr>
        <w:t>6.3 Reference Operational Policies</w:t>
      </w:r>
    </w:p>
    <w:p>
      <w:pPr>
        <w:pStyle w:val="ListBullet"/>
        <w:spacing w:after="80" w:line="300" w:lineRule="auto"/>
        <w:ind w:left="540" w:hanging="271"/>
      </w:pPr>
      <w:r>
        <w:rPr>
          <w:rFonts w:ascii="Calibri" w:hAnsi="Calibri"/>
          <w:color w:val="183331"/>
        </w:rPr>
        <w:t>Two protected 30-minute emergency opportunities per dentist from 16:00–17:00 each weekday; routine searches may use them only inside the two-hour release window.</w:t>
      </w:r>
    </w:p>
    <w:p>
      <w:pPr>
        <w:pStyle w:val="ListBullet"/>
        <w:spacing w:after="80" w:line="300" w:lineRule="auto"/>
        <w:ind w:left="540" w:hanging="271"/>
      </w:pPr>
      <w:r>
        <w:rPr>
          <w:rFonts w:ascii="Calibri" w:hAnsi="Calibri"/>
          <w:color w:val="183331"/>
        </w:rPr>
        <w:t>Reference weekday daily production target: $5,000 per dentist and $1,500 per support provider.</w:t>
      </w:r>
    </w:p>
    <w:p>
      <w:pPr>
        <w:pStyle w:val="ListBullet"/>
        <w:spacing w:after="80" w:line="300" w:lineRule="auto"/>
        <w:ind w:left="540" w:hanging="271"/>
      </w:pPr>
      <w:r>
        <w:rPr>
          <w:rFonts w:ascii="Calibri" w:hAnsi="Calibri"/>
          <w:color w:val="183331"/>
        </w:rPr>
        <w:t>Cleaning production credit: 90% hygienist and 10% dentist; other seeded procedures: 100% dentist.</w:t>
      </w:r>
    </w:p>
    <w:p>
      <w:pPr>
        <w:pStyle w:val="ListBullet"/>
        <w:spacing w:after="80" w:line="300" w:lineRule="auto"/>
        <w:ind w:left="540" w:hanging="271"/>
      </w:pPr>
      <w:r>
        <w:rPr>
          <w:rFonts w:ascii="Calibri" w:hAnsi="Calibri"/>
          <w:color w:val="183331"/>
        </w:rPr>
        <w:t>Crown preparation creates a crown-seat lab-return waitlist item 14–30 days later.</w:t>
      </w:r>
    </w:p>
    <w:p>
      <w:pPr>
        <w:pStyle w:val="ListBullet"/>
        <w:spacing w:after="80" w:line="300" w:lineRule="auto"/>
        <w:ind w:left="540" w:hanging="271"/>
      </w:pPr>
      <w:r>
        <w:rPr>
          <w:rFonts w:ascii="Calibri" w:hAnsi="Calibri"/>
          <w:color w:val="183331"/>
        </w:rPr>
        <w:t>Reference equipment: two portable X-ray units, one intraoral scanner, and one implant surgical motor.</w:t>
      </w:r>
    </w:p>
    <w:p>
      <w:pPr>
        <w:pStyle w:val="ListBullet"/>
        <w:spacing w:after="80" w:line="300" w:lineRule="auto"/>
        <w:ind w:left="540" w:hanging="271"/>
      </w:pPr>
      <w:r>
        <w:rPr>
          <w:rFonts w:ascii="Calibri" w:hAnsi="Calibri"/>
          <w:color w:val="183331"/>
        </w:rPr>
        <w:t>Root canal requires one X-ray unit; crown requires the scanner; implant requires the surgical motor.</w:t>
      </w:r>
    </w:p>
    <w:p>
      <w:pPr>
        <w:pStyle w:val="Heading1"/>
        <w:keepNext/>
      </w:pPr>
      <w:r>
        <w:rPr>
          <w:rFonts w:ascii="Calibri" w:hAnsi="Calibri"/>
          <w:b/>
          <w:color w:val="286D65"/>
        </w:rPr>
        <w:t>7. Data Architecture and Data Dictionary</w:t>
      </w:r>
    </w:p>
    <w:p>
      <w:pPr>
        <w:pStyle w:val="Heading2"/>
        <w:keepNext/>
      </w:pPr>
      <w:r>
        <w:rPr>
          <w:rFonts w:ascii="Calibri" w:hAnsi="Calibri"/>
          <w:b/>
          <w:color w:val="286D65"/>
        </w:rPr>
        <w:t>7.1 Data Principles</w:t>
      </w:r>
    </w:p>
    <w:p>
      <w:pPr>
        <w:pStyle w:val="ListBullet"/>
        <w:spacing w:after="80" w:line="300" w:lineRule="auto"/>
        <w:ind w:left="540" w:hanging="271"/>
      </w:pPr>
      <w:r>
        <w:rPr>
          <w:rFonts w:ascii="Calibri" w:hAnsi="Calibri"/>
          <w:color w:val="183331"/>
        </w:rPr>
        <w:t>PostgreSQL is the only authoritative system of record.</w:t>
      </w:r>
    </w:p>
    <w:p>
      <w:pPr>
        <w:pStyle w:val="ListBullet"/>
        <w:spacing w:after="80" w:line="300" w:lineRule="auto"/>
        <w:ind w:left="540" w:hanging="271"/>
      </w:pPr>
      <w:r>
        <w:rPr>
          <w:rFonts w:ascii="Calibri" w:hAnsi="Calibri"/>
          <w:color w:val="183331"/>
        </w:rPr>
        <w:t>UUIDs are used as primary identifiers; staff codes, procedure codes, room codes, usernames, and MRNs provide controlled business identifiers.</w:t>
      </w:r>
    </w:p>
    <w:p>
      <w:pPr>
        <w:pStyle w:val="ListBullet"/>
        <w:spacing w:after="80" w:line="300" w:lineRule="auto"/>
        <w:ind w:left="540" w:hanging="271"/>
      </w:pPr>
      <w:r>
        <w:rPr>
          <w:rFonts w:ascii="Calibri" w:hAnsi="Calibri"/>
          <w:color w:val="183331"/>
        </w:rPr>
        <w:t>Timestamps use timezone-aware database types; local dates/times are materialized using the configured practice timezone.</w:t>
      </w:r>
    </w:p>
    <w:p>
      <w:pPr>
        <w:pStyle w:val="ListBullet"/>
        <w:spacing w:after="80" w:line="300" w:lineRule="auto"/>
        <w:ind w:left="540" w:hanging="271"/>
      </w:pPr>
      <w:r>
        <w:rPr>
          <w:rFonts w:ascii="Calibri" w:hAnsi="Calibri"/>
          <w:color w:val="183331"/>
        </w:rPr>
        <w:t>Clinical free text and secrets are excluded from audit-event details.</w:t>
      </w:r>
    </w:p>
    <w:p>
      <w:pPr>
        <w:pStyle w:val="ListBullet"/>
        <w:spacing w:after="80" w:line="300" w:lineRule="auto"/>
        <w:ind w:left="540" w:hanging="271"/>
      </w:pPr>
      <w:r>
        <w:rPr>
          <w:rFonts w:ascii="Calibri" w:hAnsi="Calibri"/>
          <w:color w:val="183331"/>
        </w:rPr>
        <w:t>Recommendation snapshots preserve the exact phase and equipment plan shown to the user, with a 15-minute expiry.</w:t>
      </w:r>
    </w:p>
    <w:p>
      <w:pPr>
        <w:pStyle w:val="ListBullet"/>
        <w:spacing w:after="80" w:line="300" w:lineRule="auto"/>
        <w:ind w:left="540" w:hanging="271"/>
      </w:pPr>
      <w:r>
        <w:rPr>
          <w:rFonts w:ascii="Calibri" w:hAnsi="Calibri"/>
          <w:color w:val="183331"/>
        </w:rPr>
        <w:t>Versioned reference defaults are sufficient for scheduling; the practice validates or edits them before real-patient use, while completed visits and optional de-identified imports may refine future recommendations that never auto-apply.</w:t>
      </w:r>
    </w:p>
    <w:p>
      <w:pPr>
        <w:pStyle w:val="Heading2"/>
        <w:keepNext/>
      </w:pPr>
      <w:r>
        <w:rPr>
          <w:rFonts w:ascii="Calibri" w:hAnsi="Calibri"/>
          <w:b/>
          <w:color w:val="286D65"/>
        </w:rPr>
        <w:t>7.2 Data Classification</w:t>
      </w:r>
    </w:p>
    <w:tbl>
      <w:tblPr>
        <w:tblStyle w:val="TableGrid"/>
        <w:tblW w:type="dxa" w:w="9360"/>
        <w:jc w:val="left"/>
        <w:tblLayout w:type="fixed"/>
        <w:tblLook w:firstColumn="1" w:firstRow="1" w:lastColumn="0" w:lastRow="0" w:noHBand="0" w:noVBand="1" w:val="04A0"/>
        <w:tblInd w:w="120" w:type="dxa"/>
      </w:tblPr>
      <w:tblGrid>
        <w:gridCol w:w="1900"/>
        <w:gridCol w:w="3400"/>
        <w:gridCol w:w="4060"/>
      </w:tblGrid>
      <w:tr>
        <w:trPr>
          <w:tblHeader w:val="true"/>
        </w:trPr>
        <w:tc>
          <w:tcPr>
            <w:tcW w:type="dxa" w:w="1900"/>
            <w:shd w:fill="173F3D"/>
            <w:tcMar>
              <w:top w:w="80" w:type="dxa"/>
              <w:start w:w="120" w:type="dxa"/>
              <w:bottom w:w="80" w:type="dxa"/>
              <w:end w:w="120" w:type="dxa"/>
            </w:tcMar>
            <w:vAlign w:val="center"/>
          </w:tcPr>
          <w:p>
            <w:pPr>
              <w:spacing w:after="0"/>
              <w:jc w:val="center"/>
            </w:pPr>
            <w:r>
              <w:rPr>
                <w:rFonts w:ascii="Calibri" w:hAnsi="Calibri"/>
                <w:b/>
                <w:color w:val="FFFFFF"/>
                <w:sz w:val="18"/>
              </w:rPr>
              <w:t>Class</w:t>
            </w:r>
          </w:p>
        </w:tc>
        <w:tc>
          <w:tcPr>
            <w:tcW w:type="dxa" w:w="3400"/>
            <w:shd w:fill="173F3D"/>
            <w:tcMar>
              <w:top w:w="80" w:type="dxa"/>
              <w:start w:w="120" w:type="dxa"/>
              <w:bottom w:w="80" w:type="dxa"/>
              <w:end w:w="120" w:type="dxa"/>
            </w:tcMar>
            <w:vAlign w:val="center"/>
          </w:tcPr>
          <w:p>
            <w:pPr>
              <w:spacing w:after="0"/>
              <w:jc w:val="center"/>
            </w:pPr>
            <w:r>
              <w:rPr>
                <w:rFonts w:ascii="Calibri" w:hAnsi="Calibri"/>
                <w:b/>
                <w:color w:val="FFFFFF"/>
                <w:sz w:val="18"/>
              </w:rPr>
              <w:t>Examples</w:t>
            </w:r>
          </w:p>
        </w:tc>
        <w:tc>
          <w:tcPr>
            <w:tcW w:type="dxa" w:w="4060"/>
            <w:shd w:fill="173F3D"/>
            <w:tcMar>
              <w:top w:w="80" w:type="dxa"/>
              <w:start w:w="120" w:type="dxa"/>
              <w:bottom w:w="80" w:type="dxa"/>
              <w:end w:w="120" w:type="dxa"/>
            </w:tcMar>
            <w:vAlign w:val="center"/>
          </w:tcPr>
          <w:p>
            <w:pPr>
              <w:spacing w:after="0"/>
              <w:jc w:val="left"/>
            </w:pPr>
            <w:r>
              <w:rPr>
                <w:rFonts w:ascii="Calibri" w:hAnsi="Calibri"/>
                <w:b/>
                <w:color w:val="FFFFFF"/>
                <w:sz w:val="18"/>
              </w:rPr>
              <w:t>Required handling</w:t>
            </w:r>
          </w:p>
        </w:tc>
      </w:tr>
      <w:tr>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PHI / sensitive patient data</w:t>
            </w:r>
          </w:p>
        </w:tc>
        <w:tc>
          <w:tcPr>
            <w:tcW w:type="dxa" w:w="3400"/>
            <w:tcMar>
              <w:top w:w="80" w:type="dxa"/>
              <w:start w:w="120" w:type="dxa"/>
              <w:bottom w:w="80" w:type="dxa"/>
              <w:end w:w="120" w:type="dxa"/>
            </w:tcMar>
            <w:vAlign w:val="center"/>
          </w:tcPr>
          <w:p>
            <w:pPr>
              <w:spacing w:after="0" w:line="264" w:lineRule="auto"/>
            </w:pPr>
            <w:r>
              <w:rPr>
                <w:rFonts w:ascii="Calibri" w:hAnsi="Calibri"/>
                <w:color w:val="183331"/>
                <w:sz w:val="17"/>
              </w:rPr>
              <w:t>Patient name, MRN, condition summary, visit times, procedure, waitlist notes</w:t>
            </w:r>
          </w:p>
        </w:tc>
        <w:tc>
          <w:tcPr>
            <w:tcW w:type="dxa" w:w="4060"/>
            <w:tcMar>
              <w:top w:w="80" w:type="dxa"/>
              <w:start w:w="120" w:type="dxa"/>
              <w:bottom w:w="80" w:type="dxa"/>
              <w:end w:w="120" w:type="dxa"/>
            </w:tcMar>
            <w:vAlign w:val="center"/>
          </w:tcPr>
          <w:p>
            <w:pPr>
              <w:spacing w:after="0" w:line="264" w:lineRule="auto"/>
            </w:pPr>
            <w:r>
              <w:rPr>
                <w:rFonts w:ascii="Calibri" w:hAnsi="Calibri"/>
                <w:color w:val="183331"/>
                <w:sz w:val="17"/>
              </w:rPr>
              <w:t>Minimum necessary access; encrypted storage/backup; no external transmission; controlled retention</w:t>
            </w:r>
          </w:p>
        </w:tc>
      </w:tr>
      <w:tr>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Authentication secrets</w:t>
            </w:r>
          </w:p>
        </w:tc>
        <w:tc>
          <w:tcPr>
            <w:tcW w:type="dxa" w:w="3400"/>
            <w:tcMar>
              <w:top w:w="80" w:type="dxa"/>
              <w:start w:w="120" w:type="dxa"/>
              <w:bottom w:w="80" w:type="dxa"/>
              <w:end w:w="120" w:type="dxa"/>
            </w:tcMar>
            <w:vAlign w:val="center"/>
          </w:tcPr>
          <w:p>
            <w:pPr>
              <w:spacing w:after="0" w:line="264" w:lineRule="auto"/>
            </w:pPr>
            <w:r>
              <w:rPr>
                <w:rFonts w:ascii="Calibri" w:hAnsi="Calibri"/>
                <w:color w:val="183331"/>
                <w:sz w:val="17"/>
              </w:rPr>
              <w:t>Password hashes/salts, raw session cookie</w:t>
            </w:r>
          </w:p>
        </w:tc>
        <w:tc>
          <w:tcPr>
            <w:tcW w:type="dxa" w:w="4060"/>
            <w:tcMar>
              <w:top w:w="80" w:type="dxa"/>
              <w:start w:w="120" w:type="dxa"/>
              <w:bottom w:w="80" w:type="dxa"/>
              <w:end w:w="120" w:type="dxa"/>
            </w:tcMar>
            <w:vAlign w:val="center"/>
          </w:tcPr>
          <w:p>
            <w:pPr>
              <w:spacing w:after="0" w:line="264" w:lineRule="auto"/>
            </w:pPr>
            <w:r>
              <w:rPr>
                <w:rFonts w:ascii="Calibri" w:hAnsi="Calibri"/>
                <w:color w:val="183331"/>
                <w:sz w:val="17"/>
              </w:rPr>
              <w:t>Raw token only in secure cookie; hashed token in database; secrets protected outside source</w:t>
            </w:r>
          </w:p>
        </w:tc>
      </w:tr>
      <w:tr>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Workforce data</w:t>
            </w:r>
          </w:p>
        </w:tc>
        <w:tc>
          <w:tcPr>
            <w:tcW w:type="dxa" w:w="3400"/>
            <w:tcMar>
              <w:top w:w="80" w:type="dxa"/>
              <w:start w:w="120" w:type="dxa"/>
              <w:bottom w:w="80" w:type="dxa"/>
              <w:end w:w="120" w:type="dxa"/>
            </w:tcMar>
            <w:vAlign w:val="center"/>
          </w:tcPr>
          <w:p>
            <w:pPr>
              <w:spacing w:after="0" w:line="264" w:lineRule="auto"/>
            </w:pPr>
            <w:r>
              <w:rPr>
                <w:rFonts w:ascii="Calibri" w:hAnsi="Calibri"/>
                <w:color w:val="183331"/>
                <w:sz w:val="17"/>
              </w:rPr>
              <w:t>User/provider identity, role, hours, leave, targets</w:t>
            </w:r>
          </w:p>
        </w:tc>
        <w:tc>
          <w:tcPr>
            <w:tcW w:type="dxa" w:w="4060"/>
            <w:tcMar>
              <w:top w:w="80" w:type="dxa"/>
              <w:start w:w="120" w:type="dxa"/>
              <w:bottom w:w="80" w:type="dxa"/>
              <w:end w:w="120" w:type="dxa"/>
            </w:tcMar>
            <w:vAlign w:val="center"/>
          </w:tcPr>
          <w:p>
            <w:pPr>
              <w:spacing w:after="0" w:line="264" w:lineRule="auto"/>
            </w:pPr>
            <w:r>
              <w:rPr>
                <w:rFonts w:ascii="Calibri" w:hAnsi="Calibri"/>
                <w:color w:val="183331"/>
                <w:sz w:val="17"/>
              </w:rPr>
              <w:t>Role-restricted; auditable changes</w:t>
            </w:r>
          </w:p>
        </w:tc>
      </w:tr>
      <w:tr>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Clinical/operational policy</w:t>
            </w:r>
          </w:p>
        </w:tc>
        <w:tc>
          <w:tcPr>
            <w:tcW w:type="dxa" w:w="3400"/>
            <w:tcMar>
              <w:top w:w="80" w:type="dxa"/>
              <w:start w:w="120" w:type="dxa"/>
              <w:bottom w:w="80" w:type="dxa"/>
              <w:end w:w="120" w:type="dxa"/>
            </w:tcMar>
            <w:vAlign w:val="center"/>
          </w:tcPr>
          <w:p>
            <w:pPr>
              <w:spacing w:after="0" w:line="264" w:lineRule="auto"/>
            </w:pPr>
            <w:r>
              <w:rPr>
                <w:rFonts w:ascii="Calibri" w:hAnsi="Calibri"/>
                <w:color w:val="183331"/>
                <w:sz w:val="17"/>
              </w:rPr>
              <w:t>Qualifications, phases, duration, emergency rules, equipment</w:t>
            </w:r>
          </w:p>
        </w:tc>
        <w:tc>
          <w:tcPr>
            <w:tcW w:type="dxa" w:w="4060"/>
            <w:tcMar>
              <w:top w:w="80" w:type="dxa"/>
              <w:start w:w="120" w:type="dxa"/>
              <w:bottom w:w="80" w:type="dxa"/>
              <w:end w:w="120" w:type="dxa"/>
            </w:tcMar>
            <w:vAlign w:val="center"/>
          </w:tcPr>
          <w:p>
            <w:pPr>
              <w:spacing w:after="0" w:line="264" w:lineRule="auto"/>
            </w:pPr>
            <w:r>
              <w:rPr>
                <w:rFonts w:ascii="Calibri" w:hAnsi="Calibri"/>
                <w:color w:val="183331"/>
                <w:sz w:val="17"/>
              </w:rPr>
              <w:t>Clinician-approved version control and change evidence</w:t>
            </w:r>
          </w:p>
        </w:tc>
      </w:tr>
      <w:tr>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De-identified analytics data</w:t>
            </w:r>
          </w:p>
        </w:tc>
        <w:tc>
          <w:tcPr>
            <w:tcW w:type="dxa" w:w="3400"/>
            <w:tcMar>
              <w:top w:w="80" w:type="dxa"/>
              <w:start w:w="120" w:type="dxa"/>
              <w:bottom w:w="80" w:type="dxa"/>
              <w:end w:w="120" w:type="dxa"/>
            </w:tcMar>
            <w:vAlign w:val="center"/>
          </w:tcPr>
          <w:p>
            <w:pPr>
              <w:spacing w:after="0" w:line="264" w:lineRule="auto"/>
            </w:pPr>
            <w:r>
              <w:rPr>
                <w:rFonts w:ascii="Calibri" w:hAnsi="Calibri"/>
                <w:color w:val="183331"/>
                <w:sz w:val="17"/>
              </w:rPr>
              <w:t>Procedure code, service date, scheduled/actual minutes, outcome</w:t>
            </w:r>
          </w:p>
        </w:tc>
        <w:tc>
          <w:tcPr>
            <w:tcW w:type="dxa" w:w="4060"/>
            <w:tcMar>
              <w:top w:w="80" w:type="dxa"/>
              <w:start w:w="120" w:type="dxa"/>
              <w:bottom w:w="80" w:type="dxa"/>
              <w:end w:w="120" w:type="dxa"/>
            </w:tcMar>
            <w:vAlign w:val="center"/>
          </w:tcPr>
          <w:p>
            <w:pPr>
              <w:spacing w:after="0" w:line="264" w:lineRule="auto"/>
            </w:pPr>
            <w:r>
              <w:rPr>
                <w:rFonts w:ascii="Calibri" w:hAnsi="Calibri"/>
                <w:color w:val="183331"/>
                <w:sz w:val="17"/>
              </w:rPr>
              <w:t>Reject direct identifiers; still protect as confidential operations data</w:t>
            </w:r>
          </w:p>
        </w:tc>
      </w:tr>
      <w:tr>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Audit/security evidence</w:t>
            </w:r>
          </w:p>
        </w:tc>
        <w:tc>
          <w:tcPr>
            <w:tcW w:type="dxa" w:w="3400"/>
            <w:tcMar>
              <w:top w:w="80" w:type="dxa"/>
              <w:start w:w="120" w:type="dxa"/>
              <w:bottom w:w="80" w:type="dxa"/>
              <w:end w:w="120" w:type="dxa"/>
            </w:tcMar>
            <w:vAlign w:val="center"/>
          </w:tcPr>
          <w:p>
            <w:pPr>
              <w:spacing w:after="0" w:line="264" w:lineRule="auto"/>
            </w:pPr>
            <w:r>
              <w:rPr>
                <w:rFonts w:ascii="Calibri" w:hAnsi="Calibri"/>
                <w:color w:val="183331"/>
                <w:sz w:val="17"/>
              </w:rPr>
              <w:t>Actor ID, event type, entity ID, outcome, hash chain</w:t>
            </w:r>
          </w:p>
        </w:tc>
        <w:tc>
          <w:tcPr>
            <w:tcW w:type="dxa" w:w="4060"/>
            <w:tcMar>
              <w:top w:w="80" w:type="dxa"/>
              <w:start w:w="120" w:type="dxa"/>
              <w:bottom w:w="80" w:type="dxa"/>
              <w:end w:w="120" w:type="dxa"/>
            </w:tcMar>
            <w:vAlign w:val="center"/>
          </w:tcPr>
          <w:p>
            <w:pPr>
              <w:spacing w:after="0" w:line="264" w:lineRule="auto"/>
            </w:pPr>
            <w:r>
              <w:rPr>
                <w:rFonts w:ascii="Calibri" w:hAnsi="Calibri"/>
                <w:color w:val="183331"/>
                <w:sz w:val="17"/>
              </w:rPr>
              <w:t>Append-only; exclude PHI free text; retain per approved policy</w:t>
            </w:r>
          </w:p>
        </w:tc>
      </w:tr>
    </w:tbl>
    <w:p>
      <w:pPr>
        <w:spacing w:after="60"/>
      </w:pPr>
    </w:p>
    <w:p>
      <w:pPr>
        <w:pStyle w:val="Heading2"/>
        <w:keepNext/>
      </w:pPr>
      <w:r>
        <w:rPr>
          <w:rFonts w:ascii="Calibri" w:hAnsi="Calibri"/>
          <w:b/>
          <w:color w:val="286D65"/>
        </w:rPr>
        <w:t>7.3 Core Data Dictionary</w:t>
      </w:r>
    </w:p>
    <w:tbl>
      <w:tblPr>
        <w:tblStyle w:val="TableGrid"/>
        <w:tblW w:type="dxa" w:w="9360"/>
        <w:jc w:val="left"/>
        <w:tblLayout w:type="fixed"/>
        <w:tblLook w:firstColumn="1" w:firstRow="1" w:lastColumn="0" w:lastRow="0" w:noHBand="0" w:noVBand="1" w:val="04A0"/>
        <w:tblInd w:w="120" w:type="dxa"/>
      </w:tblPr>
      <w:tblGrid>
        <w:gridCol w:w="1500"/>
        <w:gridCol w:w="3000"/>
        <w:gridCol w:w="4860"/>
      </w:tblGrid>
      <w:tr>
        <w:trPr>
          <w:tblHeader w:val="true"/>
        </w:trPr>
        <w:tc>
          <w:tcPr>
            <w:tcW w:type="dxa" w:w="1500"/>
            <w:shd w:fill="173F3D"/>
            <w:tcMar>
              <w:top w:w="80" w:type="dxa"/>
              <w:start w:w="120" w:type="dxa"/>
              <w:bottom w:w="80" w:type="dxa"/>
              <w:end w:w="120" w:type="dxa"/>
            </w:tcMar>
            <w:vAlign w:val="center"/>
          </w:tcPr>
          <w:p>
            <w:pPr>
              <w:spacing w:after="0"/>
              <w:jc w:val="center"/>
            </w:pPr>
            <w:r>
              <w:rPr>
                <w:rFonts w:ascii="Calibri" w:hAnsi="Calibri"/>
                <w:b/>
                <w:color w:val="FFFFFF"/>
                <w:sz w:val="18"/>
              </w:rPr>
              <w:t>Domain</w:t>
            </w:r>
          </w:p>
        </w:tc>
        <w:tc>
          <w:tcPr>
            <w:tcW w:type="dxa" w:w="3000"/>
            <w:shd w:fill="173F3D"/>
            <w:tcMar>
              <w:top w:w="80" w:type="dxa"/>
              <w:start w:w="120" w:type="dxa"/>
              <w:bottom w:w="80" w:type="dxa"/>
              <w:end w:w="120" w:type="dxa"/>
            </w:tcMar>
            <w:vAlign w:val="center"/>
          </w:tcPr>
          <w:p>
            <w:pPr>
              <w:spacing w:after="0"/>
              <w:jc w:val="center"/>
            </w:pPr>
            <w:r>
              <w:rPr>
                <w:rFonts w:ascii="Calibri" w:hAnsi="Calibri"/>
                <w:b/>
                <w:color w:val="FFFFFF"/>
                <w:sz w:val="18"/>
              </w:rPr>
              <w:t>Table</w:t>
            </w:r>
          </w:p>
        </w:tc>
        <w:tc>
          <w:tcPr>
            <w:tcW w:type="dxa" w:w="4860"/>
            <w:shd w:fill="173F3D"/>
            <w:tcMar>
              <w:top w:w="80" w:type="dxa"/>
              <w:start w:w="120" w:type="dxa"/>
              <w:bottom w:w="80" w:type="dxa"/>
              <w:end w:w="120" w:type="dxa"/>
            </w:tcMar>
            <w:vAlign w:val="center"/>
          </w:tcPr>
          <w:p>
            <w:pPr>
              <w:spacing w:after="0"/>
              <w:jc w:val="left"/>
            </w:pPr>
            <w:r>
              <w:rPr>
                <w:rFonts w:ascii="Calibri" w:hAnsi="Calibri"/>
                <w:b/>
                <w:color w:val="FFFFFF"/>
                <w:sz w:val="18"/>
              </w:rPr>
              <w:t>Purpose / key data</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Practice</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practice_settings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Name, timezone, horizon, hold policy, policy version</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Identity</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app_users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Unique workforce identity, display name, role, active state</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Identity</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local_credentials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Username, scrypt salt/hash, failed attempts, lockout</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Identity</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user_sessions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Hashed session token, expiry, last seen, revocation</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Patient</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patients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MRN, display name, active state, creator</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Workforce</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doctors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Staff code, name, specialty, active state, max active rooms</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Workforce</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providers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Doctor/hygienist/assistant identity and doctor linkage</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Policy</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procedures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Code, name, specialty, base times, production, policy version</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Policy</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doctor_procedure_qualifications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Effective-dated dentist authorization</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Policy</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procedure_phase_templates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Ordered role, standard time, complex time</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Policy</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provider_procedure_preferences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Per-provider procedure preference −10 to +10</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Policy</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provider_daily_targets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Effective-dated weekday production target</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Policy</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procedure_role_production_share</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Basis-point production allocation by role</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Policy</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procedure_followup_rules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Follow-up procedure and lead-time window</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Capacity</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rooms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Code, name, active state, category, turnover minutes</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Capacity</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procedure_room_eligibility</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Which rooms can host which procedures</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Capacity</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equipment</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Equipment type and available unit quantity</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Capacity</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procedure_equipment_requirements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Required quantity by procedure</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Availability</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provider_working_hours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Recurring effective-dated provider hours</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Availability</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provider_unavailability</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Dated leave/unavailable interval and reason</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Availability</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provider_shift_overrides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Scheduled/off/cover override for one date</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Availability</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room_working_hours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Recurring effective-dated room hours</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Availability</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practice_closures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Full-practice closed interval</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Availability</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emergency_capacity_rules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Protected block, slots, and release time</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Request</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scheduling_requests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Patient/procedure, condition, tags, priority, dates, complexity, source</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Request</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patient_availability</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Timezone-aware availability windows and preference weight</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Request</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recommendation_snapshots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Doctor, room, time, score, explanation, phases, equipment, expiry</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Appointment</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appointments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Patient, procedure, doctor, room, interval, status, flow timestamps, lock version</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Appointment</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appointment_phases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Exact ordered role/provider phase reservations</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Appointment</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appointment_equipment</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Aggregate equipment quantity by appointment</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Appointment</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appointment_equipment_reservations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Exact numbered equipment unit and interval</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Appointment</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appointment_production_credits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Provider production amount for appointment</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Appointment</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appointment_status_history</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Previous/new status, actor, reason, occurrence</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Appointment</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appointment_links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Follow-up/lab-return/treatment-plan relationship</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Control</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reschedule_permissions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Exact old/new slot authorization, expiry, use, revocation</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Waitlist</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waitlist_entries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Patient/procedure/date/time preferences, status, linked predecessor</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Waitlist</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waitlist_contact_attempts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Channel, outcome, incentive, actor, attempted time</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Calibration</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historical_import_batches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Source label, row count, stage/apply status, importer</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Calibration</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procedure_duration_observations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Optional native/imported de-identified procedure/provider/date/timing/outcome evidence</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Calibration</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calibration_recommendations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Threshold-qualified sample size, median/p90-derived times, approval state</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Audit</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audit_events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Append-only actor/event/entity/outcome/details/hash chain</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Schema</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schema_migrations</w:t>
            </w:r>
          </w:p>
        </w:tc>
        <w:tc>
          <w:tcPr>
            <w:tcW w:type="dxa" w:w="4860"/>
            <w:tcMar>
              <w:top w:w="80" w:type="dxa"/>
              <w:start w:w="120" w:type="dxa"/>
              <w:bottom w:w="80" w:type="dxa"/>
              <w:end w:w="120" w:type="dxa"/>
            </w:tcMar>
            <w:vAlign w:val="center"/>
          </w:tcPr>
          <w:p>
            <w:pPr>
              <w:spacing w:after="0" w:line="264" w:lineRule="auto"/>
            </w:pPr>
            <w:r>
              <w:rPr>
                <w:rFonts w:ascii="Calibri" w:hAnsi="Calibri"/>
                <w:color w:val="183331"/>
                <w:sz w:val="17"/>
              </w:rPr>
              <w:t>Migration filename, checksum, applied time</w:t>
            </w:r>
          </w:p>
        </w:tc>
      </w:tr>
    </w:tbl>
    <w:p>
      <w:pPr>
        <w:spacing w:after="60"/>
      </w:pPr>
    </w:p>
    <w:p>
      <w:pPr>
        <w:pStyle w:val="Heading2"/>
        <w:keepNext/>
      </w:pPr>
      <w:r>
        <w:rPr>
          <w:rFonts w:ascii="Calibri" w:hAnsi="Calibri"/>
          <w:b/>
          <w:color w:val="286D65"/>
        </w:rPr>
        <w:t>7.4 Appointment and Request Statuses</w:t>
      </w:r>
    </w:p>
    <w:tbl>
      <w:tblPr>
        <w:tblStyle w:val="TableGrid"/>
        <w:tblW w:type="dxa" w:w="9360"/>
        <w:jc w:val="left"/>
        <w:tblLayout w:type="fixed"/>
        <w:tblLook w:firstColumn="1" w:firstRow="1" w:lastColumn="0" w:lastRow="0" w:noHBand="0" w:noVBand="1" w:val="04A0"/>
        <w:tblInd w:w="120" w:type="dxa"/>
      </w:tblPr>
      <w:tblGrid>
        <w:gridCol w:w="1700"/>
        <w:gridCol w:w="3300"/>
        <w:gridCol w:w="4360"/>
      </w:tblGrid>
      <w:tr>
        <w:trPr>
          <w:tblHeader w:val="true"/>
        </w:trPr>
        <w:tc>
          <w:tcPr>
            <w:tcW w:type="dxa" w:w="1700"/>
            <w:shd w:fill="173F3D"/>
            <w:tcMar>
              <w:top w:w="80" w:type="dxa"/>
              <w:start w:w="120" w:type="dxa"/>
              <w:bottom w:w="80" w:type="dxa"/>
              <w:end w:w="120" w:type="dxa"/>
            </w:tcMar>
            <w:vAlign w:val="center"/>
          </w:tcPr>
          <w:p>
            <w:pPr>
              <w:spacing w:after="0"/>
              <w:jc w:val="center"/>
            </w:pPr>
            <w:r>
              <w:rPr>
                <w:rFonts w:ascii="Calibri" w:hAnsi="Calibri"/>
                <w:b/>
                <w:color w:val="FFFFFF"/>
                <w:sz w:val="19"/>
              </w:rPr>
              <w:t>Object</w:t>
            </w:r>
          </w:p>
        </w:tc>
        <w:tc>
          <w:tcPr>
            <w:tcW w:type="dxa" w:w="3300"/>
            <w:shd w:fill="173F3D"/>
            <w:tcMar>
              <w:top w:w="80" w:type="dxa"/>
              <w:start w:w="120" w:type="dxa"/>
              <w:bottom w:w="80" w:type="dxa"/>
              <w:end w:w="120" w:type="dxa"/>
            </w:tcMar>
            <w:vAlign w:val="center"/>
          </w:tcPr>
          <w:p>
            <w:pPr>
              <w:spacing w:after="0"/>
              <w:jc w:val="center"/>
            </w:pPr>
            <w:r>
              <w:rPr>
                <w:rFonts w:ascii="Calibri" w:hAnsi="Calibri"/>
                <w:b/>
                <w:color w:val="FFFFFF"/>
                <w:sz w:val="19"/>
              </w:rPr>
              <w:t>Statuses</w:t>
            </w:r>
          </w:p>
        </w:tc>
        <w:tc>
          <w:tcPr>
            <w:tcW w:type="dxa" w:w="4360"/>
            <w:shd w:fill="173F3D"/>
            <w:tcMar>
              <w:top w:w="80" w:type="dxa"/>
              <w:start w:w="120" w:type="dxa"/>
              <w:bottom w:w="80" w:type="dxa"/>
              <w:end w:w="120" w:type="dxa"/>
            </w:tcMar>
            <w:vAlign w:val="center"/>
          </w:tcPr>
          <w:p>
            <w:pPr>
              <w:spacing w:after="0"/>
              <w:jc w:val="left"/>
            </w:pPr>
            <w:r>
              <w:rPr>
                <w:rFonts w:ascii="Calibri" w:hAnsi="Calibri"/>
                <w:b/>
                <w:color w:val="FFFFFF"/>
                <w:sz w:val="19"/>
              </w:rPr>
              <w:t>Key transition rule</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9"/>
              </w:rPr>
              <w:t>Scheduling request</w:t>
            </w:r>
          </w:p>
        </w:tc>
        <w:tc>
          <w:tcPr>
            <w:tcW w:type="dxa" w:w="3300"/>
            <w:tcMar>
              <w:top w:w="80" w:type="dxa"/>
              <w:start w:w="120" w:type="dxa"/>
              <w:bottom w:w="80" w:type="dxa"/>
              <w:end w:w="120" w:type="dxa"/>
            </w:tcMar>
            <w:vAlign w:val="center"/>
          </w:tcPr>
          <w:p>
            <w:pPr>
              <w:spacing w:after="0" w:line="264" w:lineRule="auto"/>
            </w:pPr>
            <w:r>
              <w:rPr>
                <w:rFonts w:ascii="Calibri" w:hAnsi="Calibri"/>
                <w:color w:val="183331"/>
                <w:sz w:val="19"/>
              </w:rPr>
              <w:t>pending, scheduled, closed, cancelled</w:t>
            </w:r>
          </w:p>
        </w:tc>
        <w:tc>
          <w:tcPr>
            <w:tcW w:type="dxa" w:w="4360"/>
            <w:tcMar>
              <w:top w:w="80" w:type="dxa"/>
              <w:start w:w="120" w:type="dxa"/>
              <w:bottom w:w="80" w:type="dxa"/>
              <w:end w:w="120" w:type="dxa"/>
            </w:tcMar>
            <w:vAlign w:val="center"/>
          </w:tcPr>
          <w:p>
            <w:pPr>
              <w:spacing w:after="0" w:line="264" w:lineRule="auto"/>
            </w:pPr>
            <w:r>
              <w:rPr>
                <w:rFonts w:ascii="Calibri" w:hAnsi="Calibri"/>
                <w:color w:val="183331"/>
                <w:sz w:val="19"/>
              </w:rPr>
              <w:t>Confirmation marks request scheduled</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9"/>
              </w:rPr>
              <w:t>Appointment</w:t>
            </w:r>
          </w:p>
        </w:tc>
        <w:tc>
          <w:tcPr>
            <w:tcW w:type="dxa" w:w="3300"/>
            <w:tcMar>
              <w:top w:w="80" w:type="dxa"/>
              <w:start w:w="120" w:type="dxa"/>
              <w:bottom w:w="80" w:type="dxa"/>
              <w:end w:w="120" w:type="dxa"/>
            </w:tcMar>
            <w:vAlign w:val="center"/>
          </w:tcPr>
          <w:p>
            <w:pPr>
              <w:spacing w:after="0" w:line="264" w:lineRule="auto"/>
            </w:pPr>
            <w:r>
              <w:rPr>
                <w:rFonts w:ascii="Calibri" w:hAnsi="Calibri"/>
                <w:color w:val="183331"/>
                <w:sz w:val="19"/>
              </w:rPr>
              <w:t>proposed, held, confirmed, completed, cancelled, no_show</w:t>
            </w:r>
          </w:p>
        </w:tc>
        <w:tc>
          <w:tcPr>
            <w:tcW w:type="dxa" w:w="4360"/>
            <w:tcMar>
              <w:top w:w="80" w:type="dxa"/>
              <w:start w:w="120" w:type="dxa"/>
              <w:bottom w:w="80" w:type="dxa"/>
              <w:end w:w="120" w:type="dxa"/>
            </w:tcMar>
            <w:vAlign w:val="center"/>
          </w:tcPr>
          <w:p>
            <w:pPr>
              <w:spacing w:after="0" w:line="264" w:lineRule="auto"/>
            </w:pPr>
            <w:r>
              <w:rPr>
                <w:rFonts w:ascii="Calibri" w:hAnsi="Calibri"/>
                <w:color w:val="183331"/>
                <w:sz w:val="19"/>
              </w:rPr>
              <w:t>Only confirmed appointments may be closed through the operational API</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9"/>
              </w:rPr>
              <w:t>Waitlist</w:t>
            </w:r>
          </w:p>
        </w:tc>
        <w:tc>
          <w:tcPr>
            <w:tcW w:type="dxa" w:w="3300"/>
            <w:tcMar>
              <w:top w:w="80" w:type="dxa"/>
              <w:start w:w="120" w:type="dxa"/>
              <w:bottom w:w="80" w:type="dxa"/>
              <w:end w:w="120" w:type="dxa"/>
            </w:tcMar>
            <w:vAlign w:val="center"/>
          </w:tcPr>
          <w:p>
            <w:pPr>
              <w:spacing w:after="0" w:line="264" w:lineRule="auto"/>
            </w:pPr>
            <w:r>
              <w:rPr>
                <w:rFonts w:ascii="Calibri" w:hAnsi="Calibri"/>
                <w:color w:val="183331"/>
                <w:sz w:val="19"/>
              </w:rPr>
              <w:t>active, offered, scheduled, declined, expired</w:t>
            </w:r>
          </w:p>
        </w:tc>
        <w:tc>
          <w:tcPr>
            <w:tcW w:type="dxa" w:w="4360"/>
            <w:tcMar>
              <w:top w:w="80" w:type="dxa"/>
              <w:start w:w="120" w:type="dxa"/>
              <w:bottom w:w="80" w:type="dxa"/>
              <w:end w:w="120" w:type="dxa"/>
            </w:tcMar>
            <w:vAlign w:val="center"/>
          </w:tcPr>
          <w:p>
            <w:pPr>
              <w:spacing w:after="0" w:line="264" w:lineRule="auto"/>
            </w:pPr>
            <w:r>
              <w:rPr>
                <w:rFonts w:ascii="Calibri" w:hAnsi="Calibri"/>
                <w:color w:val="183331"/>
                <w:sz w:val="19"/>
              </w:rPr>
              <w:t>Matching marks offered; booking marks scheduled; decline removes from active queue</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9"/>
              </w:rPr>
              <w:t>Calibration batch</w:t>
            </w:r>
          </w:p>
        </w:tc>
        <w:tc>
          <w:tcPr>
            <w:tcW w:type="dxa" w:w="3300"/>
            <w:tcMar>
              <w:top w:w="80" w:type="dxa"/>
              <w:start w:w="120" w:type="dxa"/>
              <w:bottom w:w="80" w:type="dxa"/>
              <w:end w:w="120" w:type="dxa"/>
            </w:tcMar>
            <w:vAlign w:val="center"/>
          </w:tcPr>
          <w:p>
            <w:pPr>
              <w:spacing w:after="0" w:line="264" w:lineRule="auto"/>
            </w:pPr>
            <w:r>
              <w:rPr>
                <w:rFonts w:ascii="Calibri" w:hAnsi="Calibri"/>
                <w:color w:val="183331"/>
                <w:sz w:val="19"/>
              </w:rPr>
              <w:t>staged, applied, rejected</w:t>
            </w:r>
          </w:p>
        </w:tc>
        <w:tc>
          <w:tcPr>
            <w:tcW w:type="dxa" w:w="4360"/>
            <w:tcMar>
              <w:top w:w="80" w:type="dxa"/>
              <w:start w:w="120" w:type="dxa"/>
              <w:bottom w:w="80" w:type="dxa"/>
              <w:end w:w="120" w:type="dxa"/>
            </w:tcMar>
            <w:vAlign w:val="center"/>
          </w:tcPr>
          <w:p>
            <w:pPr>
              <w:spacing w:after="0" w:line="264" w:lineRule="auto"/>
            </w:pPr>
            <w:r>
              <w:rPr>
                <w:rFonts w:ascii="Calibri" w:hAnsi="Calibri"/>
                <w:color w:val="183331"/>
                <w:sz w:val="19"/>
              </w:rPr>
              <w:t>Import is staged; explicit clinician/admin approval applies</w:t>
            </w:r>
          </w:p>
        </w:tc>
      </w:tr>
    </w:tbl>
    <w:p>
      <w:pPr>
        <w:spacing w:after="60"/>
      </w:pPr>
    </w:p>
    <w:p>
      <w:pPr>
        <w:pStyle w:val="Heading2"/>
        <w:keepNext/>
      </w:pPr>
      <w:r>
        <w:rPr>
          <w:rFonts w:ascii="Calibri" w:hAnsi="Calibri"/>
          <w:b/>
          <w:color w:val="286D65"/>
        </w:rPr>
        <w:t>7.5 Data Lifecycle</w:t>
      </w:r>
    </w:p>
    <w:p>
      <w:pPr>
        <w:pStyle w:val="Heading3"/>
        <w:keepNext/>
      </w:pPr>
      <w:r>
        <w:rPr>
          <w:rFonts w:ascii="Calibri" w:hAnsi="Calibri"/>
          <w:b/>
          <w:color w:val="173F3D"/>
        </w:rPr>
        <w:t>Patient Scheduling Data</w:t>
      </w:r>
    </w:p>
    <w:p>
      <w:pPr>
        <w:pStyle w:val="ListNumber"/>
        <w:spacing w:after="80"/>
        <w:ind w:left="540" w:hanging="271"/>
      </w:pPr>
      <w:r>
        <w:rPr>
          <w:rFonts w:ascii="Calibri" w:hAnsi="Calibri"/>
          <w:b/>
          <w:color w:val="173F3D"/>
        </w:rPr>
        <w:t xml:space="preserve">Create/update patient. </w:t>
      </w:r>
      <w:r>
        <w:rPr>
          <w:rFonts w:ascii="Calibri" w:hAnsi="Calibri"/>
          <w:color w:val="183331"/>
        </w:rPr>
        <w:t>MRN is unique; an existing patient's display name can be refreshed</w:t>
      </w:r>
    </w:p>
    <w:p>
      <w:pPr>
        <w:pStyle w:val="ListNumber"/>
        <w:spacing w:after="80"/>
        <w:ind w:left="540" w:hanging="271"/>
      </w:pPr>
      <w:r>
        <w:rPr>
          <w:rFonts w:ascii="Calibri" w:hAnsi="Calibri"/>
          <w:b/>
          <w:color w:val="173F3D"/>
        </w:rPr>
        <w:t xml:space="preserve">Create request. </w:t>
      </w:r>
      <w:r>
        <w:rPr>
          <w:rFonts w:ascii="Calibri" w:hAnsi="Calibri"/>
          <w:color w:val="183331"/>
        </w:rPr>
        <w:t>Store condition summary, normalized tags, source/confidence, priority, dates, complexity, and creator</w:t>
      </w:r>
    </w:p>
    <w:p>
      <w:pPr>
        <w:pStyle w:val="ListNumber"/>
        <w:spacing w:after="80"/>
        <w:ind w:left="540" w:hanging="271"/>
      </w:pPr>
      <w:r>
        <w:rPr>
          <w:rFonts w:ascii="Calibri" w:hAnsi="Calibri"/>
          <w:b/>
          <w:color w:val="173F3D"/>
        </w:rPr>
        <w:t xml:space="preserve">Create snapshots. </w:t>
      </w:r>
      <w:r>
        <w:rPr>
          <w:rFonts w:ascii="Calibri" w:hAnsi="Calibri"/>
          <w:color w:val="183331"/>
        </w:rPr>
        <w:t>Store ranked recommendation details and expire after 15 minutes</w:t>
      </w:r>
    </w:p>
    <w:p>
      <w:pPr>
        <w:pStyle w:val="ListNumber"/>
        <w:spacing w:after="80"/>
        <w:ind w:left="540" w:hanging="271"/>
      </w:pPr>
      <w:r>
        <w:rPr>
          <w:rFonts w:ascii="Calibri" w:hAnsi="Calibri"/>
          <w:b/>
          <w:color w:val="173F3D"/>
        </w:rPr>
        <w:t xml:space="preserve">Confirm. </w:t>
      </w:r>
      <w:r>
        <w:rPr>
          <w:rFonts w:ascii="Calibri" w:hAnsi="Calibri"/>
          <w:color w:val="183331"/>
        </w:rPr>
        <w:t>Store appointment and exact resources; consume snapshot; update request and optional waitlist</w:t>
      </w:r>
    </w:p>
    <w:p>
      <w:pPr>
        <w:pStyle w:val="ListNumber"/>
        <w:spacing w:after="80"/>
        <w:ind w:left="540" w:hanging="271"/>
      </w:pPr>
      <w:r>
        <w:rPr>
          <w:rFonts w:ascii="Calibri" w:hAnsi="Calibri"/>
          <w:b/>
          <w:color w:val="173F3D"/>
        </w:rPr>
        <w:t xml:space="preserve">Operate. </w:t>
      </w:r>
      <w:r>
        <w:rPr>
          <w:rFonts w:ascii="Calibri" w:hAnsi="Calibri"/>
          <w:color w:val="183331"/>
        </w:rPr>
        <w:t>Record flow timestamps, outcome history, links, production, and audit events</w:t>
      </w:r>
    </w:p>
    <w:p>
      <w:pPr>
        <w:pStyle w:val="ListNumber"/>
        <w:spacing w:after="80"/>
        <w:ind w:left="540" w:hanging="271"/>
      </w:pPr>
      <w:r>
        <w:rPr>
          <w:rFonts w:ascii="Calibri" w:hAnsi="Calibri"/>
          <w:b/>
          <w:color w:val="173F3D"/>
        </w:rPr>
        <w:t xml:space="preserve">Retain/dispose. </w:t>
      </w:r>
      <w:r>
        <w:rPr>
          <w:rFonts w:ascii="Calibri" w:hAnsi="Calibri"/>
          <w:color w:val="183331"/>
        </w:rPr>
        <w:t>Apply the practice's approved legal, clinical, and business retention schedule; application does not yet automate purging</w:t>
      </w:r>
    </w:p>
    <w:p>
      <w:pPr>
        <w:spacing w:before="60" w:after="160" w:line="288" w:lineRule="auto"/>
        <w:ind w:left="173" w:right="173"/>
        <w:shd w:fill="FFF7E8"/>
        <w:pBdr>
          <w:left w:val="single" w:sz="18" w:space="6" w:color="B9863B"/>
        </w:pBdr>
      </w:pPr>
      <w:r>
        <w:rPr>
          <w:rFonts w:ascii="Calibri" w:hAnsi="Calibri"/>
          <w:b/>
          <w:color w:val="B9863B"/>
        </w:rPr>
        <w:t xml:space="preserve">Retention and backup responsibility: </w:t>
      </w:r>
      <w:r>
        <w:rPr>
          <w:rFonts w:ascii="Calibri" w:hAnsi="Calibri"/>
          <w:color w:val="183331"/>
        </w:rPr>
        <w:t>The application schema preserves records but does not define the practice's retention schedule, legal hold, archival, encrypted backup, restore testing, or media destruction policy. Those are required production controls owned by the practice and IT/security team.</w:t>
      </w:r>
    </w:p>
    <w:p>
      <w:pPr>
        <w:pStyle w:val="Heading2"/>
        <w:keepNext/>
      </w:pPr>
      <w:r>
        <w:rPr>
          <w:rFonts w:ascii="Calibri" w:hAnsi="Calibri"/>
          <w:b/>
          <w:color w:val="286D65"/>
        </w:rPr>
        <w:t>7.6 Data Use and Refinement Boundaries</w:t>
      </w:r>
    </w:p>
    <w:tbl>
      <w:tblPr>
        <w:tblStyle w:val="TableGrid"/>
        <w:tblW w:type="dxa" w:w="9360"/>
        <w:jc w:val="left"/>
        <w:tblLayout w:type="fixed"/>
        <w:tblLook w:firstColumn="1" w:firstRow="1" w:lastColumn="0" w:lastRow="0" w:noHBand="0" w:noVBand="1" w:val="04A0"/>
        <w:tblInd w:w="120" w:type="dxa"/>
      </w:tblPr>
      <w:tblGrid>
        <w:gridCol w:w="1700"/>
        <w:gridCol w:w="3260"/>
        <w:gridCol w:w="2050"/>
        <w:gridCol w:w="2350"/>
      </w:tblGrid>
      <w:tr>
        <w:trPr>
          <w:tblHeader w:val="true"/>
        </w:trPr>
        <w:tc>
          <w:tcPr>
            <w:tcW w:type="dxa" w:w="1700"/>
            <w:shd w:fill="173F3D"/>
            <w:tcMar>
              <w:top w:w="80" w:type="dxa"/>
              <w:start w:w="120" w:type="dxa"/>
              <w:bottom w:w="80" w:type="dxa"/>
              <w:end w:w="120" w:type="dxa"/>
            </w:tcMar>
            <w:vAlign w:val="center"/>
          </w:tcPr>
          <w:p>
            <w:pPr>
              <w:spacing w:after="0"/>
              <w:jc w:val="center"/>
            </w:pPr>
            <w:r>
              <w:rPr>
                <w:rFonts w:ascii="Calibri" w:hAnsi="Calibri"/>
                <w:b/>
                <w:color w:val="FFFFFF"/>
                <w:sz w:val="18"/>
              </w:rPr>
              <w:t>Data group</w:t>
            </w:r>
          </w:p>
        </w:tc>
        <w:tc>
          <w:tcPr>
            <w:tcW w:type="dxa" w:w="3260"/>
            <w:shd w:fill="173F3D"/>
            <w:tcMar>
              <w:top w:w="80" w:type="dxa"/>
              <w:start w:w="120" w:type="dxa"/>
              <w:bottom w:w="80" w:type="dxa"/>
              <w:end w:w="120" w:type="dxa"/>
            </w:tcMar>
            <w:vAlign w:val="center"/>
          </w:tcPr>
          <w:p>
            <w:pPr>
              <w:spacing w:after="0"/>
              <w:jc w:val="left"/>
            </w:pPr>
            <w:r>
              <w:rPr>
                <w:rFonts w:ascii="Calibri" w:hAnsi="Calibri"/>
                <w:b/>
                <w:color w:val="FFFFFF"/>
                <w:sz w:val="18"/>
              </w:rPr>
              <w:t>How the application uses it</w:t>
            </w:r>
          </w:p>
        </w:tc>
        <w:tc>
          <w:tcPr>
            <w:tcW w:type="dxa" w:w="2050"/>
            <w:shd w:fill="173F3D"/>
            <w:tcMar>
              <w:top w:w="80" w:type="dxa"/>
              <w:start w:w="120" w:type="dxa"/>
              <w:bottom w:w="80" w:type="dxa"/>
              <w:end w:w="120" w:type="dxa"/>
            </w:tcMar>
            <w:vAlign w:val="center"/>
          </w:tcPr>
          <w:p>
            <w:pPr>
              <w:spacing w:after="0"/>
              <w:jc w:val="left"/>
            </w:pPr>
            <w:r>
              <w:rPr>
                <w:rFonts w:ascii="Calibri" w:hAnsi="Calibri"/>
                <w:b/>
                <w:color w:val="FFFFFF"/>
                <w:sz w:val="18"/>
              </w:rPr>
              <w:t>Required for startup?</w:t>
            </w:r>
          </w:p>
        </w:tc>
        <w:tc>
          <w:tcPr>
            <w:tcW w:type="dxa" w:w="2350"/>
            <w:shd w:fill="173F3D"/>
            <w:tcMar>
              <w:top w:w="80" w:type="dxa"/>
              <w:start w:w="120" w:type="dxa"/>
              <w:bottom w:w="80" w:type="dxa"/>
              <w:end w:w="120" w:type="dxa"/>
            </w:tcMar>
            <w:vAlign w:val="center"/>
          </w:tcPr>
          <w:p>
            <w:pPr>
              <w:spacing w:after="0"/>
              <w:jc w:val="center"/>
            </w:pPr>
            <w:r>
              <w:rPr>
                <w:rFonts w:ascii="Calibri" w:hAnsi="Calibri"/>
                <w:b/>
                <w:color w:val="FFFFFF"/>
                <w:sz w:val="18"/>
              </w:rPr>
              <w:t>Key boundary</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7"/>
              </w:rPr>
              <w:t>Reference configuration</w:t>
            </w:r>
          </w:p>
        </w:tc>
        <w:tc>
          <w:tcPr>
            <w:tcW w:type="dxa" w:w="3260"/>
            <w:tcMar>
              <w:top w:w="80" w:type="dxa"/>
              <w:start w:w="120" w:type="dxa"/>
              <w:bottom w:w="80" w:type="dxa"/>
              <w:end w:w="120" w:type="dxa"/>
            </w:tcMar>
            <w:vAlign w:val="center"/>
          </w:tcPr>
          <w:p>
            <w:pPr>
              <w:spacing w:after="0" w:line="264" w:lineRule="auto"/>
            </w:pPr>
            <w:r>
              <w:rPr>
                <w:rFonts w:ascii="Calibri" w:hAnsi="Calibri"/>
                <w:color w:val="183331"/>
                <w:sz w:val="17"/>
              </w:rPr>
              <w:t>Supplies initial procedures, phases, durations, resources, capacity, and scheduling policy</w:t>
            </w:r>
          </w:p>
        </w:tc>
        <w:tc>
          <w:tcPr>
            <w:tcW w:type="dxa" w:w="2050"/>
            <w:tcMar>
              <w:top w:w="80" w:type="dxa"/>
              <w:start w:w="120" w:type="dxa"/>
              <w:bottom w:w="80" w:type="dxa"/>
              <w:end w:w="120" w:type="dxa"/>
            </w:tcMar>
            <w:vAlign w:val="center"/>
          </w:tcPr>
          <w:p>
            <w:pPr>
              <w:spacing w:after="0" w:line="264" w:lineRule="auto"/>
            </w:pPr>
            <w:r>
              <w:rPr>
                <w:rFonts w:ascii="Calibri" w:hAnsi="Calibri"/>
                <w:color w:val="183331"/>
                <w:sz w:val="17"/>
              </w:rPr>
              <w:t>Installed by default; local validation is required before real-patient use</w:t>
            </w:r>
          </w:p>
        </w:tc>
        <w:tc>
          <w:tcPr>
            <w:tcW w:type="dxa" w:w="2350"/>
            <w:tcMar>
              <w:top w:w="80" w:type="dxa"/>
              <w:start w:w="120" w:type="dxa"/>
              <w:bottom w:w="80" w:type="dxa"/>
              <w:end w:w="120" w:type="dxa"/>
            </w:tcMar>
            <w:vAlign w:val="center"/>
          </w:tcPr>
          <w:p>
            <w:pPr>
              <w:spacing w:after="0" w:line="264" w:lineRule="auto"/>
            </w:pPr>
            <w:r>
              <w:rPr>
                <w:rFonts w:ascii="Calibri" w:hAnsi="Calibri"/>
                <w:color w:val="183331"/>
                <w:sz w:val="17"/>
              </w:rPr>
              <w:t>Policy is versioned and practice-owned</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7"/>
              </w:rPr>
              <w:t>Current request</w:t>
            </w:r>
          </w:p>
        </w:tc>
        <w:tc>
          <w:tcPr>
            <w:tcW w:type="dxa" w:w="3260"/>
            <w:tcMar>
              <w:top w:w="80" w:type="dxa"/>
              <w:start w:w="120" w:type="dxa"/>
              <w:bottom w:w="80" w:type="dxa"/>
              <w:end w:w="120" w:type="dxa"/>
            </w:tcMar>
            <w:vAlign w:val="center"/>
          </w:tcPr>
          <w:p>
            <w:pPr>
              <w:spacing w:after="0" w:line="264" w:lineRule="auto"/>
            </w:pPr>
            <w:r>
              <w:rPr>
                <w:rFonts w:ascii="Calibri" w:hAnsi="Calibri"/>
                <w:color w:val="183331"/>
                <w:sz w:val="17"/>
              </w:rPr>
              <w:t>Creates the scheduling request and constrains date, time, procedure, complexity, and preferences</w:t>
            </w:r>
          </w:p>
        </w:tc>
        <w:tc>
          <w:tcPr>
            <w:tcW w:type="dxa" w:w="2050"/>
            <w:tcMar>
              <w:top w:w="80" w:type="dxa"/>
              <w:start w:w="120" w:type="dxa"/>
              <w:bottom w:w="80" w:type="dxa"/>
              <w:end w:w="120" w:type="dxa"/>
            </w:tcMar>
            <w:vAlign w:val="center"/>
          </w:tcPr>
          <w:p>
            <w:pPr>
              <w:spacing w:after="0" w:line="264" w:lineRule="auto"/>
            </w:pPr>
            <w:r>
              <w:rPr>
                <w:rFonts w:ascii="Calibri" w:hAnsi="Calibri"/>
                <w:color w:val="183331"/>
                <w:sz w:val="17"/>
              </w:rPr>
              <w:t>Required for the individual workflow</w:t>
            </w:r>
          </w:p>
        </w:tc>
        <w:tc>
          <w:tcPr>
            <w:tcW w:type="dxa" w:w="2350"/>
            <w:tcMar>
              <w:top w:w="80" w:type="dxa"/>
              <w:start w:w="120" w:type="dxa"/>
              <w:bottom w:w="80" w:type="dxa"/>
              <w:end w:w="120" w:type="dxa"/>
            </w:tcMar>
            <w:vAlign w:val="center"/>
          </w:tcPr>
          <w:p>
            <w:pPr>
              <w:spacing w:after="0" w:line="264" w:lineRule="auto"/>
            </w:pPr>
            <w:r>
              <w:rPr>
                <w:rFonts w:ascii="Calibri" w:hAnsi="Calibri"/>
                <w:color w:val="183331"/>
                <w:sz w:val="17"/>
              </w:rPr>
              <w:t>Collect only minimum necessary scheduling context</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7"/>
              </w:rPr>
              <w:t>Current calendar</w:t>
            </w:r>
          </w:p>
        </w:tc>
        <w:tc>
          <w:tcPr>
            <w:tcW w:type="dxa" w:w="3260"/>
            <w:tcMar>
              <w:top w:w="80" w:type="dxa"/>
              <w:start w:w="120" w:type="dxa"/>
              <w:bottom w:w="80" w:type="dxa"/>
              <w:end w:w="120" w:type="dxa"/>
            </w:tcMar>
            <w:vAlign w:val="center"/>
          </w:tcPr>
          <w:p>
            <w:pPr>
              <w:spacing w:after="0" w:line="264" w:lineRule="auto"/>
            </w:pPr>
            <w:r>
              <w:rPr>
                <w:rFonts w:ascii="Calibri" w:hAnsi="Calibri"/>
                <w:color w:val="183331"/>
                <w:sz w:val="17"/>
              </w:rPr>
              <w:t>Prevents collisions and protects confirmed patients, rooms, providers, and equipment</w:t>
            </w:r>
          </w:p>
        </w:tc>
        <w:tc>
          <w:tcPr>
            <w:tcW w:type="dxa" w:w="2050"/>
            <w:tcMar>
              <w:top w:w="80" w:type="dxa"/>
              <w:start w:w="120" w:type="dxa"/>
              <w:bottom w:w="80" w:type="dxa"/>
              <w:end w:w="120" w:type="dxa"/>
            </w:tcMar>
            <w:vAlign w:val="center"/>
          </w:tcPr>
          <w:p>
            <w:pPr>
              <w:spacing w:after="0" w:line="264" w:lineRule="auto"/>
            </w:pPr>
            <w:r>
              <w:rPr>
                <w:rFonts w:ascii="Calibri" w:hAnsi="Calibri"/>
                <w:color w:val="183331"/>
                <w:sz w:val="17"/>
              </w:rPr>
              <w:t>Created and maintained by normal use</w:t>
            </w:r>
          </w:p>
        </w:tc>
        <w:tc>
          <w:tcPr>
            <w:tcW w:type="dxa" w:w="2350"/>
            <w:tcMar>
              <w:top w:w="80" w:type="dxa"/>
              <w:start w:w="120" w:type="dxa"/>
              <w:bottom w:w="80" w:type="dxa"/>
              <w:end w:w="120" w:type="dxa"/>
            </w:tcMar>
            <w:vAlign w:val="center"/>
          </w:tcPr>
          <w:p>
            <w:pPr>
              <w:spacing w:after="0" w:line="264" w:lineRule="auto"/>
            </w:pPr>
            <w:r>
              <w:rPr>
                <w:rFonts w:ascii="Calibri" w:hAnsi="Calibri"/>
                <w:color w:val="183331"/>
                <w:sz w:val="17"/>
              </w:rPr>
              <w:t>Confirmed appointments remain locked</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7"/>
              </w:rPr>
              <w:t>Local intake text</w:t>
            </w:r>
          </w:p>
        </w:tc>
        <w:tc>
          <w:tcPr>
            <w:tcW w:type="dxa" w:w="3260"/>
            <w:tcMar>
              <w:top w:w="80" w:type="dxa"/>
              <w:start w:w="120" w:type="dxa"/>
              <w:bottom w:w="80" w:type="dxa"/>
              <w:end w:w="120" w:type="dxa"/>
            </w:tcMar>
            <w:vAlign w:val="center"/>
          </w:tcPr>
          <w:p>
            <w:pPr>
              <w:spacing w:after="0" w:line="264" w:lineRule="auto"/>
            </w:pPr>
            <w:r>
              <w:rPr>
                <w:rFonts w:ascii="Calibri" w:hAnsi="Calibri"/>
                <w:color w:val="183331"/>
                <w:sz w:val="17"/>
              </w:rPr>
              <w:t>Produces allowlisted scheduling tags and confidence through the on-premises model and rules</w:t>
            </w:r>
          </w:p>
        </w:tc>
        <w:tc>
          <w:tcPr>
            <w:tcW w:type="dxa" w:w="2050"/>
            <w:tcMar>
              <w:top w:w="80" w:type="dxa"/>
              <w:start w:w="120" w:type="dxa"/>
              <w:bottom w:w="80" w:type="dxa"/>
              <w:end w:w="120" w:type="dxa"/>
            </w:tcMar>
            <w:vAlign w:val="center"/>
          </w:tcPr>
          <w:p>
            <w:pPr>
              <w:spacing w:after="0" w:line="264" w:lineRule="auto"/>
            </w:pPr>
            <w:r>
              <w:rPr>
                <w:rFonts w:ascii="Calibri" w:hAnsi="Calibri"/>
                <w:color w:val="183331"/>
                <w:sz w:val="17"/>
              </w:rPr>
              <w:t>Optional when structured fields are entered manually</w:t>
            </w:r>
          </w:p>
        </w:tc>
        <w:tc>
          <w:tcPr>
            <w:tcW w:type="dxa" w:w="2350"/>
            <w:tcMar>
              <w:top w:w="80" w:type="dxa"/>
              <w:start w:w="120" w:type="dxa"/>
              <w:bottom w:w="80" w:type="dxa"/>
              <w:end w:w="120" w:type="dxa"/>
            </w:tcMar>
            <w:vAlign w:val="center"/>
          </w:tcPr>
          <w:p>
            <w:pPr>
              <w:spacing w:after="0" w:line="264" w:lineRule="auto"/>
            </w:pPr>
            <w:r>
              <w:rPr>
                <w:rFonts w:ascii="Calibri" w:hAnsi="Calibri"/>
                <w:color w:val="183331"/>
                <w:sz w:val="17"/>
              </w:rPr>
              <w:t>No diagnosis, booking authority, cloud call, or model training</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7"/>
              </w:rPr>
              <w:t>Operational lifecycle</w:t>
            </w:r>
          </w:p>
        </w:tc>
        <w:tc>
          <w:tcPr>
            <w:tcW w:type="dxa" w:w="3260"/>
            <w:tcMar>
              <w:top w:w="80" w:type="dxa"/>
              <w:start w:w="120" w:type="dxa"/>
              <w:bottom w:w="80" w:type="dxa"/>
              <w:end w:w="120" w:type="dxa"/>
            </w:tcMar>
            <w:vAlign w:val="center"/>
          </w:tcPr>
          <w:p>
            <w:pPr>
              <w:spacing w:after="0" w:line="264" w:lineRule="auto"/>
            </w:pPr>
            <w:r>
              <w:rPr>
                <w:rFonts w:ascii="Calibri" w:hAnsi="Calibri"/>
                <w:color w:val="183331"/>
                <w:sz w:val="17"/>
              </w:rPr>
              <w:t>Supports local analytics for utilization, attendance, wait, booking lead time, production, and workload</w:t>
            </w:r>
          </w:p>
        </w:tc>
        <w:tc>
          <w:tcPr>
            <w:tcW w:type="dxa" w:w="2050"/>
            <w:tcMar>
              <w:top w:w="80" w:type="dxa"/>
              <w:start w:w="120" w:type="dxa"/>
              <w:bottom w:w="80" w:type="dxa"/>
              <w:end w:w="120" w:type="dxa"/>
            </w:tcMar>
            <w:vAlign w:val="center"/>
          </w:tcPr>
          <w:p>
            <w:pPr>
              <w:spacing w:after="0" w:line="264" w:lineRule="auto"/>
            </w:pPr>
            <w:r>
              <w:rPr>
                <w:rFonts w:ascii="Calibri" w:hAnsi="Calibri"/>
                <w:color w:val="183331"/>
                <w:sz w:val="17"/>
              </w:rPr>
              <w:t>Accumulates during use</w:t>
            </w:r>
          </w:p>
        </w:tc>
        <w:tc>
          <w:tcPr>
            <w:tcW w:type="dxa" w:w="2350"/>
            <w:tcMar>
              <w:top w:w="80" w:type="dxa"/>
              <w:start w:w="120" w:type="dxa"/>
              <w:bottom w:w="80" w:type="dxa"/>
              <w:end w:w="120" w:type="dxa"/>
            </w:tcMar>
            <w:vAlign w:val="center"/>
          </w:tcPr>
          <w:p>
            <w:pPr>
              <w:spacing w:after="0" w:line="264" w:lineRule="auto"/>
            </w:pPr>
            <w:r>
              <w:rPr>
                <w:rFonts w:ascii="Calibri" w:hAnsi="Calibri"/>
                <w:color w:val="183331"/>
                <w:sz w:val="17"/>
              </w:rPr>
              <w:t>Descriptive decision support only</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7"/>
              </w:rPr>
              <w:t>Duration observations</w:t>
            </w:r>
          </w:p>
        </w:tc>
        <w:tc>
          <w:tcPr>
            <w:tcW w:type="dxa" w:w="3260"/>
            <w:tcMar>
              <w:top w:w="80" w:type="dxa"/>
              <w:start w:w="120" w:type="dxa"/>
              <w:bottom w:w="80" w:type="dxa"/>
              <w:end w:w="120" w:type="dxa"/>
            </w:tcMar>
            <w:vAlign w:val="center"/>
          </w:tcPr>
          <w:p>
            <w:pPr>
              <w:spacing w:after="0" w:line="264" w:lineRule="auto"/>
            </w:pPr>
            <w:r>
              <w:rPr>
                <w:rFonts w:ascii="Calibri" w:hAnsi="Calibri"/>
                <w:color w:val="183331"/>
                <w:sz w:val="17"/>
              </w:rPr>
              <w:t>May stage future standard/complex duration proposals using median and p90 after the evidence threshold</w:t>
            </w:r>
          </w:p>
        </w:tc>
        <w:tc>
          <w:tcPr>
            <w:tcW w:type="dxa" w:w="2050"/>
            <w:tcMar>
              <w:top w:w="80" w:type="dxa"/>
              <w:start w:w="120" w:type="dxa"/>
              <w:bottom w:w="80" w:type="dxa"/>
              <w:end w:w="120" w:type="dxa"/>
            </w:tcMar>
            <w:vAlign w:val="center"/>
          </w:tcPr>
          <w:p>
            <w:pPr>
              <w:spacing w:after="0" w:line="264" w:lineRule="auto"/>
            </w:pPr>
            <w:r>
              <w:rPr>
                <w:rFonts w:ascii="Calibri" w:hAnsi="Calibri"/>
                <w:color w:val="183331"/>
                <w:sz w:val="17"/>
              </w:rPr>
              <w:t>No</w:t>
            </w:r>
          </w:p>
        </w:tc>
        <w:tc>
          <w:tcPr>
            <w:tcW w:type="dxa" w:w="2350"/>
            <w:tcMar>
              <w:top w:w="80" w:type="dxa"/>
              <w:start w:w="120" w:type="dxa"/>
              <w:bottom w:w="80" w:type="dxa"/>
              <w:end w:w="120" w:type="dxa"/>
            </w:tcMar>
            <w:vAlign w:val="center"/>
          </w:tcPr>
          <w:p>
            <w:pPr>
              <w:spacing w:after="0" w:line="264" w:lineRule="auto"/>
            </w:pPr>
            <w:r>
              <w:rPr>
                <w:rFonts w:ascii="Calibri" w:hAnsi="Calibri"/>
                <w:color w:val="183331"/>
                <w:sz w:val="17"/>
              </w:rPr>
              <w:t>De-identified, no appointment link, no auto-apply</w:t>
            </w:r>
          </w:p>
        </w:tc>
      </w:tr>
    </w:tbl>
    <w:p>
      <w:pPr>
        <w:spacing w:after="60"/>
      </w:pPr>
    </w:p>
    <w:p>
      <w:pPr>
        <w:spacing w:before="60" w:after="160" w:line="288" w:lineRule="auto"/>
        <w:ind w:left="173" w:right="173"/>
        <w:shd w:fill="F4F7F5"/>
        <w:pBdr>
          <w:left w:val="single" w:sz="18" w:space="6" w:color="286D65"/>
        </w:pBdr>
      </w:pPr>
      <w:r>
        <w:rPr>
          <w:rFonts w:ascii="Calibri" w:hAnsi="Calibri"/>
          <w:b/>
          <w:color w:val="286D65"/>
        </w:rPr>
        <w:t xml:space="preserve">No practice-data model training: </w:t>
      </w:r>
      <w:r>
        <w:rPr>
          <w:rFonts w:ascii="Calibri" w:hAnsi="Calibri"/>
          <w:color w:val="183331"/>
        </w:rPr>
        <w:t>The current refinement path does not train or fine-tune the pretrained intake model. It calculates deterministic duration-policy proposals from de-identified local observations. Any future model training is a separate governed project requiring privacy review, a validation plan, approved data, artifact provenance, and release acceptance evidence.</w:t>
      </w:r>
    </w:p>
    <w:p>
      <w:pPr>
        <w:pStyle w:val="Heading1"/>
        <w:keepNext/>
      </w:pPr>
      <w:r>
        <w:rPr>
          <w:rFonts w:ascii="Calibri" w:hAnsi="Calibri"/>
          <w:b/>
          <w:color w:val="286D65"/>
        </w:rPr>
        <w:t>8. End-to-End Workflows</w:t>
      </w:r>
    </w:p>
    <w:p>
      <w:pPr>
        <w:pStyle w:val="Heading2"/>
        <w:keepNext/>
      </w:pPr>
      <w:r>
        <w:rPr>
          <w:rFonts w:ascii="Calibri" w:hAnsi="Calibri"/>
          <w:b/>
          <w:color w:val="286D65"/>
        </w:rPr>
        <w:t>8.1 New Patient Recommendation</w:t>
      </w:r>
    </w:p>
    <w:p>
      <w:pPr>
        <w:pStyle w:val="ListNumber"/>
        <w:spacing w:after="80"/>
        <w:ind w:left="540" w:hanging="271"/>
      </w:pPr>
      <w:r>
        <w:t>Enter request. Staff supplies patient name, MRN, and clinician-approved procedure. The basic flow assumes any opening in the rolling year; condition context, custom dates and daily hours, preferred dentist, complexity, and waitlist consent are optional or situational.</w:t>
      </w:r>
    </w:p>
    <w:p>
      <w:pPr>
        <w:pStyle w:val="ListNumber"/>
        <w:spacing w:after="80"/>
        <w:ind w:left="540" w:hanging="271"/>
      </w:pPr>
      <w:r>
        <w:rPr>
          <w:rFonts w:ascii="Calibri" w:hAnsi="Calibri"/>
          <w:b/>
          <w:color w:val="173F3D"/>
        </w:rPr>
        <w:t xml:space="preserve">Validate window. </w:t>
      </w:r>
      <w:r>
        <w:rPr>
          <w:rFonts w:ascii="Calibri" w:hAnsi="Calibri"/>
          <w:color w:val="183331"/>
        </w:rPr>
        <w:t>Server rejects reversed times/dates and searches beyond the rolling horizon</w:t>
      </w:r>
    </w:p>
    <w:p>
      <w:pPr>
        <w:pStyle w:val="ListNumber"/>
        <w:spacing w:after="80"/>
        <w:ind w:left="540" w:hanging="271"/>
      </w:pPr>
      <w:r>
        <w:rPr>
          <w:rFonts w:ascii="Calibri" w:hAnsi="Calibri"/>
          <w:b/>
          <w:color w:val="173F3D"/>
        </w:rPr>
        <w:t xml:space="preserve">Normalize intake. </w:t>
      </w:r>
      <w:r>
        <w:rPr>
          <w:rFonts w:ascii="Calibri" w:hAnsi="Calibri"/>
          <w:color w:val="183331"/>
        </w:rPr>
        <w:t>Local model and rules produce allowed tags, confidence, source, and deterministic priority</w:t>
      </w:r>
    </w:p>
    <w:p>
      <w:pPr>
        <w:pStyle w:val="ListNumber"/>
        <w:spacing w:after="80"/>
        <w:ind w:left="540" w:hanging="271"/>
      </w:pPr>
      <w:r>
        <w:rPr>
          <w:rFonts w:ascii="Calibri" w:hAnsi="Calibri"/>
          <w:b/>
          <w:color w:val="173F3D"/>
        </w:rPr>
        <w:t xml:space="preserve">Create patient/request. </w:t>
      </w:r>
      <w:r>
        <w:rPr>
          <w:rFonts w:ascii="Calibri" w:hAnsi="Calibri"/>
          <w:color w:val="183331"/>
        </w:rPr>
        <w:t>Patient is inserted or updated; scheduling request and daily availability ranges are stored</w:t>
      </w:r>
    </w:p>
    <w:p>
      <w:pPr>
        <w:pStyle w:val="ListNumber"/>
        <w:spacing w:after="80"/>
        <w:ind w:left="540" w:hanging="271"/>
      </w:pPr>
      <w:r>
        <w:rPr>
          <w:rFonts w:ascii="Calibri" w:hAnsi="Calibri"/>
          <w:b/>
          <w:color w:val="173F3D"/>
        </w:rPr>
        <w:t xml:space="preserve">Build snapshot. </w:t>
      </w:r>
      <w:r>
        <w:rPr>
          <w:rFonts w:ascii="Calibri" w:hAnsi="Calibri"/>
          <w:color w:val="183331"/>
        </w:rPr>
        <w:t>Server loads qualifications, policy, hours, shifts, leave, closures, rooms, equipment, appointments, phases, targets, and emergency blocks</w:t>
      </w:r>
    </w:p>
    <w:p>
      <w:pPr>
        <w:pStyle w:val="ListNumber"/>
        <w:spacing w:after="80"/>
        <w:ind w:left="540" w:hanging="271"/>
      </w:pPr>
      <w:r>
        <w:rPr>
          <w:rFonts w:ascii="Calibri" w:hAnsi="Calibri"/>
          <w:b/>
          <w:color w:val="173F3D"/>
        </w:rPr>
        <w:t xml:space="preserve">Recommend. </w:t>
      </w:r>
      <w:r>
        <w:rPr>
          <w:rFonts w:ascii="Calibri" w:hAnsi="Calibri"/>
          <w:color w:val="183331"/>
        </w:rPr>
        <w:t>Optimizer returns up to five feasible doctor/room/timeslot candidates with phase strips, resource plan, production, score, and explanation</w:t>
      </w:r>
    </w:p>
    <w:p>
      <w:pPr>
        <w:pStyle w:val="ListNumber"/>
        <w:spacing w:after="80"/>
        <w:ind w:left="540" w:hanging="271"/>
      </w:pPr>
      <w:r>
        <w:rPr>
          <w:rFonts w:ascii="Calibri" w:hAnsi="Calibri"/>
          <w:b/>
          <w:color w:val="173F3D"/>
        </w:rPr>
        <w:t xml:space="preserve">Review. </w:t>
      </w:r>
      <w:r>
        <w:rPr>
          <w:rFonts w:ascii="Calibri" w:hAnsi="Calibri"/>
          <w:color w:val="183331"/>
        </w:rPr>
        <w:t>Staff confirms normalized intake when condition text was entered</w:t>
      </w:r>
    </w:p>
    <w:p>
      <w:pPr>
        <w:pStyle w:val="Heading2"/>
        <w:keepNext/>
      </w:pPr>
      <w:r>
        <w:rPr>
          <w:rFonts w:ascii="Calibri" w:hAnsi="Calibri"/>
          <w:b/>
          <w:color w:val="286D65"/>
        </w:rPr>
        <w:t>8.2 Appointment Confirmation</w:t>
      </w:r>
    </w:p>
    <w:p>
      <w:pPr>
        <w:pStyle w:val="ListNumber"/>
        <w:spacing w:after="80"/>
        <w:ind w:left="540" w:hanging="271"/>
      </w:pPr>
      <w:r>
        <w:rPr>
          <w:rFonts w:ascii="Calibri" w:hAnsi="Calibri"/>
          <w:b/>
          <w:color w:val="173F3D"/>
        </w:rPr>
        <w:t xml:space="preserve">Lock snapshot. </w:t>
      </w:r>
      <w:r>
        <w:rPr>
          <w:rFonts w:ascii="Calibri" w:hAnsi="Calibri"/>
          <w:color w:val="183331"/>
        </w:rPr>
        <w:t>Server selects an unused, unexpired, non-reschedule recommendation for update</w:t>
      </w:r>
    </w:p>
    <w:p>
      <w:pPr>
        <w:pStyle w:val="ListNumber"/>
        <w:spacing w:after="80"/>
        <w:ind w:left="540" w:hanging="271"/>
      </w:pPr>
      <w:r>
        <w:rPr>
          <w:rFonts w:ascii="Calibri" w:hAnsi="Calibri"/>
          <w:b/>
          <w:color w:val="173F3D"/>
        </w:rPr>
        <w:t xml:space="preserve">Recheck qualification. </w:t>
      </w:r>
      <w:r>
        <w:rPr>
          <w:rFonts w:ascii="Calibri" w:hAnsi="Calibri"/>
          <w:color w:val="183331"/>
        </w:rPr>
        <w:t>Dentist qualification must still be effective on service date</w:t>
      </w:r>
    </w:p>
    <w:p>
      <w:pPr>
        <w:pStyle w:val="ListNumber"/>
        <w:spacing w:after="80"/>
        <w:ind w:left="540" w:hanging="271"/>
      </w:pPr>
      <w:r>
        <w:rPr>
          <w:rFonts w:ascii="Calibri" w:hAnsi="Calibri"/>
          <w:b/>
          <w:color w:val="173F3D"/>
        </w:rPr>
        <w:t xml:space="preserve">Insert appointment. </w:t>
      </w:r>
      <w:r>
        <w:rPr>
          <w:rFonts w:ascii="Calibri" w:hAnsi="Calibri"/>
          <w:color w:val="183331"/>
        </w:rPr>
        <w:t>Status becomes confirmed; arrival type is scheduled or walk-in</w:t>
      </w:r>
    </w:p>
    <w:p>
      <w:pPr>
        <w:pStyle w:val="ListNumber"/>
        <w:spacing w:after="80"/>
        <w:ind w:left="540" w:hanging="271"/>
      </w:pPr>
      <w:r>
        <w:rPr>
          <w:rFonts w:ascii="Calibri" w:hAnsi="Calibri"/>
          <w:b/>
          <w:color w:val="173F3D"/>
        </w:rPr>
        <w:t xml:space="preserve">Materialize phases. </w:t>
      </w:r>
      <w:r>
        <w:rPr>
          <w:rFonts w:ascii="Calibri" w:hAnsi="Calibri"/>
          <w:color w:val="183331"/>
        </w:rPr>
        <w:t>Every ordered phase is validated and inserted with exact provider and timestamps</w:t>
      </w:r>
    </w:p>
    <w:p>
      <w:pPr>
        <w:pStyle w:val="ListNumber"/>
        <w:spacing w:after="80"/>
        <w:ind w:left="540" w:hanging="271"/>
      </w:pPr>
      <w:r>
        <w:rPr>
          <w:rFonts w:ascii="Calibri" w:hAnsi="Calibri"/>
          <w:b/>
          <w:color w:val="173F3D"/>
        </w:rPr>
        <w:t xml:space="preserve">Reserve equipment. </w:t>
      </w:r>
      <w:r>
        <w:rPr>
          <w:rFonts w:ascii="Calibri" w:hAnsi="Calibri"/>
          <w:color w:val="183331"/>
        </w:rPr>
        <w:t>Exact equipment unit numbers are validated and inserted</w:t>
      </w:r>
    </w:p>
    <w:p>
      <w:pPr>
        <w:pStyle w:val="ListNumber"/>
        <w:spacing w:after="80"/>
        <w:ind w:left="540" w:hanging="271"/>
      </w:pPr>
      <w:r>
        <w:rPr>
          <w:rFonts w:ascii="Calibri" w:hAnsi="Calibri"/>
          <w:b/>
          <w:color w:val="173F3D"/>
        </w:rPr>
        <w:t xml:space="preserve">Credit production. </w:t>
      </w:r>
      <w:r>
        <w:rPr>
          <w:rFonts w:ascii="Calibri" w:hAnsi="Calibri"/>
          <w:color w:val="183331"/>
        </w:rPr>
        <w:t>Approved role shares are applied to participating providers</w:t>
      </w:r>
    </w:p>
    <w:p>
      <w:pPr>
        <w:pStyle w:val="ListNumber"/>
        <w:spacing w:after="80"/>
        <w:ind w:left="540" w:hanging="271"/>
      </w:pPr>
      <w:r>
        <w:rPr>
          <w:rFonts w:ascii="Calibri" w:hAnsi="Calibri"/>
          <w:b/>
          <w:color w:val="173F3D"/>
        </w:rPr>
        <w:t xml:space="preserve">Create links. </w:t>
      </w:r>
      <w:r>
        <w:rPr>
          <w:rFonts w:ascii="Calibri" w:hAnsi="Calibri"/>
          <w:color w:val="183331"/>
        </w:rPr>
        <w:t>Source waitlist and configured follow-up/lab-return rules are updated</w:t>
      </w:r>
    </w:p>
    <w:p>
      <w:pPr>
        <w:pStyle w:val="ListNumber"/>
        <w:spacing w:after="80"/>
        <w:ind w:left="540" w:hanging="271"/>
      </w:pPr>
      <w:r>
        <w:rPr>
          <w:rFonts w:ascii="Calibri" w:hAnsi="Calibri"/>
          <w:b/>
          <w:color w:val="173F3D"/>
        </w:rPr>
        <w:t xml:space="preserve">Commit evidence. </w:t>
      </w:r>
      <w:r>
        <w:rPr>
          <w:rFonts w:ascii="Calibri" w:hAnsi="Calibri"/>
          <w:color w:val="183331"/>
        </w:rPr>
        <w:t>Snapshot consumed, request scheduled, status history and audit event inserted atomically</w:t>
      </w:r>
    </w:p>
    <w:p>
      <w:pPr>
        <w:pStyle w:val="Heading2"/>
        <w:keepNext/>
      </w:pPr>
      <w:r>
        <w:rPr>
          <w:rFonts w:ascii="Calibri" w:hAnsi="Calibri"/>
          <w:b/>
          <w:color w:val="286D65"/>
        </w:rPr>
        <w:t>8.3 Locked Appointment Rescheduling</w:t>
      </w:r>
    </w:p>
    <w:p>
      <w:pPr>
        <w:pStyle w:val="ListNumber"/>
        <w:spacing w:after="80"/>
        <w:ind w:left="540" w:hanging="271"/>
      </w:pPr>
      <w:r>
        <w:rPr>
          <w:rFonts w:ascii="Calibri" w:hAnsi="Calibri"/>
          <w:b/>
          <w:color w:val="173F3D"/>
        </w:rPr>
        <w:t xml:space="preserve">Open protected dialog. </w:t>
      </w:r>
      <w:r>
        <w:rPr>
          <w:rFonts w:ascii="Calibri" w:hAnsi="Calibri"/>
          <w:color w:val="183331"/>
        </w:rPr>
        <w:t>Only administrator or scheduler can request options through the current API</w:t>
      </w:r>
    </w:p>
    <w:p>
      <w:pPr>
        <w:pStyle w:val="ListNumber"/>
        <w:spacing w:after="80"/>
        <w:ind w:left="540" w:hanging="271"/>
      </w:pPr>
      <w:r>
        <w:rPr>
          <w:rFonts w:ascii="Calibri" w:hAnsi="Calibri"/>
          <w:b/>
          <w:color w:val="173F3D"/>
        </w:rPr>
        <w:t xml:space="preserve">Preview. </w:t>
      </w:r>
      <w:r>
        <w:rPr>
          <w:rFonts w:ascii="Calibri" w:hAnsi="Calibri"/>
          <w:color w:val="183331"/>
        </w:rPr>
        <w:t>Optimizer searches while excluding the current appointment from the hypothetical snapshot; live booking is untouched</w:t>
      </w:r>
    </w:p>
    <w:p>
      <w:pPr>
        <w:pStyle w:val="ListNumber"/>
        <w:spacing w:after="80"/>
        <w:ind w:left="540" w:hanging="271"/>
      </w:pPr>
      <w:r>
        <w:rPr>
          <w:rFonts w:ascii="Calibri" w:hAnsi="Calibri"/>
          <w:b/>
          <w:color w:val="173F3D"/>
        </w:rPr>
        <w:t xml:space="preserve">Select and authorize. </w:t>
      </w:r>
      <w:r>
        <w:rPr>
          <w:rFonts w:ascii="Calibri" w:hAnsi="Calibri"/>
          <w:color w:val="183331"/>
        </w:rPr>
        <w:t>User selects one exact recommendation, supplies at least a 10-character reason, and explicitly acknowledges replacement</w:t>
      </w:r>
    </w:p>
    <w:p>
      <w:pPr>
        <w:pStyle w:val="ListNumber"/>
        <w:spacing w:after="80"/>
        <w:ind w:left="540" w:hanging="271"/>
      </w:pPr>
      <w:r>
        <w:rPr>
          <w:rFonts w:ascii="Calibri" w:hAnsi="Calibri"/>
          <w:b/>
          <w:color w:val="173F3D"/>
        </w:rPr>
        <w:t xml:space="preserve">Create permission. </w:t>
      </w:r>
      <w:r>
        <w:rPr>
          <w:rFonts w:ascii="Calibri" w:hAnsi="Calibri"/>
          <w:color w:val="183331"/>
        </w:rPr>
        <w:t>Transaction records old/new doctor, room, start/end, actor, reason, and two-minute expiry</w:t>
      </w:r>
    </w:p>
    <w:p>
      <w:pPr>
        <w:pStyle w:val="ListNumber"/>
        <w:spacing w:after="80"/>
        <w:ind w:left="540" w:hanging="271"/>
      </w:pPr>
      <w:r>
        <w:rPr>
          <w:rFonts w:ascii="Calibri" w:hAnsi="Calibri"/>
          <w:b/>
          <w:color w:val="173F3D"/>
        </w:rPr>
        <w:t xml:space="preserve">Consume permission. </w:t>
      </w:r>
      <w:r>
        <w:rPr>
          <w:rFonts w:ascii="Calibri" w:hAnsi="Calibri"/>
          <w:color w:val="183331"/>
        </w:rPr>
        <w:t>Appointment guard verifies exact values, marks permission used, and increments lock version</w:t>
      </w:r>
    </w:p>
    <w:p>
      <w:pPr>
        <w:pStyle w:val="ListNumber"/>
        <w:spacing w:after="80"/>
        <w:ind w:left="540" w:hanging="271"/>
      </w:pPr>
      <w:r>
        <w:rPr>
          <w:rFonts w:ascii="Calibri" w:hAnsi="Calibri"/>
          <w:b/>
          <w:color w:val="173F3D"/>
        </w:rPr>
        <w:t xml:space="preserve">Replace resources. </w:t>
      </w:r>
      <w:r>
        <w:rPr>
          <w:rFonts w:ascii="Calibri" w:hAnsi="Calibri"/>
          <w:color w:val="183331"/>
        </w:rPr>
        <w:t>Old phases and equipment reservations are deleted only under that consumed permission; new plan is inserted</w:t>
      </w:r>
    </w:p>
    <w:p>
      <w:pPr>
        <w:pStyle w:val="ListNumber"/>
        <w:spacing w:after="80"/>
        <w:ind w:left="540" w:hanging="271"/>
      </w:pPr>
      <w:r>
        <w:rPr>
          <w:rFonts w:ascii="Calibri" w:hAnsi="Calibri"/>
          <w:b/>
          <w:color w:val="173F3D"/>
        </w:rPr>
        <w:t xml:space="preserve">Commit audit. </w:t>
      </w:r>
      <w:r>
        <w:rPr>
          <w:rFonts w:ascii="Calibri" w:hAnsi="Calibri"/>
          <w:color w:val="183331"/>
        </w:rPr>
        <w:t>Recommendation consumed and appointment.rescheduled event appended</w:t>
      </w:r>
    </w:p>
    <w:p>
      <w:pPr>
        <w:pStyle w:val="Heading2"/>
        <w:keepNext/>
      </w:pPr>
      <w:r>
        <w:rPr>
          <w:rFonts w:ascii="Calibri" w:hAnsi="Calibri"/>
          <w:b/>
          <w:color w:val="286D65"/>
        </w:rPr>
        <w:t>8.4 Appointment Outcomes</w:t>
      </w:r>
    </w:p>
    <w:p>
      <w:pPr>
        <w:pStyle w:val="ListNumber"/>
        <w:spacing w:after="80"/>
        <w:ind w:left="540" w:hanging="271"/>
      </w:pPr>
      <w:r>
        <w:rPr>
          <w:rFonts w:ascii="Calibri" w:hAnsi="Calibri"/>
          <w:b/>
          <w:color w:val="173F3D"/>
        </w:rPr>
        <w:t xml:space="preserve">Select confirmed visit. </w:t>
      </w:r>
      <w:r>
        <w:rPr>
          <w:rFonts w:ascii="Calibri" w:hAnsi="Calibri"/>
          <w:color w:val="183331"/>
        </w:rPr>
        <w:t>Staff chooses completed, cancelled, or no show and supplies disposition/reason</w:t>
      </w:r>
    </w:p>
    <w:p>
      <w:pPr>
        <w:pStyle w:val="ListNumber"/>
        <w:spacing w:after="80"/>
        <w:ind w:left="540" w:hanging="271"/>
      </w:pPr>
      <w:r>
        <w:rPr>
          <w:rFonts w:ascii="Calibri" w:hAnsi="Calibri"/>
          <w:b/>
          <w:color w:val="173F3D"/>
        </w:rPr>
        <w:t xml:space="preserve">Change status. </w:t>
      </w:r>
      <w:r>
        <w:rPr>
          <w:rFonts w:ascii="Calibri" w:hAnsi="Calibri"/>
          <w:color w:val="183331"/>
        </w:rPr>
        <w:t>Appointment leaves the active confirmed state</w:t>
      </w:r>
    </w:p>
    <w:p>
      <w:pPr>
        <w:pStyle w:val="ListNumber"/>
        <w:spacing w:after="80"/>
        <w:ind w:left="540" w:hanging="271"/>
      </w:pPr>
      <w:r>
        <w:rPr>
          <w:rFonts w:ascii="Calibri" w:hAnsi="Calibri"/>
          <w:b/>
          <w:color w:val="173F3D"/>
        </w:rPr>
        <w:t xml:space="preserve">Release resources. </w:t>
      </w:r>
      <w:r>
        <w:rPr>
          <w:rFonts w:ascii="Calibri" w:hAnsi="Calibri"/>
          <w:color w:val="183331"/>
        </w:rPr>
        <w:t>Phase and equipment reservations become inactive; historical appointment remains</w:t>
      </w:r>
    </w:p>
    <w:p>
      <w:pPr>
        <w:pStyle w:val="ListNumber"/>
        <w:spacing w:after="80"/>
        <w:ind w:left="540" w:hanging="271"/>
      </w:pPr>
      <w:r>
        <w:rPr>
          <w:rFonts w:ascii="Calibri" w:hAnsi="Calibri"/>
          <w:b/>
          <w:color w:val="173F3D"/>
        </w:rPr>
        <w:t xml:space="preserve">Record history. </w:t>
      </w:r>
      <w:r>
        <w:rPr>
          <w:rFonts w:ascii="Calibri" w:hAnsi="Calibri"/>
          <w:color w:val="183331"/>
        </w:rPr>
        <w:t>Status-history row and audit event are appended</w:t>
      </w:r>
    </w:p>
    <w:p>
      <w:pPr>
        <w:pStyle w:val="ListNumber"/>
        <w:spacing w:after="80"/>
        <w:ind w:left="540" w:hanging="271"/>
      </w:pPr>
      <w:r>
        <w:rPr>
          <w:rFonts w:ascii="Calibri" w:hAnsi="Calibri"/>
          <w:b/>
          <w:color w:val="173F3D"/>
        </w:rPr>
        <w:t xml:space="preserve">Recover capacity. </w:t>
      </w:r>
      <w:r>
        <w:rPr>
          <w:rFonts w:ascii="Calibri" w:hAnsi="Calibri"/>
          <w:color w:val="183331"/>
        </w:rPr>
        <w:t>Server counts compatible active waitlist patients for the newly opened interval</w:t>
      </w:r>
    </w:p>
    <w:p>
      <w:pPr>
        <w:pStyle w:val="Heading2"/>
        <w:keepNext/>
      </w:pPr>
      <w:r>
        <w:rPr>
          <w:rFonts w:ascii="Calibri" w:hAnsi="Calibri"/>
          <w:b/>
          <w:color w:val="286D65"/>
        </w:rPr>
        <w:t>8.5 Walk-In and Patient Flow</w:t>
      </w:r>
    </w:p>
    <w:p>
      <w:pPr>
        <w:pStyle w:val="ListNumber"/>
        <w:spacing w:after="80"/>
        <w:ind w:left="540" w:hanging="271"/>
      </w:pPr>
      <w:r>
        <w:rPr>
          <w:rFonts w:ascii="Calibri" w:hAnsi="Calibri"/>
          <w:b/>
          <w:color w:val="173F3D"/>
        </w:rPr>
        <w:t xml:space="preserve">Mark walk-in. </w:t>
      </w:r>
      <w:r>
        <w:rPr>
          <w:rFonts w:ascii="Calibri" w:hAnsi="Calibri"/>
          <w:color w:val="183331"/>
        </w:rPr>
        <w:t>Today-board shortcut opens the standard scheduler with walk-in enabled and today's date</w:t>
      </w:r>
    </w:p>
    <w:p>
      <w:pPr>
        <w:pStyle w:val="ListNumber"/>
        <w:spacing w:after="80"/>
        <w:ind w:left="540" w:hanging="271"/>
      </w:pPr>
      <w:r>
        <w:rPr>
          <w:rFonts w:ascii="Calibri" w:hAnsi="Calibri"/>
          <w:b/>
          <w:color w:val="173F3D"/>
        </w:rPr>
        <w:t xml:space="preserve">Find safe slot. </w:t>
      </w:r>
      <w:r>
        <w:rPr>
          <w:rFonts w:ascii="Calibri" w:hAnsi="Calibri"/>
          <w:color w:val="183331"/>
        </w:rPr>
        <w:t>Walk-ins use the same hard constraints; they are not inserted directly into a busy room</w:t>
      </w:r>
    </w:p>
    <w:p>
      <w:pPr>
        <w:pStyle w:val="ListNumber"/>
        <w:spacing w:after="80"/>
        <w:ind w:left="540" w:hanging="271"/>
      </w:pPr>
      <w:r>
        <w:rPr>
          <w:rFonts w:ascii="Calibri" w:hAnsi="Calibri"/>
          <w:b/>
          <w:color w:val="173F3D"/>
        </w:rPr>
        <w:t xml:space="preserve">Confirm. </w:t>
      </w:r>
      <w:r>
        <w:rPr>
          <w:rFonts w:ascii="Calibri" w:hAnsi="Calibri"/>
          <w:color w:val="183331"/>
        </w:rPr>
        <w:t>Appointment arrival_type is walk_in</w:t>
      </w:r>
    </w:p>
    <w:p>
      <w:pPr>
        <w:pStyle w:val="ListNumber"/>
        <w:spacing w:after="80"/>
        <w:ind w:left="540" w:hanging="271"/>
      </w:pPr>
      <w:r>
        <w:rPr>
          <w:rFonts w:ascii="Calibri" w:hAnsi="Calibri"/>
          <w:b/>
          <w:color w:val="173F3D"/>
        </w:rPr>
        <w:t xml:space="preserve">Check in. </w:t>
      </w:r>
      <w:r>
        <w:rPr>
          <w:rFonts w:ascii="Calibri" w:hAnsi="Calibri"/>
          <w:color w:val="183331"/>
        </w:rPr>
        <w:t>Staff records checked_in_at on a confirmed visit</w:t>
      </w:r>
    </w:p>
    <w:p>
      <w:pPr>
        <w:pStyle w:val="ListNumber"/>
        <w:spacing w:after="80"/>
        <w:ind w:left="540" w:hanging="271"/>
      </w:pPr>
      <w:r>
        <w:rPr>
          <w:rFonts w:ascii="Calibri" w:hAnsi="Calibri"/>
          <w:b/>
          <w:color w:val="173F3D"/>
        </w:rPr>
        <w:t xml:space="preserve">Seat. </w:t>
      </w:r>
      <w:r>
        <w:rPr>
          <w:rFonts w:ascii="Calibri" w:hAnsi="Calibri"/>
          <w:color w:val="183331"/>
        </w:rPr>
        <w:t>Seating requires prior check-in and records seated_at</w:t>
      </w:r>
    </w:p>
    <w:p>
      <w:pPr>
        <w:pStyle w:val="ListNumber"/>
        <w:spacing w:after="80"/>
        <w:ind w:left="540" w:hanging="271"/>
      </w:pPr>
      <w:r>
        <w:rPr>
          <w:rFonts w:ascii="Calibri" w:hAnsi="Calibri"/>
          <w:b/>
          <w:color w:val="173F3D"/>
        </w:rPr>
        <w:t xml:space="preserve">Complete. </w:t>
      </w:r>
      <w:r>
        <w:rPr>
          <w:rFonts w:ascii="Calibri" w:hAnsi="Calibri"/>
          <w:color w:val="183331"/>
        </w:rPr>
        <w:t>Completion may record completed_at; analytics calculates waiting time and observed chair time when timestamps exist</w:t>
      </w:r>
    </w:p>
    <w:p>
      <w:pPr>
        <w:pStyle w:val="Heading2"/>
        <w:keepNext/>
      </w:pPr>
      <w:r>
        <w:rPr>
          <w:rFonts w:ascii="Calibri" w:hAnsi="Calibri"/>
          <w:b/>
          <w:color w:val="286D65"/>
        </w:rPr>
        <w:t>8.6 ASAP Waitlist and Contact Recovery</w:t>
      </w:r>
    </w:p>
    <w:p>
      <w:pPr>
        <w:pStyle w:val="ListNumber"/>
        <w:spacing w:after="80"/>
        <w:ind w:left="540" w:hanging="271"/>
      </w:pPr>
      <w:r>
        <w:rPr>
          <w:rFonts w:ascii="Calibri" w:hAnsi="Calibri"/>
          <w:b/>
          <w:color w:val="173F3D"/>
        </w:rPr>
        <w:t xml:space="preserve">Create entry. </w:t>
      </w:r>
      <w:r>
        <w:rPr>
          <w:rFonts w:ascii="Calibri" w:hAnsi="Calibri"/>
          <w:color w:val="183331"/>
        </w:rPr>
        <w:t>Capture patient, procedure, dates, daily hours, preferred dentist, priority, and limited notes</w:t>
      </w:r>
    </w:p>
    <w:p>
      <w:pPr>
        <w:pStyle w:val="ListNumber"/>
        <w:spacing w:after="80"/>
        <w:ind w:left="540" w:hanging="271"/>
      </w:pPr>
      <w:r>
        <w:rPr>
          <w:rFonts w:ascii="Calibri" w:hAnsi="Calibri"/>
          <w:b/>
          <w:color w:val="173F3D"/>
        </w:rPr>
        <w:t xml:space="preserve">Find opening. </w:t>
      </w:r>
      <w:r>
        <w:rPr>
          <w:rFonts w:ascii="Calibri" w:hAnsi="Calibri"/>
          <w:color w:val="183331"/>
        </w:rPr>
        <w:t>Matching creates a scheduling request using the entry's actual procedure and searches current capacity</w:t>
      </w:r>
    </w:p>
    <w:p>
      <w:pPr>
        <w:pStyle w:val="ListNumber"/>
        <w:spacing w:after="80"/>
        <w:ind w:left="540" w:hanging="271"/>
      </w:pPr>
      <w:r>
        <w:rPr>
          <w:rFonts w:ascii="Calibri" w:hAnsi="Calibri"/>
          <w:b/>
          <w:color w:val="173F3D"/>
        </w:rPr>
        <w:t xml:space="preserve">Offer. </w:t>
      </w:r>
      <w:r>
        <w:rPr>
          <w:rFonts w:ascii="Calibri" w:hAnsi="Calibri"/>
          <w:color w:val="183331"/>
        </w:rPr>
        <w:t>A feasible match marks the entry offered; no booking happens automatically</w:t>
      </w:r>
    </w:p>
    <w:p>
      <w:pPr>
        <w:pStyle w:val="ListNumber"/>
        <w:spacing w:after="80"/>
        <w:ind w:left="540" w:hanging="271"/>
      </w:pPr>
      <w:r>
        <w:rPr>
          <w:rFonts w:ascii="Calibri" w:hAnsi="Calibri"/>
          <w:b/>
          <w:color w:val="173F3D"/>
        </w:rPr>
        <w:t xml:space="preserve">Record contact. </w:t>
      </w:r>
      <w:r>
        <w:rPr>
          <w:rFonts w:ascii="Calibri" w:hAnsi="Calibri"/>
          <w:color w:val="183331"/>
        </w:rPr>
        <w:t>Store phone/SMS/in-person channel, outcome, optional incentive, actor, and timestamp</w:t>
      </w:r>
    </w:p>
    <w:p>
      <w:pPr>
        <w:pStyle w:val="ListNumber"/>
        <w:spacing w:after="80"/>
        <w:ind w:left="540" w:hanging="271"/>
      </w:pPr>
      <w:r>
        <w:rPr>
          <w:rFonts w:ascii="Calibri" w:hAnsi="Calibri"/>
          <w:b/>
          <w:color w:val="173F3D"/>
        </w:rPr>
        <w:t xml:space="preserve">Confirm. </w:t>
      </w:r>
      <w:r>
        <w:rPr>
          <w:rFonts w:ascii="Calibri" w:hAnsi="Calibri"/>
          <w:color w:val="183331"/>
        </w:rPr>
        <w:t>Chosen recommendation uses standard transactional booking and marks the waitlist item scheduled</w:t>
      </w:r>
    </w:p>
    <w:p>
      <w:pPr>
        <w:pStyle w:val="Heading2"/>
        <w:keepNext/>
      </w:pPr>
      <w:r>
        <w:rPr>
          <w:rFonts w:ascii="Calibri" w:hAnsi="Calibri"/>
          <w:b/>
          <w:color w:val="286D65"/>
        </w:rPr>
        <w:t>8.7 Crown Lab Return</w:t>
      </w:r>
    </w:p>
    <w:p>
      <w:pPr>
        <w:pStyle w:val="ListNumber"/>
        <w:spacing w:after="80"/>
        <w:ind w:left="540" w:hanging="271"/>
      </w:pPr>
      <w:r>
        <w:rPr>
          <w:rFonts w:ascii="Calibri" w:hAnsi="Calibri"/>
          <w:b/>
          <w:color w:val="173F3D"/>
        </w:rPr>
        <w:t xml:space="preserve">Confirm crown. </w:t>
      </w:r>
      <w:r>
        <w:rPr>
          <w:rFonts w:ascii="Calibri" w:hAnsi="Calibri"/>
          <w:color w:val="183331"/>
        </w:rPr>
        <w:t>A configured crown follow-up rule is detected</w:t>
      </w:r>
    </w:p>
    <w:p>
      <w:pPr>
        <w:pStyle w:val="ListNumber"/>
        <w:spacing w:after="80"/>
        <w:ind w:left="540" w:hanging="271"/>
      </w:pPr>
      <w:r>
        <w:rPr>
          <w:rFonts w:ascii="Calibri" w:hAnsi="Calibri"/>
          <w:b/>
          <w:color w:val="173F3D"/>
        </w:rPr>
        <w:t xml:space="preserve">Create linked waitlist. </w:t>
      </w:r>
      <w:r>
        <w:rPr>
          <w:rFonts w:ascii="Calibri" w:hAnsi="Calibri"/>
          <w:color w:val="183331"/>
        </w:rPr>
        <w:t>System creates a crown-seat item for the same patient and preferred dentist 14–30 days later</w:t>
      </w:r>
    </w:p>
    <w:p>
      <w:pPr>
        <w:pStyle w:val="ListNumber"/>
        <w:spacing w:after="80"/>
        <w:ind w:left="540" w:hanging="271"/>
      </w:pPr>
      <w:r>
        <w:rPr>
          <w:rFonts w:ascii="Calibri" w:hAnsi="Calibri"/>
          <w:b/>
          <w:color w:val="173F3D"/>
        </w:rPr>
        <w:t xml:space="preserve">Match and book. </w:t>
      </w:r>
      <w:r>
        <w:rPr>
          <w:rFonts w:ascii="Calibri" w:hAnsi="Calibri"/>
          <w:color w:val="183331"/>
        </w:rPr>
        <w:t>Staff finds a valid slot and confirms it</w:t>
      </w:r>
    </w:p>
    <w:p>
      <w:pPr>
        <w:pStyle w:val="ListNumber"/>
        <w:spacing w:after="80"/>
        <w:ind w:left="540" w:hanging="271"/>
      </w:pPr>
      <w:r>
        <w:rPr>
          <w:rFonts w:ascii="Calibri" w:hAnsi="Calibri"/>
          <w:b/>
          <w:color w:val="173F3D"/>
        </w:rPr>
        <w:t xml:space="preserve">Link visits. </w:t>
      </w:r>
      <w:r>
        <w:rPr>
          <w:rFonts w:ascii="Calibri" w:hAnsi="Calibri"/>
          <w:color w:val="183331"/>
        </w:rPr>
        <w:t>Appointment link records lab_return relationship and allowed lead-time window</w:t>
      </w:r>
    </w:p>
    <w:p>
      <w:pPr>
        <w:pStyle w:val="Heading2"/>
        <w:keepNext/>
      </w:pPr>
      <w:r>
        <w:rPr>
          <w:rFonts w:ascii="Calibri" w:hAnsi="Calibri"/>
          <w:b/>
          <w:color w:val="286D65"/>
        </w:rPr>
        <w:t>8.8 Optional Duration Calibration</w:t>
      </w:r>
    </w:p>
    <w:p>
      <w:pPr>
        <w:pStyle w:val="ListNumber"/>
        <w:spacing w:after="80"/>
        <w:ind w:left="540" w:hanging="271"/>
      </w:pPr>
      <w:r>
        <w:rPr>
          <w:rFonts w:ascii="Calibri" w:hAnsi="Calibri"/>
          <w:b/>
          <w:color w:val="173F3D"/>
        </w:rPr>
        <w:t xml:space="preserve">Start with defaults. </w:t>
      </w:r>
      <w:r>
        <w:rPr>
          <w:rFonts w:ascii="Calibri" w:hAnsi="Calibri"/>
          <w:color w:val="183331"/>
        </w:rPr>
        <w:t>Scheduling is immediately operational from versioned reference standard and complex phase durations; the practice validates or edits them before real-patient use, and historical data is not required</w:t>
      </w:r>
    </w:p>
    <w:p>
      <w:pPr>
        <w:pStyle w:val="ListNumber"/>
        <w:spacing w:after="80"/>
        <w:ind w:left="540" w:hanging="271"/>
      </w:pPr>
      <w:r>
        <w:rPr>
          <w:rFonts w:ascii="Calibri" w:hAnsi="Calibri"/>
          <w:b/>
          <w:color w:val="173F3D"/>
        </w:rPr>
        <w:t xml:space="preserve">Accumulate locally. </w:t>
      </w:r>
      <w:r>
        <w:rPr>
          <w:rFonts w:ascii="Calibri" w:hAnsi="Calibri"/>
          <w:color w:val="183331"/>
        </w:rPr>
        <w:t>Completed visits may contribute de-identified scheduled-versus-observed chair time without copying patient identifiers into calibration data</w:t>
      </w:r>
    </w:p>
    <w:p>
      <w:pPr>
        <w:pStyle w:val="ListNumber"/>
        <w:spacing w:after="80"/>
        <w:ind w:left="540" w:hanging="271"/>
      </w:pPr>
      <w:r>
        <w:rPr>
          <w:rFonts w:ascii="Calibri" w:hAnsi="Calibri"/>
          <w:b/>
          <w:color w:val="173F3D"/>
        </w:rPr>
        <w:t xml:space="preserve">Optionally import. </w:t>
      </w:r>
      <w:r>
        <w:rPr>
          <w:rFonts w:ascii="Calibri" w:hAnsi="Calibri"/>
          <w:color w:val="183331"/>
        </w:rPr>
        <w:t>A local CSV may add prior procedure/provider/date/scheduled/actual/outcome history; UI and API reject prohibited or extra fields</w:t>
      </w:r>
    </w:p>
    <w:p>
      <w:pPr>
        <w:pStyle w:val="ListNumber"/>
        <w:spacing w:after="80"/>
        <w:ind w:left="540" w:hanging="271"/>
      </w:pPr>
      <w:r>
        <w:rPr>
          <w:rFonts w:ascii="Calibri" w:hAnsi="Calibri"/>
          <w:b/>
          <w:color w:val="173F3D"/>
        </w:rPr>
        <w:t xml:space="preserve">Gate evidence. </w:t>
      </w:r>
      <w:r>
        <w:rPr>
          <w:rFonts w:ascii="Calibri" w:hAnsi="Calibri"/>
          <w:color w:val="183331"/>
        </w:rPr>
        <w:t>Defaults remain active until the configured minimum sample size is met</w:t>
      </w:r>
    </w:p>
    <w:p>
      <w:pPr>
        <w:pStyle w:val="ListNumber"/>
        <w:spacing w:after="80"/>
        <w:ind w:left="540" w:hanging="271"/>
      </w:pPr>
      <w:r>
        <w:rPr>
          <w:rFonts w:ascii="Calibri" w:hAnsi="Calibri"/>
          <w:b/>
          <w:color w:val="173F3D"/>
        </w:rPr>
        <w:t xml:space="preserve">Recommend. </w:t>
      </w:r>
      <w:r>
        <w:rPr>
          <w:rFonts w:ascii="Calibri" w:hAnsi="Calibri"/>
          <w:color w:val="183331"/>
        </w:rPr>
        <w:t>Median becomes standard time and p90 becomes complex time, rounded to five minutes; the result is never auto-applied</w:t>
      </w:r>
    </w:p>
    <w:p>
      <w:pPr>
        <w:pStyle w:val="ListNumber"/>
        <w:spacing w:after="80"/>
        <w:ind w:left="540" w:hanging="271"/>
      </w:pPr>
      <w:r>
        <w:rPr>
          <w:rFonts w:ascii="Calibri" w:hAnsi="Calibri"/>
          <w:b/>
          <w:color w:val="173F3D"/>
        </w:rPr>
        <w:t xml:space="preserve">Approve. </w:t>
      </w:r>
      <w:r>
        <w:rPr>
          <w:rFonts w:ascii="Calibri" w:hAnsi="Calibri"/>
          <w:color w:val="183331"/>
        </w:rPr>
        <w:t>Administrator or clinician supplies a documented approval reason</w:t>
      </w:r>
    </w:p>
    <w:p>
      <w:pPr>
        <w:pStyle w:val="ListNumber"/>
        <w:spacing w:after="80"/>
        <w:ind w:left="540" w:hanging="271"/>
      </w:pPr>
      <w:r>
        <w:rPr>
          <w:rFonts w:ascii="Calibri" w:hAnsi="Calibri"/>
          <w:b/>
          <w:color w:val="173F3D"/>
        </w:rPr>
        <w:t xml:space="preserve">Apply. </w:t>
      </w:r>
      <w:r>
        <w:rPr>
          <w:rFonts w:ascii="Calibri" w:hAnsi="Calibri"/>
          <w:color w:val="183331"/>
        </w:rPr>
        <w:t>Phase times are scaled proportionally; policy version and audit evidence are updated</w:t>
      </w:r>
    </w:p>
    <w:p>
      <w:pPr>
        <w:pStyle w:val="Heading1"/>
        <w:keepNext/>
      </w:pPr>
      <w:r>
        <w:rPr>
          <w:rFonts w:ascii="Calibri" w:hAnsi="Calibri"/>
          <w:b/>
          <w:color w:val="286D65"/>
        </w:rPr>
        <w:t>9. User Interface and Role Model</w:t>
      </w:r>
    </w:p>
    <w:tbl>
      <w:tblPr>
        <w:tblStyle w:val="TableGrid"/>
        <w:tblW w:type="dxa" w:w="9360"/>
        <w:jc w:val="left"/>
        <w:tblLayout w:type="fixed"/>
        <w:tblLook w:firstColumn="1" w:firstRow="1" w:lastColumn="0" w:lastRow="0" w:noHBand="0" w:noVBand="1" w:val="04A0"/>
        <w:tblInd w:w="120" w:type="dxa"/>
      </w:tblPr>
      <w:tblGrid>
        <w:gridCol w:w="1500"/>
        <w:gridCol w:w="3200"/>
        <w:gridCol w:w="4660"/>
      </w:tblGrid>
      <w:tr>
        <w:trPr>
          <w:tblHeader w:val="true"/>
        </w:trPr>
        <w:tc>
          <w:tcPr>
            <w:tcW w:type="dxa" w:w="1500"/>
            <w:shd w:fill="173F3D"/>
            <w:tcMar>
              <w:top w:w="80" w:type="dxa"/>
              <w:start w:w="120" w:type="dxa"/>
              <w:bottom w:w="80" w:type="dxa"/>
              <w:end w:w="120" w:type="dxa"/>
            </w:tcMar>
            <w:vAlign w:val="center"/>
          </w:tcPr>
          <w:p>
            <w:pPr>
              <w:spacing w:after="0"/>
              <w:jc w:val="center"/>
            </w:pPr>
            <w:r>
              <w:rPr>
                <w:rFonts w:ascii="Calibri" w:hAnsi="Calibri"/>
                <w:b/>
                <w:color w:val="FFFFFF"/>
                <w:sz w:val="18"/>
              </w:rPr>
              <w:t>Area</w:t>
            </w:r>
          </w:p>
        </w:tc>
        <w:tc>
          <w:tcPr>
            <w:tcW w:type="dxa" w:w="3200"/>
            <w:shd w:fill="173F3D"/>
            <w:tcMar>
              <w:top w:w="80" w:type="dxa"/>
              <w:start w:w="120" w:type="dxa"/>
              <w:bottom w:w="80" w:type="dxa"/>
              <w:end w:w="120" w:type="dxa"/>
            </w:tcMar>
            <w:vAlign w:val="center"/>
          </w:tcPr>
          <w:p>
            <w:pPr>
              <w:spacing w:after="0"/>
              <w:jc w:val="center"/>
            </w:pPr>
            <w:r>
              <w:rPr>
                <w:rFonts w:ascii="Calibri" w:hAnsi="Calibri"/>
                <w:b/>
                <w:color w:val="FFFFFF"/>
                <w:sz w:val="18"/>
              </w:rPr>
              <w:t>Purpose</w:t>
            </w:r>
          </w:p>
        </w:tc>
        <w:tc>
          <w:tcPr>
            <w:tcW w:type="dxa" w:w="4660"/>
            <w:shd w:fill="173F3D"/>
            <w:tcMar>
              <w:top w:w="80" w:type="dxa"/>
              <w:start w:w="120" w:type="dxa"/>
              <w:bottom w:w="80" w:type="dxa"/>
              <w:end w:w="120" w:type="dxa"/>
            </w:tcMar>
            <w:vAlign w:val="center"/>
          </w:tcPr>
          <w:p>
            <w:pPr>
              <w:spacing w:after="0"/>
              <w:jc w:val="left"/>
            </w:pPr>
            <w:r>
              <w:rPr>
                <w:rFonts w:ascii="Calibri" w:hAnsi="Calibri"/>
                <w:b/>
                <w:color w:val="FFFFFF"/>
                <w:sz w:val="18"/>
              </w:rPr>
              <w:t>Notable controls</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Schedule</w:t>
            </w:r>
          </w:p>
        </w:tc>
        <w:tc>
          <w:tcPr>
            <w:tcW w:type="dxa" w:w="3200"/>
            <w:tcMar>
              <w:top w:w="80" w:type="dxa"/>
              <w:start w:w="120" w:type="dxa"/>
              <w:bottom w:w="80" w:type="dxa"/>
              <w:end w:w="120" w:type="dxa"/>
            </w:tcMar>
            <w:vAlign w:val="center"/>
          </w:tcPr>
          <w:p>
            <w:pPr>
              <w:spacing w:after="0" w:line="264" w:lineRule="auto"/>
            </w:pPr>
            <w:r>
              <w:rPr>
                <w:rFonts w:ascii="Calibri" w:hAnsi="Calibri"/>
                <w:color w:val="183331"/>
                <w:sz w:val="17"/>
              </w:rPr>
              <w:t>New patient/request and ranked candidates</w:t>
            </w:r>
          </w:p>
        </w:tc>
        <w:tc>
          <w:tcPr>
            <w:tcW w:type="dxa" w:w="4660"/>
            <w:tcMar>
              <w:top w:w="80" w:type="dxa"/>
              <w:start w:w="120" w:type="dxa"/>
              <w:bottom w:w="80" w:type="dxa"/>
              <w:end w:w="120" w:type="dxa"/>
            </w:tcMar>
            <w:vAlign w:val="center"/>
          </w:tcPr>
          <w:p>
            <w:pPr>
              <w:spacing w:after="0" w:line="264" w:lineRule="auto"/>
            </w:pPr>
            <w:r>
              <w:rPr>
                <w:rFonts w:ascii="Calibri" w:hAnsi="Calibri"/>
                <w:color w:val="183331"/>
                <w:sz w:val="17"/>
              </w:rPr>
              <w:t>Condition review, complexity, preferred dentist, waitlist consent, walk-in</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Today board</w:t>
            </w:r>
          </w:p>
        </w:tc>
        <w:tc>
          <w:tcPr>
            <w:tcW w:type="dxa" w:w="3200"/>
            <w:tcMar>
              <w:top w:w="80" w:type="dxa"/>
              <w:start w:w="120" w:type="dxa"/>
              <w:bottom w:w="80" w:type="dxa"/>
              <w:end w:w="120" w:type="dxa"/>
            </w:tcMar>
            <w:vAlign w:val="center"/>
          </w:tcPr>
          <w:p>
            <w:pPr>
              <w:spacing w:after="0" w:line="264" w:lineRule="auto"/>
            </w:pPr>
            <w:r>
              <w:rPr>
                <w:rFonts w:ascii="Calibri" w:hAnsi="Calibri"/>
                <w:color w:val="183331"/>
                <w:sz w:val="17"/>
              </w:rPr>
              <w:t>Operational phase and production view</w:t>
            </w:r>
          </w:p>
        </w:tc>
        <w:tc>
          <w:tcPr>
            <w:tcW w:type="dxa" w:w="4660"/>
            <w:tcMar>
              <w:top w:w="80" w:type="dxa"/>
              <w:start w:w="120" w:type="dxa"/>
              <w:bottom w:w="80" w:type="dxa"/>
              <w:end w:w="120" w:type="dxa"/>
            </w:tcMar>
            <w:vAlign w:val="center"/>
          </w:tcPr>
          <w:p>
            <w:pPr>
              <w:spacing w:after="0" w:line="264" w:lineRule="auto"/>
            </w:pPr>
            <w:r>
              <w:rPr>
                <w:rFonts w:ascii="Calibri" w:hAnsi="Calibri"/>
                <w:color w:val="183331"/>
                <w:sz w:val="17"/>
              </w:rPr>
              <w:t>Check in, seat, close visit, provider booked minutes and target progress</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Year map</w:t>
            </w:r>
          </w:p>
        </w:tc>
        <w:tc>
          <w:tcPr>
            <w:tcW w:type="dxa" w:w="3200"/>
            <w:tcMar>
              <w:top w:w="80" w:type="dxa"/>
              <w:start w:w="120" w:type="dxa"/>
              <w:bottom w:w="80" w:type="dxa"/>
              <w:end w:w="120" w:type="dxa"/>
            </w:tcMar>
            <w:vAlign w:val="center"/>
          </w:tcPr>
          <w:p>
            <w:pPr>
              <w:spacing w:after="0" w:line="264" w:lineRule="auto"/>
            </w:pPr>
            <w:r>
              <w:rPr>
                <w:rFonts w:ascii="Calibri" w:hAnsi="Calibri"/>
                <w:color w:val="183331"/>
                <w:sz w:val="17"/>
              </w:rPr>
              <w:t>Rolling 12-month density and day details</w:t>
            </w:r>
          </w:p>
        </w:tc>
        <w:tc>
          <w:tcPr>
            <w:tcW w:type="dxa" w:w="4660"/>
            <w:tcMar>
              <w:top w:w="80" w:type="dxa"/>
              <w:start w:w="120" w:type="dxa"/>
              <w:bottom w:w="80" w:type="dxa"/>
              <w:end w:w="120" w:type="dxa"/>
            </w:tcMar>
            <w:vAlign w:val="center"/>
          </w:tcPr>
          <w:p>
            <w:pPr>
              <w:spacing w:after="0" w:line="264" w:lineRule="auto"/>
            </w:pPr>
            <w:r>
              <w:rPr>
                <w:rFonts w:ascii="Calibri" w:hAnsi="Calibri"/>
                <w:color w:val="183331"/>
                <w:sz w:val="17"/>
              </w:rPr>
              <w:t>Locked-visit move/close actions</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Waitlist</w:t>
            </w:r>
          </w:p>
        </w:tc>
        <w:tc>
          <w:tcPr>
            <w:tcW w:type="dxa" w:w="3200"/>
            <w:tcMar>
              <w:top w:w="80" w:type="dxa"/>
              <w:start w:w="120" w:type="dxa"/>
              <w:bottom w:w="80" w:type="dxa"/>
              <w:end w:w="120" w:type="dxa"/>
            </w:tcMar>
            <w:vAlign w:val="center"/>
          </w:tcPr>
          <w:p>
            <w:pPr>
              <w:spacing w:after="0" w:line="264" w:lineRule="auto"/>
            </w:pPr>
            <w:r>
              <w:rPr>
                <w:rFonts w:ascii="Calibri" w:hAnsi="Calibri"/>
                <w:color w:val="183331"/>
                <w:sz w:val="17"/>
              </w:rPr>
              <w:t>ASAP queue and cancellation recovery</w:t>
            </w:r>
          </w:p>
        </w:tc>
        <w:tc>
          <w:tcPr>
            <w:tcW w:type="dxa" w:w="4660"/>
            <w:tcMar>
              <w:top w:w="80" w:type="dxa"/>
              <w:start w:w="120" w:type="dxa"/>
              <w:bottom w:w="80" w:type="dxa"/>
              <w:end w:w="120" w:type="dxa"/>
            </w:tcMar>
            <w:vAlign w:val="center"/>
          </w:tcPr>
          <w:p>
            <w:pPr>
              <w:spacing w:after="0" w:line="264" w:lineRule="auto"/>
            </w:pPr>
            <w:r>
              <w:rPr>
                <w:rFonts w:ascii="Calibri" w:hAnsi="Calibri"/>
                <w:color w:val="183331"/>
                <w:sz w:val="17"/>
              </w:rPr>
              <w:t>Add entry, find opening, record call/incentive</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Analytics</w:t>
            </w:r>
          </w:p>
        </w:tc>
        <w:tc>
          <w:tcPr>
            <w:tcW w:type="dxa" w:w="3200"/>
            <w:tcMar>
              <w:top w:w="80" w:type="dxa"/>
              <w:start w:w="120" w:type="dxa"/>
              <w:bottom w:w="80" w:type="dxa"/>
              <w:end w:w="120" w:type="dxa"/>
            </w:tcMar>
            <w:vAlign w:val="center"/>
          </w:tcPr>
          <w:p>
            <w:pPr>
              <w:spacing w:after="0" w:line="264" w:lineRule="auto"/>
            </w:pPr>
            <w:r>
              <w:rPr>
                <w:rFonts w:ascii="Calibri" w:hAnsi="Calibri"/>
                <w:color w:val="183331"/>
                <w:sz w:val="17"/>
              </w:rPr>
              <w:t>Local descriptive operational metrics</w:t>
            </w:r>
          </w:p>
        </w:tc>
        <w:tc>
          <w:tcPr>
            <w:tcW w:type="dxa" w:w="4660"/>
            <w:tcMar>
              <w:top w:w="80" w:type="dxa"/>
              <w:start w:w="120" w:type="dxa"/>
              <w:bottom w:w="80" w:type="dxa"/>
              <w:end w:w="120" w:type="dxa"/>
            </w:tcMar>
            <w:vAlign w:val="center"/>
          </w:tcPr>
          <w:p>
            <w:pPr>
              <w:spacing w:after="0" w:line="264" w:lineRule="auto"/>
            </w:pPr>
            <w:r>
              <w:rPr>
                <w:rFonts w:ascii="Calibri" w:hAnsi="Calibri"/>
                <w:color w:val="183331"/>
                <w:sz w:val="17"/>
              </w:rPr>
              <w:t>Date range, utilization, attendance, wait, production, provider/hour</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Practice setup</w:t>
            </w:r>
          </w:p>
        </w:tc>
        <w:tc>
          <w:tcPr>
            <w:tcW w:type="dxa" w:w="3200"/>
            <w:tcMar>
              <w:top w:w="80" w:type="dxa"/>
              <w:start w:w="120" w:type="dxa"/>
              <w:bottom w:w="80" w:type="dxa"/>
              <w:end w:w="120" w:type="dxa"/>
            </w:tcMar>
            <w:vAlign w:val="center"/>
          </w:tcPr>
          <w:p>
            <w:pPr>
              <w:spacing w:after="0" w:line="264" w:lineRule="auto"/>
            </w:pPr>
            <w:r>
              <w:rPr>
                <w:rFonts w:ascii="Calibri" w:hAnsi="Calibri"/>
                <w:color w:val="183331"/>
                <w:sz w:val="17"/>
              </w:rPr>
              <w:t>Resources, users, policy, rota, calibration</w:t>
            </w:r>
          </w:p>
        </w:tc>
        <w:tc>
          <w:tcPr>
            <w:tcW w:type="dxa" w:w="4660"/>
            <w:tcMar>
              <w:top w:w="80" w:type="dxa"/>
              <w:start w:w="120" w:type="dxa"/>
              <w:bottom w:w="80" w:type="dxa"/>
              <w:end w:w="120" w:type="dxa"/>
            </w:tcMar>
            <w:vAlign w:val="center"/>
          </w:tcPr>
          <w:p>
            <w:pPr>
              <w:spacing w:after="0" w:line="264" w:lineRule="auto"/>
            </w:pPr>
            <w:r>
              <w:rPr>
                <w:rFonts w:ascii="Calibri" w:hAnsi="Calibri"/>
                <w:color w:val="183331"/>
                <w:sz w:val="17"/>
              </w:rPr>
              <w:t>Admin-only navigation; server still enforces endpoint role</w:t>
            </w:r>
          </w:p>
        </w:tc>
      </w:tr>
      <w:tr>
        <w:tc>
          <w:tcPr>
            <w:tcW w:type="dxa" w:w="1500"/>
            <w:tcMar>
              <w:top w:w="80" w:type="dxa"/>
              <w:start w:w="120" w:type="dxa"/>
              <w:bottom w:w="80" w:type="dxa"/>
              <w:end w:w="120" w:type="dxa"/>
            </w:tcMar>
            <w:vAlign w:val="center"/>
          </w:tcPr>
          <w:p>
            <w:pPr>
              <w:spacing w:after="0" w:line="264" w:lineRule="auto"/>
            </w:pPr>
            <w:r>
              <w:rPr>
                <w:rFonts w:ascii="Calibri" w:hAnsi="Calibri"/>
                <w:color w:val="183331"/>
                <w:sz w:val="17"/>
              </w:rPr>
              <w:t>Audit</w:t>
            </w:r>
          </w:p>
        </w:tc>
        <w:tc>
          <w:tcPr>
            <w:tcW w:type="dxa" w:w="3200"/>
            <w:tcMar>
              <w:top w:w="80" w:type="dxa"/>
              <w:start w:w="120" w:type="dxa"/>
              <w:bottom w:w="80" w:type="dxa"/>
              <w:end w:w="120" w:type="dxa"/>
            </w:tcMar>
            <w:vAlign w:val="center"/>
          </w:tcPr>
          <w:p>
            <w:pPr>
              <w:spacing w:after="0" w:line="264" w:lineRule="auto"/>
            </w:pPr>
            <w:r>
              <w:rPr>
                <w:rFonts w:ascii="Calibri" w:hAnsi="Calibri"/>
                <w:color w:val="183331"/>
                <w:sz w:val="17"/>
              </w:rPr>
              <w:t>Latest append-only events</w:t>
            </w:r>
          </w:p>
        </w:tc>
        <w:tc>
          <w:tcPr>
            <w:tcW w:type="dxa" w:w="4660"/>
            <w:tcMar>
              <w:top w:w="80" w:type="dxa"/>
              <w:start w:w="120" w:type="dxa"/>
              <w:bottom w:w="80" w:type="dxa"/>
              <w:end w:w="120" w:type="dxa"/>
            </w:tcMar>
            <w:vAlign w:val="center"/>
          </w:tcPr>
          <w:p>
            <w:pPr>
              <w:spacing w:after="0" w:line="264" w:lineRule="auto"/>
            </w:pPr>
            <w:r>
              <w:rPr>
                <w:rFonts w:ascii="Calibri" w:hAnsi="Calibri"/>
                <w:color w:val="183331"/>
                <w:sz w:val="17"/>
              </w:rPr>
              <w:t>Administrator/auditor access</w:t>
            </w:r>
          </w:p>
        </w:tc>
      </w:tr>
    </w:tbl>
    <w:p>
      <w:pPr>
        <w:spacing w:after="60"/>
      </w:pPr>
    </w:p>
    <w:p>
      <w:pPr>
        <w:pStyle w:val="Heading2"/>
        <w:keepNext/>
      </w:pPr>
      <w:r>
        <w:rPr>
          <w:rFonts w:ascii="Calibri" w:hAnsi="Calibri"/>
          <w:b/>
          <w:color w:val="286D65"/>
        </w:rPr>
        <w:t>9.1 Security-Sensitive UI Rules</w:t>
      </w:r>
    </w:p>
    <w:p>
      <w:pPr>
        <w:pStyle w:val="ListBullet"/>
        <w:spacing w:after="80" w:line="300" w:lineRule="auto"/>
        <w:ind w:left="540" w:hanging="271"/>
      </w:pPr>
      <w:r>
        <w:rPr>
          <w:rFonts w:ascii="Calibri" w:hAnsi="Calibri"/>
          <w:color w:val="183331"/>
        </w:rPr>
        <w:t>A normalized intake review checkbox is required when condition text exists.</w:t>
      </w:r>
    </w:p>
    <w:p>
      <w:pPr>
        <w:pStyle w:val="ListBullet"/>
        <w:spacing w:after="80" w:line="300" w:lineRule="auto"/>
        <w:ind w:left="540" w:hanging="271"/>
      </w:pPr>
      <w:r>
        <w:rPr>
          <w:rFonts w:ascii="Calibri" w:hAnsi="Calibri"/>
          <w:color w:val="183331"/>
        </w:rPr>
        <w:t>Booking asks for confirmation before locking the visit.</w:t>
      </w:r>
    </w:p>
    <w:p>
      <w:pPr>
        <w:pStyle w:val="ListBullet"/>
        <w:spacing w:after="80" w:line="300" w:lineRule="auto"/>
        <w:ind w:left="540" w:hanging="271"/>
      </w:pPr>
      <w:r>
        <w:rPr>
          <w:rFonts w:ascii="Calibri" w:hAnsi="Calibri"/>
          <w:color w:val="183331"/>
        </w:rPr>
        <w:t>Rescheduling uses a separate protected dialog, exact replacement selection, reason, and acknowledgement.</w:t>
      </w:r>
    </w:p>
    <w:p>
      <w:pPr>
        <w:pStyle w:val="ListBullet"/>
        <w:spacing w:after="80" w:line="300" w:lineRule="auto"/>
        <w:ind w:left="540" w:hanging="271"/>
      </w:pPr>
      <w:r>
        <w:rPr>
          <w:rFonts w:ascii="Calibri" w:hAnsi="Calibri"/>
          <w:color w:val="183331"/>
        </w:rPr>
        <w:t>No UI workflow silently shifts other confirmed appointments.</w:t>
      </w:r>
    </w:p>
    <w:p>
      <w:pPr>
        <w:pStyle w:val="ListBullet"/>
        <w:spacing w:after="80" w:line="300" w:lineRule="auto"/>
        <w:ind w:left="540" w:hanging="271"/>
      </w:pPr>
      <w:r>
        <w:rPr>
          <w:rFonts w:ascii="Calibri" w:hAnsi="Calibri"/>
          <w:color w:val="183331"/>
        </w:rPr>
        <w:t>The interface labels the network as private/offline and loads no CDN assets.</w:t>
      </w:r>
    </w:p>
    <w:p>
      <w:pPr>
        <w:pStyle w:val="ListBullet"/>
        <w:spacing w:after="80" w:line="300" w:lineRule="auto"/>
        <w:ind w:left="540" w:hanging="271"/>
      </w:pPr>
      <w:r>
        <w:rPr>
          <w:rFonts w:ascii="Calibri" w:hAnsi="Calibri"/>
          <w:color w:val="183331"/>
        </w:rPr>
        <w:t>UI visibility is convenience only; the server independently checks every role.</w:t>
      </w:r>
    </w:p>
    <w:p>
      <w:pPr>
        <w:pStyle w:val="Heading1"/>
        <w:keepNext/>
      </w:pPr>
      <w:r>
        <w:rPr>
          <w:rFonts w:ascii="Calibri" w:hAnsi="Calibri"/>
          <w:b/>
          <w:color w:val="286D65"/>
        </w:rPr>
        <w:t>10. API and Integration Surface</w:t>
      </w:r>
    </w:p>
    <w:tbl>
      <w:tblPr>
        <w:tblStyle w:val="TableGrid"/>
        <w:tblW w:type="dxa" w:w="9360"/>
        <w:jc w:val="left"/>
        <w:tblLayout w:type="fixed"/>
        <w:tblLook w:firstColumn="1" w:firstRow="1" w:lastColumn="0" w:lastRow="0" w:noHBand="0" w:noVBand="1" w:val="04A0"/>
        <w:tblInd w:w="120" w:type="dxa"/>
      </w:tblPr>
      <w:tblGrid>
        <w:gridCol w:w="1100"/>
        <w:gridCol w:w="4150"/>
        <w:gridCol w:w="4110"/>
      </w:tblGrid>
      <w:tr>
        <w:trPr>
          <w:tblHeader w:val="true"/>
        </w:trPr>
        <w:tc>
          <w:tcPr>
            <w:tcW w:type="dxa" w:w="1100"/>
            <w:shd w:fill="173F3D"/>
            <w:tcMar>
              <w:top w:w="80" w:type="dxa"/>
              <w:start w:w="120" w:type="dxa"/>
              <w:bottom w:w="80" w:type="dxa"/>
              <w:end w:w="120" w:type="dxa"/>
            </w:tcMar>
            <w:vAlign w:val="center"/>
          </w:tcPr>
          <w:p>
            <w:pPr>
              <w:spacing w:after="0"/>
              <w:jc w:val="center"/>
            </w:pPr>
            <w:r>
              <w:rPr>
                <w:rFonts w:ascii="Calibri" w:hAnsi="Calibri"/>
                <w:b/>
                <w:color w:val="FFFFFF"/>
                <w:sz w:val="18"/>
              </w:rPr>
              <w:t>Method</w:t>
            </w:r>
          </w:p>
        </w:tc>
        <w:tc>
          <w:tcPr>
            <w:tcW w:type="dxa" w:w="4150"/>
            <w:shd w:fill="173F3D"/>
            <w:tcMar>
              <w:top w:w="80" w:type="dxa"/>
              <w:start w:w="120" w:type="dxa"/>
              <w:bottom w:w="80" w:type="dxa"/>
              <w:end w:w="120" w:type="dxa"/>
            </w:tcMar>
            <w:vAlign w:val="center"/>
          </w:tcPr>
          <w:p>
            <w:pPr>
              <w:spacing w:after="0"/>
              <w:jc w:val="center"/>
            </w:pPr>
            <w:r>
              <w:rPr>
                <w:rFonts w:ascii="Calibri" w:hAnsi="Calibri"/>
                <w:b/>
                <w:color w:val="FFFFFF"/>
                <w:sz w:val="18"/>
              </w:rPr>
              <w:t>Path</w:t>
            </w:r>
          </w:p>
        </w:tc>
        <w:tc>
          <w:tcPr>
            <w:tcW w:type="dxa" w:w="4110"/>
            <w:shd w:fill="173F3D"/>
            <w:tcMar>
              <w:top w:w="80" w:type="dxa"/>
              <w:start w:w="120" w:type="dxa"/>
              <w:bottom w:w="80" w:type="dxa"/>
              <w:end w:w="120" w:type="dxa"/>
            </w:tcMar>
            <w:vAlign w:val="center"/>
          </w:tcPr>
          <w:p>
            <w:pPr>
              <w:spacing w:after="0"/>
              <w:jc w:val="center"/>
            </w:pPr>
            <w:r>
              <w:rPr>
                <w:rFonts w:ascii="Calibri" w:hAnsi="Calibri"/>
                <w:b/>
                <w:color w:val="FFFFFF"/>
                <w:sz w:val="18"/>
              </w:rPr>
              <w:t>Purpose</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GET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/health</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Offline/database health</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POST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/api/auth/login</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Authenticate and issue secure session</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GET/POST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/api/auth/session, /logout</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Session check and revocation</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GET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/api/catalog</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Procedures, phases, doctors, providers, rooms</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GET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/api/dashboard</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Counts, production, upcoming visits</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POST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/api/recommendations</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Create request and ranked candidates</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POST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/api/appointments</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Confirm recommendation transactionally</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GET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/api/appointments</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Calendar range</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POST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/api/appointments/{id}/reschedule-options</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Preview exact replacements</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POST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/api/appointments/{id}/reschedule</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Authorize and apply exact replacement</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POST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/api/appointments/{id}/status</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Complete, cancel, or no-show</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POST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/api/appointments/{id}/flow</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Check in or seat</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GET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/api/operations</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Daily appointments, phases, providers, production</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GET/POST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/api/waitlist</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List or create ASAP entry</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POST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/api/waitlist/{id}/contacts</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Record contact/incentive outcome</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POST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/api/waitlist/{id}/matches</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Find current feasible openings</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GET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/api/configuration</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Administrative configuration snapshot</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POST/PUT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/api/configuration/*</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Users, providers, rooms, leave, targets, capacity, preferences, phases, shifts, equipment, closures</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GET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/api/analytics</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Local descriptive analytics</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POST/GET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/api/calibration/import, /api/calibration</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Stage and list de-identified calibration</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POST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/api/calibration/{procedure}/apply</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Approve calibration</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83331"/>
                <w:sz w:val="17"/>
              </w:rPr>
              <w:t>GET</w:t>
            </w:r>
          </w:p>
        </w:tc>
        <w:tc>
          <w:tcPr>
            <w:tcW w:type="dxa" w:w="4150"/>
            <w:tcMar>
              <w:top w:w="80" w:type="dxa"/>
              <w:start w:w="120" w:type="dxa"/>
              <w:bottom w:w="80" w:type="dxa"/>
              <w:end w:w="120" w:type="dxa"/>
            </w:tcMar>
            <w:vAlign w:val="center"/>
          </w:tcPr>
          <w:p>
            <w:pPr>
              <w:spacing w:after="0" w:line="264" w:lineRule="auto"/>
            </w:pPr>
            <w:r>
              <w:rPr>
                <w:rFonts w:ascii="Calibri" w:hAnsi="Calibri"/>
                <w:color w:val="183331"/>
                <w:sz w:val="17"/>
              </w:rPr>
              <w:t>/api/audit</w:t>
            </w:r>
          </w:p>
        </w:tc>
        <w:tc>
          <w:tcPr>
            <w:tcW w:type="dxa" w:w="4110"/>
            <w:tcMar>
              <w:top w:w="80" w:type="dxa"/>
              <w:start w:w="120" w:type="dxa"/>
              <w:bottom w:w="80" w:type="dxa"/>
              <w:end w:w="120" w:type="dxa"/>
            </w:tcMar>
            <w:vAlign w:val="center"/>
          </w:tcPr>
          <w:p>
            <w:pPr>
              <w:spacing w:after="0" w:line="264" w:lineRule="auto"/>
            </w:pPr>
            <w:r>
              <w:rPr>
                <w:rFonts w:ascii="Calibri" w:hAnsi="Calibri"/>
                <w:color w:val="183331"/>
                <w:sz w:val="17"/>
              </w:rPr>
              <w:t>Latest audit evidence</w:t>
            </w:r>
          </w:p>
        </w:tc>
      </w:tr>
    </w:tbl>
    <w:p>
      <w:pPr>
        <w:spacing w:after="60"/>
      </w:pPr>
    </w:p>
    <w:p>
      <w:pPr>
        <w:spacing w:before="60" w:after="160" w:line="288" w:lineRule="auto"/>
        <w:ind w:left="173" w:right="173"/>
        <w:shd w:fill="E8F2ED"/>
        <w:pBdr>
          <w:left w:val="single" w:sz="18" w:space="6" w:color="286D65"/>
        </w:pBdr>
      </w:pPr>
      <w:r>
        <w:rPr>
          <w:rFonts w:ascii="Calibri" w:hAnsi="Calibri"/>
          <w:b/>
          <w:color w:val="286D65"/>
        </w:rPr>
        <w:t xml:space="preserve">Integration posture: </w:t>
      </w:r>
      <w:r>
        <w:rPr>
          <w:rFonts w:ascii="Calibri" w:hAnsi="Calibri"/>
          <w:color w:val="183331"/>
        </w:rPr>
        <w:t>The current application has no public OpenAPI endpoint and is designed as a same-origin internal UI/API. Any PMS/EHR integration must be separately authorized, threat-modeled, authenticated, audited, validated for minimum necessary PHI, and capable of offline operation.</w:t>
      </w:r>
    </w:p>
    <w:p>
      <w:pPr>
        <w:pStyle w:val="Heading1"/>
        <w:keepNext/>
      </w:pPr>
      <w:r>
        <w:rPr>
          <w:rFonts w:ascii="Calibri" w:hAnsi="Calibri"/>
          <w:b/>
          <w:color w:val="286D65"/>
        </w:rPr>
        <w:t>11. Security and HIPAA-Oriented Safeguards</w:t>
      </w:r>
    </w:p>
    <w:p>
      <w:pPr>
        <w:pStyle w:val="Heading2"/>
        <w:keepNext/>
      </w:pPr>
      <w:r>
        <w:rPr>
          <w:rFonts w:ascii="Calibri" w:hAnsi="Calibri"/>
          <w:b/>
          <w:color w:val="286D65"/>
        </w:rPr>
        <w:t>11.1 Implemented Technical Safeguards</w:t>
      </w:r>
    </w:p>
    <w:p>
      <w:pPr>
        <w:pStyle w:val="ListBullet"/>
        <w:spacing w:after="80" w:line="300" w:lineRule="auto"/>
        <w:ind w:left="540" w:hanging="271"/>
      </w:pPr>
      <w:r>
        <w:rPr>
          <w:rFonts w:ascii="Calibri" w:hAnsi="Calibri"/>
          <w:color w:val="183331"/>
        </w:rPr>
        <w:t>Unique local accounts with administrator, scheduler, clinician, and auditor roles.</w:t>
      </w:r>
    </w:p>
    <w:p>
      <w:pPr>
        <w:pStyle w:val="ListBullet"/>
        <w:spacing w:after="80" w:line="300" w:lineRule="auto"/>
        <w:ind w:left="540" w:hanging="271"/>
      </w:pPr>
      <w:r>
        <w:rPr>
          <w:rFonts w:ascii="Calibri" w:hAnsi="Calibri"/>
          <w:color w:val="183331"/>
        </w:rPr>
        <w:t>Passwords hashed with scrypt using a unique 16-byte salt; constant-time verification.</w:t>
      </w:r>
    </w:p>
    <w:p>
      <w:pPr>
        <w:pStyle w:val="ListBullet"/>
        <w:spacing w:after="80" w:line="300" w:lineRule="auto"/>
        <w:ind w:left="540" w:hanging="271"/>
      </w:pPr>
      <w:r>
        <w:rPr>
          <w:rFonts w:ascii="Calibri" w:hAnsi="Calibri"/>
          <w:color w:val="183331"/>
        </w:rPr>
        <w:t>Five failed attempts trigger a 15-minute local lockout.</w:t>
      </w:r>
    </w:p>
    <w:p>
      <w:pPr>
        <w:pStyle w:val="ListBullet"/>
        <w:spacing w:after="80" w:line="300" w:lineRule="auto"/>
        <w:ind w:left="540" w:hanging="271"/>
      </w:pPr>
      <w:r>
        <w:rPr>
          <w:rFonts w:ascii="Calibri" w:hAnsi="Calibri"/>
          <w:color w:val="183331"/>
        </w:rPr>
        <w:t>Session tokens are 48-byte URL-safe random values; only SHA-256 hashes are stored.</w:t>
      </w:r>
    </w:p>
    <w:p>
      <w:pPr>
        <w:pStyle w:val="ListBullet"/>
        <w:spacing w:after="80" w:line="300" w:lineRule="auto"/>
        <w:ind w:left="540" w:hanging="271"/>
      </w:pPr>
      <w:r>
        <w:rPr>
          <w:rFonts w:ascii="Calibri" w:hAnsi="Calibri"/>
          <w:color w:val="183331"/>
        </w:rPr>
        <w:t>Session cookie is Secure, HttpOnly, SameSite=Strict, path-scoped, and time-limited (default eight hours).</w:t>
      </w:r>
    </w:p>
    <w:p>
      <w:pPr>
        <w:pStyle w:val="ListBullet"/>
        <w:spacing w:after="80" w:line="300" w:lineRule="auto"/>
        <w:ind w:left="540" w:hanging="271"/>
      </w:pPr>
      <w:r>
        <w:rPr>
          <w:rFonts w:ascii="Calibri" w:hAnsi="Calibri"/>
          <w:color w:val="183331"/>
        </w:rPr>
        <w:t>Internal TLS endpoint; PostgreSQL is not published to the host network.</w:t>
      </w:r>
    </w:p>
    <w:p>
      <w:pPr>
        <w:pStyle w:val="ListBullet"/>
        <w:spacing w:after="80" w:line="300" w:lineRule="auto"/>
        <w:ind w:left="540" w:hanging="271"/>
      </w:pPr>
      <w:r>
        <w:rPr>
          <w:rFonts w:ascii="Calibri" w:hAnsi="Calibri"/>
          <w:color w:val="183331"/>
        </w:rPr>
        <w:t>Application container is read-only, drops all Linux capabilities, uses no-new-privileges, and has a bounded tmpfs.</w:t>
      </w:r>
    </w:p>
    <w:p>
      <w:pPr>
        <w:pStyle w:val="ListBullet"/>
        <w:spacing w:after="80" w:line="300" w:lineRule="auto"/>
        <w:ind w:left="540" w:hanging="271"/>
      </w:pPr>
      <w:r>
        <w:rPr>
          <w:rFonts w:ascii="Calibri" w:hAnsi="Calibri"/>
          <w:color w:val="183331"/>
        </w:rPr>
        <w:t>Internal database network and non-masqueraded edge bridge support the offline boundary; production host firewall must still deny egress.</w:t>
      </w:r>
    </w:p>
    <w:p>
      <w:pPr>
        <w:pStyle w:val="ListBullet"/>
        <w:spacing w:after="80" w:line="300" w:lineRule="auto"/>
        <w:ind w:left="540" w:hanging="271"/>
      </w:pPr>
      <w:r>
        <w:rPr>
          <w:rFonts w:ascii="Calibri" w:hAnsi="Calibri"/>
          <w:color w:val="183331"/>
        </w:rPr>
        <w:t>Content Security Policy permits only same-origin scripts/styles/connections and blocks framing.</w:t>
      </w:r>
    </w:p>
    <w:p>
      <w:pPr>
        <w:pStyle w:val="ListBullet"/>
        <w:spacing w:after="80" w:line="300" w:lineRule="auto"/>
        <w:ind w:left="540" w:hanging="271"/>
      </w:pPr>
      <w:r>
        <w:rPr>
          <w:rFonts w:ascii="Calibri" w:hAnsi="Calibri"/>
          <w:color w:val="183331"/>
        </w:rPr>
        <w:t>State-changing requests reject cross-site Sec-Fetch-Site values.</w:t>
      </w:r>
    </w:p>
    <w:p>
      <w:pPr>
        <w:pStyle w:val="ListBullet"/>
        <w:spacing w:after="80" w:line="300" w:lineRule="auto"/>
        <w:ind w:left="540" w:hanging="271"/>
      </w:pPr>
      <w:r>
        <w:rPr>
          <w:rFonts w:ascii="Calibri" w:hAnsi="Calibri"/>
          <w:color w:val="183331"/>
        </w:rPr>
        <w:t>Parameterized SQL and strict Pydantic validation reduce injection and malformed-input risk.</w:t>
      </w:r>
    </w:p>
    <w:p>
      <w:pPr>
        <w:pStyle w:val="ListBullet"/>
        <w:spacing w:after="80" w:line="300" w:lineRule="auto"/>
        <w:ind w:left="540" w:hanging="271"/>
      </w:pPr>
      <w:r>
        <w:rPr>
          <w:rFonts w:ascii="Calibri" w:hAnsi="Calibri"/>
          <w:color w:val="183331"/>
        </w:rPr>
        <w:t>Append-only audit rows include a hash chain based on the previous event hash and canonical event content.</w:t>
      </w:r>
    </w:p>
    <w:p>
      <w:pPr>
        <w:pStyle w:val="ListBullet"/>
        <w:spacing w:after="80" w:line="300" w:lineRule="auto"/>
        <w:ind w:left="540" w:hanging="271"/>
      </w:pPr>
      <w:r>
        <w:rPr>
          <w:rFonts w:ascii="Calibri" w:hAnsi="Calibri"/>
          <w:color w:val="183331"/>
        </w:rPr>
        <w:t>Confirmed appointment, phase, and equipment mutation is protected by exact database authorization guards.</w:t>
      </w:r>
    </w:p>
    <w:p>
      <w:pPr>
        <w:pStyle w:val="ListBullet"/>
        <w:spacing w:after="80" w:line="300" w:lineRule="auto"/>
        <w:ind w:left="540" w:hanging="271"/>
      </w:pPr>
      <w:r>
        <w:rPr>
          <w:rFonts w:ascii="Calibri" w:hAnsi="Calibri"/>
          <w:color w:val="183331"/>
        </w:rPr>
        <w:t>Patient/room/provider/equipment overlaps and dentist supervision are database-enforced final invariants.</w:t>
      </w:r>
    </w:p>
    <w:p>
      <w:pPr>
        <w:pStyle w:val="ListBullet"/>
        <w:spacing w:after="80" w:line="300" w:lineRule="auto"/>
        <w:ind w:left="540" w:hanging="271"/>
      </w:pPr>
      <w:r>
        <w:rPr>
          <w:rFonts w:ascii="Calibri" w:hAnsi="Calibri"/>
          <w:color w:val="183331"/>
        </w:rPr>
        <w:t>No cloud inference, CDN, telemetry, or runtime update check is used.</w:t>
      </w:r>
    </w:p>
    <w:p>
      <w:pPr>
        <w:pStyle w:val="Heading2"/>
        <w:keepNext/>
      </w:pPr>
      <w:r>
        <w:rPr>
          <w:rFonts w:ascii="Calibri" w:hAnsi="Calibri"/>
          <w:b/>
          <w:color w:val="286D65"/>
        </w:rPr>
        <w:t>11.2 PHI Boundaries</w:t>
      </w:r>
    </w:p>
    <w:tbl>
      <w:tblPr>
        <w:tblStyle w:val="TableGrid"/>
        <w:tblW w:type="dxa" w:w="9360"/>
        <w:jc w:val="left"/>
        <w:tblLayout w:type="fixed"/>
        <w:tblLook w:firstColumn="1" w:firstRow="1" w:lastColumn="0" w:lastRow="0" w:noHBand="0" w:noVBand="1" w:val="04A0"/>
        <w:tblInd w:w="120" w:type="dxa"/>
      </w:tblPr>
      <w:tblGrid>
        <w:gridCol w:w="1900"/>
        <w:gridCol w:w="1900"/>
        <w:gridCol w:w="5560"/>
      </w:tblGrid>
      <w:tr>
        <w:trPr>
          <w:tblHeader w:val="true"/>
        </w:trPr>
        <w:tc>
          <w:tcPr>
            <w:tcW w:type="dxa" w:w="1900"/>
            <w:shd w:fill="173F3D"/>
            <w:tcMar>
              <w:top w:w="80" w:type="dxa"/>
              <w:start w:w="120" w:type="dxa"/>
              <w:bottom w:w="80" w:type="dxa"/>
              <w:end w:w="120" w:type="dxa"/>
            </w:tcMar>
            <w:vAlign w:val="center"/>
          </w:tcPr>
          <w:p>
            <w:pPr>
              <w:spacing w:after="0"/>
              <w:jc w:val="center"/>
            </w:pPr>
            <w:r>
              <w:rPr>
                <w:rFonts w:ascii="Calibri" w:hAnsi="Calibri"/>
                <w:b/>
                <w:color w:val="FFFFFF"/>
                <w:sz w:val="18"/>
              </w:rPr>
              <w:t>Flow</w:t>
            </w:r>
          </w:p>
        </w:tc>
        <w:tc>
          <w:tcPr>
            <w:tcW w:type="dxa" w:w="1900"/>
            <w:shd w:fill="173F3D"/>
            <w:tcMar>
              <w:top w:w="80" w:type="dxa"/>
              <w:start w:w="120" w:type="dxa"/>
              <w:bottom w:w="80" w:type="dxa"/>
              <w:end w:w="120" w:type="dxa"/>
            </w:tcMar>
            <w:vAlign w:val="center"/>
          </w:tcPr>
          <w:p>
            <w:pPr>
              <w:spacing w:after="0"/>
              <w:jc w:val="center"/>
            </w:pPr>
            <w:r>
              <w:rPr>
                <w:rFonts w:ascii="Calibri" w:hAnsi="Calibri"/>
                <w:b/>
                <w:color w:val="FFFFFF"/>
                <w:sz w:val="18"/>
              </w:rPr>
              <w:t>PHI present?</w:t>
            </w:r>
          </w:p>
        </w:tc>
        <w:tc>
          <w:tcPr>
            <w:tcW w:type="dxa" w:w="5560"/>
            <w:shd w:fill="173F3D"/>
            <w:tcMar>
              <w:top w:w="80" w:type="dxa"/>
              <w:start w:w="120" w:type="dxa"/>
              <w:bottom w:w="80" w:type="dxa"/>
              <w:end w:w="120" w:type="dxa"/>
            </w:tcMar>
            <w:vAlign w:val="center"/>
          </w:tcPr>
          <w:p>
            <w:pPr>
              <w:spacing w:after="0"/>
              <w:jc w:val="center"/>
            </w:pPr>
            <w:r>
              <w:rPr>
                <w:rFonts w:ascii="Calibri" w:hAnsi="Calibri"/>
                <w:b/>
                <w:color w:val="FFFFFF"/>
                <w:sz w:val="18"/>
              </w:rPr>
              <w:t>Boundary</w:t>
            </w:r>
          </w:p>
        </w:tc>
      </w:tr>
      <w:tr>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Browser ↔ API</w:t>
            </w:r>
          </w:p>
        </w:tc>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Yes</w:t>
            </w:r>
          </w:p>
        </w:tc>
        <w:tc>
          <w:tcPr>
            <w:tcW w:type="dxa" w:w="5560"/>
            <w:tcMar>
              <w:top w:w="80" w:type="dxa"/>
              <w:start w:w="120" w:type="dxa"/>
              <w:bottom w:w="80" w:type="dxa"/>
              <w:end w:w="120" w:type="dxa"/>
            </w:tcMar>
            <w:vAlign w:val="center"/>
          </w:tcPr>
          <w:p>
            <w:pPr>
              <w:spacing w:after="0" w:line="264" w:lineRule="auto"/>
            </w:pPr>
            <w:r>
              <w:rPr>
                <w:rFonts w:ascii="Calibri" w:hAnsi="Calibri"/>
                <w:color w:val="183331"/>
                <w:sz w:val="17"/>
              </w:rPr>
              <w:t>Internal TLS; authenticated same-origin session</w:t>
            </w:r>
          </w:p>
        </w:tc>
      </w:tr>
      <w:tr>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API ↔ PostgreSQL</w:t>
            </w:r>
          </w:p>
        </w:tc>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Yes</w:t>
            </w:r>
          </w:p>
        </w:tc>
        <w:tc>
          <w:tcPr>
            <w:tcW w:type="dxa" w:w="5560"/>
            <w:tcMar>
              <w:top w:w="80" w:type="dxa"/>
              <w:start w:w="120" w:type="dxa"/>
              <w:bottom w:w="80" w:type="dxa"/>
              <w:end w:w="120" w:type="dxa"/>
            </w:tcMar>
            <w:vAlign w:val="center"/>
          </w:tcPr>
          <w:p>
            <w:pPr>
              <w:spacing w:after="0" w:line="264" w:lineRule="auto"/>
            </w:pPr>
            <w:r>
              <w:rPr>
                <w:rFonts w:ascii="Calibri" w:hAnsi="Calibri"/>
                <w:color w:val="183331"/>
                <w:sz w:val="17"/>
              </w:rPr>
              <w:t>Internal Docker network; database not host-published</w:t>
            </w:r>
          </w:p>
        </w:tc>
      </w:tr>
      <w:tr>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API ↔ local Ollama</w:t>
            </w:r>
          </w:p>
        </w:tc>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Condition text may contain PHI</w:t>
            </w:r>
          </w:p>
        </w:tc>
        <w:tc>
          <w:tcPr>
            <w:tcW w:type="dxa" w:w="5560"/>
            <w:tcMar>
              <w:top w:w="80" w:type="dxa"/>
              <w:start w:w="120" w:type="dxa"/>
              <w:bottom w:w="80" w:type="dxa"/>
              <w:end w:w="120" w:type="dxa"/>
            </w:tcMar>
            <w:vAlign w:val="center"/>
          </w:tcPr>
          <w:p>
            <w:pPr>
              <w:spacing w:after="0" w:line="264" w:lineRule="auto"/>
            </w:pPr>
            <w:r>
              <w:rPr>
                <w:rFonts w:ascii="Calibri" w:hAnsi="Calibri"/>
                <w:color w:val="183331"/>
                <w:sz w:val="17"/>
              </w:rPr>
              <w:t>Same on-prem host only; minimum text; no internet</w:t>
            </w:r>
          </w:p>
        </w:tc>
      </w:tr>
      <w:tr>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Audit events</w:t>
            </w:r>
          </w:p>
        </w:tc>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Opaque identifiers and metadata</w:t>
            </w:r>
          </w:p>
        </w:tc>
        <w:tc>
          <w:tcPr>
            <w:tcW w:type="dxa" w:w="5560"/>
            <w:tcMar>
              <w:top w:w="80" w:type="dxa"/>
              <w:start w:w="120" w:type="dxa"/>
              <w:bottom w:w="80" w:type="dxa"/>
              <w:end w:w="120" w:type="dxa"/>
            </w:tcMar>
            <w:vAlign w:val="center"/>
          </w:tcPr>
          <w:p>
            <w:pPr>
              <w:spacing w:after="0" w:line="264" w:lineRule="auto"/>
            </w:pPr>
            <w:r>
              <w:rPr>
                <w:rFonts w:ascii="Calibri" w:hAnsi="Calibri"/>
                <w:color w:val="183331"/>
                <w:sz w:val="17"/>
              </w:rPr>
              <w:t>Free-text condition, notes, prompts, passwords, and tokens excluded by design</w:t>
            </w:r>
          </w:p>
        </w:tc>
      </w:tr>
      <w:tr>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Calibration CSV</w:t>
            </w:r>
          </w:p>
        </w:tc>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Must be de-identified</w:t>
            </w:r>
          </w:p>
        </w:tc>
        <w:tc>
          <w:tcPr>
            <w:tcW w:type="dxa" w:w="5560"/>
            <w:tcMar>
              <w:top w:w="80" w:type="dxa"/>
              <w:start w:w="120" w:type="dxa"/>
              <w:bottom w:w="80" w:type="dxa"/>
              <w:end w:w="120" w:type="dxa"/>
            </w:tcMar>
            <w:vAlign w:val="center"/>
          </w:tcPr>
          <w:p>
            <w:pPr>
              <w:spacing w:after="0" w:line="264" w:lineRule="auto"/>
            </w:pPr>
            <w:r>
              <w:rPr>
                <w:rFonts w:ascii="Calibri" w:hAnsi="Calibri"/>
                <w:color w:val="183331"/>
                <w:sz w:val="17"/>
              </w:rPr>
              <w:t>Direct identifiers prohibited; API forbids extra fields</w:t>
            </w:r>
          </w:p>
        </w:tc>
      </w:tr>
      <w:tr>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Backups/exports</w:t>
            </w:r>
          </w:p>
        </w:tc>
        <w:tc>
          <w:tcPr>
            <w:tcW w:type="dxa" w:w="1900"/>
            <w:tcMar>
              <w:top w:w="80" w:type="dxa"/>
              <w:start w:w="120" w:type="dxa"/>
              <w:bottom w:w="80" w:type="dxa"/>
              <w:end w:w="120" w:type="dxa"/>
            </w:tcMar>
            <w:vAlign w:val="center"/>
          </w:tcPr>
          <w:p>
            <w:pPr>
              <w:spacing w:after="0" w:line="264" w:lineRule="auto"/>
            </w:pPr>
            <w:r>
              <w:rPr>
                <w:rFonts w:ascii="Calibri" w:hAnsi="Calibri"/>
                <w:color w:val="183331"/>
                <w:sz w:val="17"/>
              </w:rPr>
              <w:t>Potentially full PHI</w:t>
            </w:r>
          </w:p>
        </w:tc>
        <w:tc>
          <w:tcPr>
            <w:tcW w:type="dxa" w:w="5560"/>
            <w:tcMar>
              <w:top w:w="80" w:type="dxa"/>
              <w:start w:w="120" w:type="dxa"/>
              <w:bottom w:w="80" w:type="dxa"/>
              <w:end w:w="120" w:type="dxa"/>
            </w:tcMar>
            <w:vAlign w:val="center"/>
          </w:tcPr>
          <w:p>
            <w:pPr>
              <w:spacing w:after="0" w:line="264" w:lineRule="auto"/>
            </w:pPr>
            <w:r>
              <w:rPr>
                <w:rFonts w:ascii="Calibri" w:hAnsi="Calibri"/>
                <w:color w:val="183331"/>
                <w:sz w:val="17"/>
              </w:rPr>
              <w:t>Not implemented in UI; must be encrypted, authorized, logged, and tested operationally</w:t>
            </w:r>
          </w:p>
        </w:tc>
      </w:tr>
    </w:tbl>
    <w:p>
      <w:pPr>
        <w:spacing w:after="60"/>
      </w:pPr>
    </w:p>
    <w:p>
      <w:pPr>
        <w:pStyle w:val="Heading2"/>
        <w:keepNext/>
      </w:pPr>
      <w:r>
        <w:rPr>
          <w:rFonts w:ascii="Calibri" w:hAnsi="Calibri"/>
          <w:b/>
          <w:color w:val="286D65"/>
        </w:rPr>
        <w:t>11.3 Required Organizational and Infrastructure Controls</w:t>
      </w:r>
    </w:p>
    <w:p>
      <w:pPr>
        <w:spacing w:before="60" w:after="160" w:line="288" w:lineRule="auto"/>
        <w:ind w:left="173" w:right="173"/>
        <w:shd w:fill="FFF1F1"/>
        <w:pBdr>
          <w:left w:val="single" w:sz="18" w:space="6" w:color="9B1C1C"/>
        </w:pBdr>
      </w:pPr>
      <w:r>
        <w:rPr>
          <w:rFonts w:ascii="Calibri" w:hAnsi="Calibri"/>
          <w:b/>
          <w:color w:val="9B1C1C"/>
        </w:rPr>
        <w:t xml:space="preserve">Compliance statement: </w:t>
      </w:r>
      <w:r>
        <w:rPr>
          <w:rFonts w:ascii="Calibri" w:hAnsi="Calibri"/>
          <w:color w:val="183331"/>
        </w:rPr>
        <w:t>The product can support a HIPAA compliance program; it is not a legal certification. The covered entity or business associate remains responsible for determining reasonable and appropriate safeguards through documented risk analysis.</w:t>
      </w:r>
    </w:p>
    <w:p>
      <w:pPr>
        <w:pStyle w:val="ListBullet"/>
        <w:spacing w:after="80" w:line="300" w:lineRule="auto"/>
        <w:ind w:left="540" w:hanging="271"/>
      </w:pPr>
      <w:r>
        <w:rPr>
          <w:rFonts w:ascii="Calibri" w:hAnsi="Calibri"/>
          <w:color w:val="183331"/>
        </w:rPr>
        <w:t>Documented enterprise/practice risk analysis and risk-management plan.</w:t>
      </w:r>
    </w:p>
    <w:p>
      <w:pPr>
        <w:pStyle w:val="ListBullet"/>
        <w:spacing w:after="80" w:line="300" w:lineRule="auto"/>
        <w:ind w:left="540" w:hanging="271"/>
      </w:pPr>
      <w:r>
        <w:rPr>
          <w:rFonts w:ascii="Calibri" w:hAnsi="Calibri"/>
          <w:color w:val="183331"/>
        </w:rPr>
        <w:t>Workforce authorization, training, sanctions, termination, and periodic access review.</w:t>
      </w:r>
    </w:p>
    <w:p>
      <w:pPr>
        <w:pStyle w:val="ListBullet"/>
        <w:spacing w:after="80" w:line="300" w:lineRule="auto"/>
        <w:ind w:left="540" w:hanging="271"/>
      </w:pPr>
      <w:r>
        <w:rPr>
          <w:rFonts w:ascii="Calibri" w:hAnsi="Calibri"/>
          <w:color w:val="183331"/>
        </w:rPr>
        <w:t>Facility access, workstation security, screen positioning, and physical media controls.</w:t>
      </w:r>
    </w:p>
    <w:p>
      <w:pPr>
        <w:pStyle w:val="ListBullet"/>
        <w:spacing w:after="80" w:line="300" w:lineRule="auto"/>
        <w:ind w:left="540" w:hanging="271"/>
      </w:pPr>
      <w:r>
        <w:rPr>
          <w:rFonts w:ascii="Calibri" w:hAnsi="Calibri"/>
          <w:color w:val="183331"/>
        </w:rPr>
        <w:t>Production certificate and private-key lifecycle; do not use the generated self-signed development certificate.</w:t>
      </w:r>
    </w:p>
    <w:p>
      <w:pPr>
        <w:pStyle w:val="ListBullet"/>
        <w:spacing w:after="80" w:line="300" w:lineRule="auto"/>
        <w:ind w:left="540" w:hanging="271"/>
      </w:pPr>
      <w:r>
        <w:rPr>
          <w:rFonts w:ascii="Calibri" w:hAnsi="Calibri"/>
          <w:color w:val="183331"/>
        </w:rPr>
        <w:t>Full-disk/database-host encryption and encrypted backup media.</w:t>
      </w:r>
    </w:p>
    <w:p>
      <w:pPr>
        <w:pStyle w:val="ListBullet"/>
        <w:spacing w:after="80" w:line="300" w:lineRule="auto"/>
        <w:ind w:left="540" w:hanging="271"/>
      </w:pPr>
      <w:r>
        <w:rPr>
          <w:rFonts w:ascii="Calibri" w:hAnsi="Calibri"/>
          <w:color w:val="183331"/>
        </w:rPr>
        <w:t>Automated backups, isolated/offline copy, integrity checks, restoration tests, and approved RPO/RTO.</w:t>
      </w:r>
    </w:p>
    <w:p>
      <w:pPr>
        <w:pStyle w:val="ListBullet"/>
        <w:spacing w:after="80" w:line="300" w:lineRule="auto"/>
        <w:ind w:left="540" w:hanging="271"/>
      </w:pPr>
      <w:r>
        <w:rPr>
          <w:rFonts w:ascii="Calibri" w:hAnsi="Calibri"/>
          <w:color w:val="183331"/>
        </w:rPr>
        <w:t>Host firewall/default-deny egress validation, network segmentation, patching, vulnerability management, and malware/ransomware controls.</w:t>
      </w:r>
    </w:p>
    <w:p>
      <w:pPr>
        <w:pStyle w:val="ListBullet"/>
        <w:spacing w:after="80" w:line="300" w:lineRule="auto"/>
        <w:ind w:left="540" w:hanging="271"/>
      </w:pPr>
      <w:r>
        <w:rPr>
          <w:rFonts w:ascii="Calibri" w:hAnsi="Calibri"/>
          <w:color w:val="183331"/>
        </w:rPr>
        <w:t>Central/local security monitoring without transmitting PHI to unauthorized services.</w:t>
      </w:r>
    </w:p>
    <w:p>
      <w:pPr>
        <w:pStyle w:val="ListBullet"/>
        <w:spacing w:after="80" w:line="300" w:lineRule="auto"/>
        <w:ind w:left="540" w:hanging="271"/>
      </w:pPr>
      <w:r>
        <w:rPr>
          <w:rFonts w:ascii="Calibri" w:hAnsi="Calibri"/>
          <w:color w:val="183331"/>
        </w:rPr>
        <w:t>Incident response, breach assessment, emergency operations, disaster recovery, and downtime scheduling procedures.</w:t>
      </w:r>
    </w:p>
    <w:p>
      <w:pPr>
        <w:pStyle w:val="ListBullet"/>
        <w:spacing w:after="80" w:line="300" w:lineRule="auto"/>
        <w:ind w:left="540" w:hanging="271"/>
      </w:pPr>
      <w:r>
        <w:rPr>
          <w:rFonts w:ascii="Calibri" w:hAnsi="Calibri"/>
          <w:color w:val="183331"/>
        </w:rPr>
        <w:t>Data retention, legal hold, amendment/correction, disposal, and patient-rights procedures.</w:t>
      </w:r>
    </w:p>
    <w:p>
      <w:pPr>
        <w:pStyle w:val="ListBullet"/>
        <w:spacing w:after="80" w:line="300" w:lineRule="auto"/>
        <w:ind w:left="540" w:hanging="271"/>
      </w:pPr>
      <w:r>
        <w:rPr>
          <w:rFonts w:ascii="Calibri" w:hAnsi="Calibri"/>
          <w:color w:val="183331"/>
        </w:rPr>
        <w:t>Vendor/license review and model/software supply-chain controls, including hashes and SBOM.</w:t>
      </w:r>
    </w:p>
    <w:p>
      <w:pPr>
        <w:pStyle w:val="ListBullet"/>
        <w:spacing w:after="80" w:line="300" w:lineRule="auto"/>
        <w:ind w:left="540" w:hanging="271"/>
      </w:pPr>
      <w:r>
        <w:rPr>
          <w:rFonts w:ascii="Calibri" w:hAnsi="Calibri"/>
          <w:color w:val="183331"/>
        </w:rPr>
        <w:t>Periodic technical evaluation, penetration testing, audit-chain verification, and documented practice acceptance.</w:t>
      </w:r>
    </w:p>
    <w:p>
      <w:pPr>
        <w:pStyle w:val="Heading2"/>
        <w:keepNext/>
      </w:pPr>
      <w:r>
        <w:rPr>
          <w:rFonts w:ascii="Calibri" w:hAnsi="Calibri"/>
          <w:b/>
          <w:color w:val="286D65"/>
        </w:rPr>
        <w:t>11.4 Known Security/Compliance Limitations</w:t>
      </w:r>
    </w:p>
    <w:p>
      <w:pPr>
        <w:pStyle w:val="ListBullet"/>
        <w:spacing w:after="80" w:line="300" w:lineRule="auto"/>
        <w:ind w:left="540" w:hanging="271"/>
      </w:pPr>
      <w:r>
        <w:rPr>
          <w:rFonts w:ascii="Calibri" w:hAnsi="Calibri"/>
          <w:color w:val="183331"/>
        </w:rPr>
        <w:t>Local username/password authentication is implemented; enterprise directory/MFA is not yet integrated.</w:t>
      </w:r>
    </w:p>
    <w:p>
      <w:pPr>
        <w:pStyle w:val="ListBullet"/>
        <w:spacing w:after="80" w:line="300" w:lineRule="auto"/>
        <w:ind w:left="540" w:hanging="271"/>
      </w:pPr>
      <w:r>
        <w:rPr>
          <w:rFonts w:ascii="Calibri" w:hAnsi="Calibri"/>
          <w:color w:val="183331"/>
        </w:rPr>
        <w:t>The application does not itself configure host disk encryption or encrypted PostgreSQL backups.</w:t>
      </w:r>
    </w:p>
    <w:p>
      <w:pPr>
        <w:pStyle w:val="ListBullet"/>
        <w:spacing w:after="80" w:line="300" w:lineRule="auto"/>
        <w:ind w:left="540" w:hanging="271"/>
      </w:pPr>
      <w:r>
        <w:rPr>
          <w:rFonts w:ascii="Calibri" w:hAnsi="Calibri"/>
          <w:color w:val="183331"/>
        </w:rPr>
        <w:t>Automatic retention/purge, legal hold, audit export, and audit-chain verification UI are not implemented.</w:t>
      </w:r>
    </w:p>
    <w:p>
      <w:pPr>
        <w:pStyle w:val="ListBullet"/>
        <w:spacing w:after="80" w:line="300" w:lineRule="auto"/>
        <w:ind w:left="540" w:hanging="271"/>
      </w:pPr>
      <w:r>
        <w:rPr>
          <w:rFonts w:ascii="Calibri" w:hAnsi="Calibri"/>
          <w:color w:val="183331"/>
        </w:rPr>
        <w:t>Source-address capture exists in schema but current audit writes do not populate it.</w:t>
      </w:r>
    </w:p>
    <w:p>
      <w:pPr>
        <w:pStyle w:val="ListBullet"/>
        <w:spacing w:after="80" w:line="300" w:lineRule="auto"/>
        <w:ind w:left="540" w:hanging="271"/>
      </w:pPr>
      <w:r>
        <w:rPr>
          <w:rFonts w:ascii="Calibri" w:hAnsi="Calibri"/>
          <w:color w:val="183331"/>
        </w:rPr>
        <w:t>The self-signed certificate generated for development is not production trust material.</w:t>
      </w:r>
    </w:p>
    <w:p>
      <w:pPr>
        <w:pStyle w:val="ListBullet"/>
        <w:spacing w:after="80" w:line="300" w:lineRule="auto"/>
        <w:ind w:left="540" w:hanging="271"/>
      </w:pPr>
      <w:r>
        <w:rPr>
          <w:rFonts w:ascii="Calibri" w:hAnsi="Calibri"/>
          <w:color w:val="183331"/>
        </w:rPr>
        <w:t>Operational alerts for disk, certificates, backup, database, and audit health require local infrastructure integration.</w:t>
      </w:r>
    </w:p>
    <w:p>
      <w:pPr>
        <w:pStyle w:val="Heading1"/>
        <w:keepNext/>
      </w:pPr>
      <w:r>
        <w:rPr>
          <w:rFonts w:ascii="Calibri" w:hAnsi="Calibri"/>
          <w:b/>
          <w:color w:val="286D65"/>
        </w:rPr>
        <w:t>12. Offline Deployment and Operations</w:t>
      </w:r>
    </w:p>
    <w:p>
      <w:pPr>
        <w:pStyle w:val="Heading2"/>
        <w:keepNext/>
      </w:pPr>
      <w:r>
        <w:rPr>
          <w:rFonts w:ascii="Calibri" w:hAnsi="Calibri"/>
          <w:b/>
          <w:color w:val="286D65"/>
        </w:rPr>
        <w:t>12.1 Runtime Services</w:t>
      </w:r>
    </w:p>
    <w:tbl>
      <w:tblPr>
        <w:tblStyle w:val="TableGrid"/>
        <w:tblW w:type="dxa" w:w="9360"/>
        <w:jc w:val="left"/>
        <w:tblLayout w:type="fixed"/>
        <w:tblLook w:firstColumn="1" w:firstRow="1" w:lastColumn="0" w:lastRow="0" w:noHBand="0" w:noVBand="1" w:val="04A0"/>
        <w:tblInd w:w="120" w:type="dxa"/>
      </w:tblPr>
      <w:tblGrid>
        <w:gridCol w:w="1700"/>
        <w:gridCol w:w="3200"/>
        <w:gridCol w:w="2400"/>
        <w:gridCol w:w="2060"/>
      </w:tblGrid>
      <w:tr>
        <w:trPr>
          <w:tblHeader w:val="true"/>
        </w:trPr>
        <w:tc>
          <w:tcPr>
            <w:tcW w:type="dxa" w:w="1700"/>
            <w:shd w:fill="173F3D"/>
            <w:tcMar>
              <w:top w:w="80" w:type="dxa"/>
              <w:start w:w="120" w:type="dxa"/>
              <w:bottom w:w="80" w:type="dxa"/>
              <w:end w:w="120" w:type="dxa"/>
            </w:tcMar>
            <w:vAlign w:val="center"/>
          </w:tcPr>
          <w:p>
            <w:pPr>
              <w:spacing w:after="0"/>
              <w:jc w:val="center"/>
            </w:pPr>
            <w:r>
              <w:rPr>
                <w:rFonts w:ascii="Calibri" w:hAnsi="Calibri"/>
                <w:b/>
                <w:color w:val="FFFFFF"/>
                <w:sz w:val="19"/>
              </w:rPr>
              <w:t>Service</w:t>
            </w:r>
          </w:p>
        </w:tc>
        <w:tc>
          <w:tcPr>
            <w:tcW w:type="dxa" w:w="3200"/>
            <w:shd w:fill="173F3D"/>
            <w:tcMar>
              <w:top w:w="80" w:type="dxa"/>
              <w:start w:w="120" w:type="dxa"/>
              <w:bottom w:w="80" w:type="dxa"/>
              <w:end w:w="120" w:type="dxa"/>
            </w:tcMar>
            <w:vAlign w:val="center"/>
          </w:tcPr>
          <w:p>
            <w:pPr>
              <w:spacing w:after="0"/>
              <w:jc w:val="center"/>
            </w:pPr>
            <w:r>
              <w:rPr>
                <w:rFonts w:ascii="Calibri" w:hAnsi="Calibri"/>
                <w:b/>
                <w:color w:val="FFFFFF"/>
                <w:sz w:val="19"/>
              </w:rPr>
              <w:t>Image/process</w:t>
            </w:r>
          </w:p>
        </w:tc>
        <w:tc>
          <w:tcPr>
            <w:tcW w:type="dxa" w:w="2400"/>
            <w:shd w:fill="173F3D"/>
            <w:tcMar>
              <w:top w:w="80" w:type="dxa"/>
              <w:start w:w="120" w:type="dxa"/>
              <w:bottom w:w="80" w:type="dxa"/>
              <w:end w:w="120" w:type="dxa"/>
            </w:tcMar>
            <w:vAlign w:val="center"/>
          </w:tcPr>
          <w:p>
            <w:pPr>
              <w:spacing w:after="0"/>
              <w:jc w:val="center"/>
            </w:pPr>
            <w:r>
              <w:rPr>
                <w:rFonts w:ascii="Calibri" w:hAnsi="Calibri"/>
                <w:b/>
                <w:color w:val="FFFFFF"/>
                <w:sz w:val="19"/>
              </w:rPr>
              <w:t>Persistence</w:t>
            </w:r>
          </w:p>
        </w:tc>
        <w:tc>
          <w:tcPr>
            <w:tcW w:type="dxa" w:w="2060"/>
            <w:shd w:fill="173F3D"/>
            <w:tcMar>
              <w:top w:w="80" w:type="dxa"/>
              <w:start w:w="120" w:type="dxa"/>
              <w:bottom w:w="80" w:type="dxa"/>
              <w:end w:w="120" w:type="dxa"/>
            </w:tcMar>
            <w:vAlign w:val="center"/>
          </w:tcPr>
          <w:p>
            <w:pPr>
              <w:spacing w:after="0"/>
              <w:jc w:val="left"/>
            </w:pPr>
            <w:r>
              <w:rPr>
                <w:rFonts w:ascii="Calibri" w:hAnsi="Calibri"/>
                <w:b/>
                <w:color w:val="FFFFFF"/>
                <w:sz w:val="19"/>
              </w:rPr>
              <w:t>Exposed interface</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9"/>
              </w:rPr>
              <w:t>API/UI</w:t>
            </w:r>
          </w:p>
        </w:tc>
        <w:tc>
          <w:tcPr>
            <w:tcW w:type="dxa" w:w="3200"/>
            <w:tcMar>
              <w:top w:w="80" w:type="dxa"/>
              <w:start w:w="120" w:type="dxa"/>
              <w:bottom w:w="80" w:type="dxa"/>
              <w:end w:w="120" w:type="dxa"/>
            </w:tcMar>
            <w:vAlign w:val="center"/>
          </w:tcPr>
          <w:p>
            <w:pPr>
              <w:spacing w:after="0" w:line="264" w:lineRule="auto"/>
            </w:pPr>
            <w:r>
              <w:rPr>
                <w:rFonts w:ascii="Calibri" w:hAnsi="Calibri"/>
                <w:color w:val="183331"/>
                <w:sz w:val="19"/>
              </w:rPr>
              <w:t>siligent-scheduler-api:local / Uvicorn</w:t>
            </w:r>
          </w:p>
        </w:tc>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Read-only container; tmpfs only</w:t>
            </w:r>
          </w:p>
        </w:tc>
        <w:tc>
          <w:tcPr>
            <w:tcW w:type="dxa" w:w="2060"/>
            <w:tcMar>
              <w:top w:w="80" w:type="dxa"/>
              <w:start w:w="120" w:type="dxa"/>
              <w:bottom w:w="80" w:type="dxa"/>
              <w:end w:w="120" w:type="dxa"/>
            </w:tcMar>
            <w:vAlign w:val="center"/>
          </w:tcPr>
          <w:p>
            <w:pPr>
              <w:spacing w:after="0" w:line="264" w:lineRule="auto"/>
            </w:pPr>
            <w:r>
              <w:rPr>
                <w:rFonts w:ascii="Calibri" w:hAnsi="Calibri"/>
                <w:color w:val="183331"/>
                <w:sz w:val="19"/>
              </w:rPr>
              <w:t>127.0.0.1:8443 TLS by default</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9"/>
              </w:rPr>
              <w:t>Database</w:t>
            </w:r>
          </w:p>
        </w:tc>
        <w:tc>
          <w:tcPr>
            <w:tcW w:type="dxa" w:w="3200"/>
            <w:tcMar>
              <w:top w:w="80" w:type="dxa"/>
              <w:start w:w="120" w:type="dxa"/>
              <w:bottom w:w="80" w:type="dxa"/>
              <w:end w:w="120" w:type="dxa"/>
            </w:tcMar>
            <w:vAlign w:val="center"/>
          </w:tcPr>
          <w:p>
            <w:pPr>
              <w:spacing w:after="0" w:line="264" w:lineRule="auto"/>
            </w:pPr>
            <w:r>
              <w:rPr>
                <w:rFonts w:ascii="Calibri" w:hAnsi="Calibri"/>
                <w:color w:val="183331"/>
                <w:sz w:val="19"/>
              </w:rPr>
              <w:t>Pinned PostgreSQL image</w:t>
            </w:r>
          </w:p>
        </w:tc>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Named Docker volume</w:t>
            </w:r>
          </w:p>
        </w:tc>
        <w:tc>
          <w:tcPr>
            <w:tcW w:type="dxa" w:w="2060"/>
            <w:tcMar>
              <w:top w:w="80" w:type="dxa"/>
              <w:start w:w="120" w:type="dxa"/>
              <w:bottom w:w="80" w:type="dxa"/>
              <w:end w:w="120" w:type="dxa"/>
            </w:tcMar>
            <w:vAlign w:val="center"/>
          </w:tcPr>
          <w:p>
            <w:pPr>
              <w:spacing w:after="0" w:line="264" w:lineRule="auto"/>
            </w:pPr>
            <w:r>
              <w:rPr>
                <w:rFonts w:ascii="Calibri" w:hAnsi="Calibri"/>
                <w:color w:val="183331"/>
                <w:sz w:val="19"/>
              </w:rPr>
              <w:t>Internal network only</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83331"/>
                <w:sz w:val="19"/>
              </w:rPr>
              <w:t>Model</w:t>
            </w:r>
          </w:p>
        </w:tc>
        <w:tc>
          <w:tcPr>
            <w:tcW w:type="dxa" w:w="3200"/>
            <w:tcMar>
              <w:top w:w="80" w:type="dxa"/>
              <w:start w:w="120" w:type="dxa"/>
              <w:bottom w:w="80" w:type="dxa"/>
              <w:end w:w="120" w:type="dxa"/>
            </w:tcMar>
            <w:vAlign w:val="center"/>
          </w:tcPr>
          <w:p>
            <w:pPr>
              <w:spacing w:after="0" w:line="264" w:lineRule="auto"/>
            </w:pPr>
            <w:r>
              <w:rPr>
                <w:rFonts w:ascii="Calibri" w:hAnsi="Calibri"/>
                <w:color w:val="183331"/>
                <w:sz w:val="19"/>
              </w:rPr>
              <w:t>Host Ollama with preloaded qwen3.5:4b</w:t>
            </w:r>
          </w:p>
        </w:tc>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Host-managed model store</w:t>
            </w:r>
          </w:p>
        </w:tc>
        <w:tc>
          <w:tcPr>
            <w:tcW w:type="dxa" w:w="2060"/>
            <w:tcMar>
              <w:top w:w="80" w:type="dxa"/>
              <w:start w:w="120" w:type="dxa"/>
              <w:bottom w:w="80" w:type="dxa"/>
              <w:end w:w="120" w:type="dxa"/>
            </w:tcMar>
            <w:vAlign w:val="center"/>
          </w:tcPr>
          <w:p>
            <w:pPr>
              <w:spacing w:after="0" w:line="264" w:lineRule="auto"/>
            </w:pPr>
            <w:r>
              <w:rPr>
                <w:rFonts w:ascii="Calibri" w:hAnsi="Calibri"/>
                <w:color w:val="183331"/>
                <w:sz w:val="19"/>
              </w:rPr>
              <w:t>Local host endpoint only</w:t>
            </w:r>
          </w:p>
        </w:tc>
      </w:tr>
    </w:tbl>
    <w:p>
      <w:pPr>
        <w:spacing w:after="60"/>
      </w:pPr>
    </w:p>
    <w:p>
      <w:pPr>
        <w:pStyle w:val="Heading2"/>
        <w:keepNext/>
      </w:pPr>
      <w:r>
        <w:rPr>
          <w:rFonts w:ascii="Calibri" w:hAnsi="Calibri"/>
          <w:b/>
          <w:color w:val="286D65"/>
        </w:rPr>
        <w:t>12.2 Build and Start</w:t>
      </w:r>
    </w:p>
    <w:p>
      <w:pPr>
        <w:pStyle w:val="ListNumber"/>
        <w:spacing w:after="80" w:line="300" w:lineRule="auto"/>
        <w:ind w:left="540" w:hanging="271"/>
      </w:pPr>
      <w:r>
        <w:rPr>
          <w:rFonts w:ascii="Calibri" w:hAnsi="Calibri"/>
          <w:color w:val="183331"/>
        </w:rPr>
        <w:t>Preload the approved pinned PostgreSQL image, approved local API base image, Ollama runtime, and approved model artifact while connected to an authorized staging process.</w:t>
      </w:r>
    </w:p>
    <w:p>
      <w:pPr>
        <w:pStyle w:val="ListNumber"/>
        <w:spacing w:after="80" w:line="300" w:lineRule="auto"/>
        <w:ind w:left="540" w:hanging="271"/>
      </w:pPr>
      <w:r>
        <w:rPr>
          <w:rFonts w:ascii="Calibri" w:hAnsi="Calibri"/>
          <w:color w:val="183331"/>
        </w:rPr>
        <w:t>Transfer artifacts into the air-gapped environment using approved media and verify hashes/signatures.</w:t>
      </w:r>
    </w:p>
    <w:p>
      <w:pPr>
        <w:pStyle w:val="ListNumber"/>
        <w:spacing w:after="80" w:line="300" w:lineRule="auto"/>
        <w:ind w:left="540" w:hanging="271"/>
      </w:pPr>
      <w:r>
        <w:rPr>
          <w:rFonts w:ascii="Calibri" w:hAnsi="Calibri"/>
          <w:color w:val="183331"/>
        </w:rPr>
        <w:t>Configure .env permissions and practice-specific values; replace development TLS certificates.</w:t>
      </w:r>
    </w:p>
    <w:p>
      <w:pPr>
        <w:pStyle w:val="ListNumber"/>
        <w:spacing w:after="80" w:line="300" w:lineRule="auto"/>
        <w:ind w:left="540" w:hanging="271"/>
      </w:pPr>
      <w:r>
        <w:rPr>
          <w:rFonts w:ascii="Calibri" w:hAnsi="Calibri"/>
          <w:color w:val="183331"/>
        </w:rPr>
        <w:t>Run ./build.sh. The build uses local artifacts and Docker networking is disabled.</w:t>
      </w:r>
    </w:p>
    <w:p>
      <w:pPr>
        <w:pStyle w:val="ListNumber"/>
        <w:spacing w:after="80" w:line="300" w:lineRule="auto"/>
        <w:ind w:left="540" w:hanging="271"/>
      </w:pPr>
      <w:r>
        <w:rPr>
          <w:rFonts w:ascii="Calibri" w:hAnsi="Calibri"/>
          <w:color w:val="183331"/>
        </w:rPr>
        <w:t>Run ./start.sh. It uses --pull never and --no-build; missing artifacts fail safely.</w:t>
      </w:r>
    </w:p>
    <w:p>
      <w:pPr>
        <w:pStyle w:val="ListNumber"/>
        <w:spacing w:after="80" w:line="300" w:lineRule="auto"/>
        <w:ind w:left="540" w:hanging="271"/>
      </w:pPr>
      <w:r>
        <w:rPr>
          <w:rFonts w:ascii="Calibri" w:hAnsi="Calibri"/>
          <w:color w:val="183331"/>
        </w:rPr>
        <w:t>Open https://127.0.0.1:8443 or the approved internal hostname and sign in with a unique account.</w:t>
      </w:r>
    </w:p>
    <w:p>
      <w:pPr>
        <w:pStyle w:val="ListNumber"/>
        <w:spacing w:after="80" w:line="300" w:lineRule="auto"/>
        <w:ind w:left="540" w:hanging="271"/>
      </w:pPr>
      <w:r>
        <w:rPr>
          <w:rFonts w:ascii="Calibri" w:hAnsi="Calibri"/>
          <w:color w:val="183331"/>
        </w:rPr>
        <w:t>Run health, migration, invariant, live workflow, backup, restore, and network-egress acceptance tests.</w:t>
      </w:r>
    </w:p>
    <w:p>
      <w:pPr>
        <w:pStyle w:val="ListNumber"/>
        <w:spacing w:after="80" w:line="300" w:lineRule="auto"/>
        <w:ind w:left="540" w:hanging="271"/>
      </w:pPr>
      <w:r>
        <w:rPr>
          <w:rFonts w:ascii="Calibri" w:hAnsi="Calibri"/>
          <w:color w:val="183331"/>
        </w:rPr>
        <w:t>Use ./stop.sh to stop services while preserving the database volume.</w:t>
      </w:r>
    </w:p>
    <w:p>
      <w:pPr>
        <w:pStyle w:val="Heading2"/>
        <w:keepNext/>
      </w:pPr>
      <w:r>
        <w:rPr>
          <w:rFonts w:ascii="Calibri" w:hAnsi="Calibri"/>
          <w:b/>
          <w:color w:val="286D65"/>
        </w:rPr>
        <w:t>12.3 Environment Configuration</w:t>
      </w:r>
    </w:p>
    <w:tbl>
      <w:tblPr>
        <w:tblStyle w:val="TableGrid"/>
        <w:tblW w:type="dxa" w:w="9360"/>
        <w:jc w:val="left"/>
        <w:tblLayout w:type="fixed"/>
        <w:tblLook w:firstColumn="1" w:firstRow="1" w:lastColumn="0" w:lastRow="0" w:noHBand="0" w:noVBand="1" w:val="04A0"/>
        <w:tblInd w:w="120" w:type="dxa"/>
      </w:tblPr>
      <w:tblGrid>
        <w:gridCol w:w="2600"/>
        <w:gridCol w:w="3000"/>
        <w:gridCol w:w="3760"/>
      </w:tblGrid>
      <w:tr>
        <w:trPr>
          <w:tblHeader w:val="true"/>
        </w:trPr>
        <w:tc>
          <w:tcPr>
            <w:tcW w:type="dxa" w:w="2600"/>
            <w:shd w:fill="173F3D"/>
            <w:tcMar>
              <w:top w:w="80" w:type="dxa"/>
              <w:start w:w="120" w:type="dxa"/>
              <w:bottom w:w="80" w:type="dxa"/>
              <w:end w:w="120" w:type="dxa"/>
            </w:tcMar>
            <w:vAlign w:val="center"/>
          </w:tcPr>
          <w:p>
            <w:pPr>
              <w:spacing w:after="0"/>
              <w:jc w:val="center"/>
            </w:pPr>
            <w:r>
              <w:rPr>
                <w:rFonts w:ascii="Calibri" w:hAnsi="Calibri"/>
                <w:b/>
                <w:color w:val="FFFFFF"/>
                <w:sz w:val="18"/>
              </w:rPr>
              <w:t>Variable</w:t>
            </w:r>
          </w:p>
        </w:tc>
        <w:tc>
          <w:tcPr>
            <w:tcW w:type="dxa" w:w="3000"/>
            <w:shd w:fill="173F3D"/>
            <w:tcMar>
              <w:top w:w="80" w:type="dxa"/>
              <w:start w:w="120" w:type="dxa"/>
              <w:bottom w:w="80" w:type="dxa"/>
              <w:end w:w="120" w:type="dxa"/>
            </w:tcMar>
            <w:vAlign w:val="center"/>
          </w:tcPr>
          <w:p>
            <w:pPr>
              <w:spacing w:after="0"/>
              <w:jc w:val="center"/>
            </w:pPr>
            <w:r>
              <w:rPr>
                <w:rFonts w:ascii="Calibri" w:hAnsi="Calibri"/>
                <w:b/>
                <w:color w:val="FFFFFF"/>
                <w:sz w:val="18"/>
              </w:rPr>
              <w:t>Purpose</w:t>
            </w:r>
          </w:p>
        </w:tc>
        <w:tc>
          <w:tcPr>
            <w:tcW w:type="dxa" w:w="3760"/>
            <w:shd w:fill="173F3D"/>
            <w:tcMar>
              <w:top w:w="80" w:type="dxa"/>
              <w:start w:w="120" w:type="dxa"/>
              <w:bottom w:w="80" w:type="dxa"/>
              <w:end w:w="120" w:type="dxa"/>
            </w:tcMar>
            <w:vAlign w:val="center"/>
          </w:tcPr>
          <w:p>
            <w:pPr>
              <w:spacing w:after="0"/>
              <w:jc w:val="left"/>
            </w:pPr>
            <w:r>
              <w:rPr>
                <w:rFonts w:ascii="Calibri" w:hAnsi="Calibri"/>
                <w:b/>
                <w:color w:val="FFFFFF"/>
                <w:sz w:val="18"/>
              </w:rPr>
              <w:t>Production expectation</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7"/>
              </w:rPr>
              <w:t>DATABASE_*</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Database host, port, name, user, password</w:t>
            </w:r>
          </w:p>
        </w:tc>
        <w:tc>
          <w:tcPr>
            <w:tcW w:type="dxa" w:w="3760"/>
            <w:tcMar>
              <w:top w:w="80" w:type="dxa"/>
              <w:start w:w="120" w:type="dxa"/>
              <w:bottom w:w="80" w:type="dxa"/>
              <w:end w:w="120" w:type="dxa"/>
            </w:tcMar>
            <w:vAlign w:val="center"/>
          </w:tcPr>
          <w:p>
            <w:pPr>
              <w:spacing w:after="0" w:line="264" w:lineRule="auto"/>
            </w:pPr>
            <w:r>
              <w:rPr>
                <w:rFonts w:ascii="Calibri" w:hAnsi="Calibri"/>
                <w:color w:val="183331"/>
                <w:sz w:val="17"/>
              </w:rPr>
              <w:t>Unique secret; protected .env/secret store</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7"/>
              </w:rPr>
              <w:t>PRACTICE_NAME</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Displayed practice identity</w:t>
            </w:r>
          </w:p>
        </w:tc>
        <w:tc>
          <w:tcPr>
            <w:tcW w:type="dxa" w:w="3760"/>
            <w:tcMar>
              <w:top w:w="80" w:type="dxa"/>
              <w:start w:w="120" w:type="dxa"/>
              <w:bottom w:w="80" w:type="dxa"/>
              <w:end w:w="120" w:type="dxa"/>
            </w:tcMar>
            <w:vAlign w:val="center"/>
          </w:tcPr>
          <w:p>
            <w:pPr>
              <w:spacing w:after="0" w:line="264" w:lineRule="auto"/>
            </w:pPr>
            <w:r>
              <w:rPr>
                <w:rFonts w:ascii="Calibri" w:hAnsi="Calibri"/>
                <w:color w:val="183331"/>
                <w:sz w:val="17"/>
              </w:rPr>
              <w:t>Approved legal/operational name</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7"/>
              </w:rPr>
              <w:t>PRACTICE_TIMEZONE</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Local calendar interpretation</w:t>
            </w:r>
          </w:p>
        </w:tc>
        <w:tc>
          <w:tcPr>
            <w:tcW w:type="dxa" w:w="3760"/>
            <w:tcMar>
              <w:top w:w="80" w:type="dxa"/>
              <w:start w:w="120" w:type="dxa"/>
              <w:bottom w:w="80" w:type="dxa"/>
              <w:end w:w="120" w:type="dxa"/>
            </w:tcMar>
            <w:vAlign w:val="center"/>
          </w:tcPr>
          <w:p>
            <w:pPr>
              <w:spacing w:after="0" w:line="264" w:lineRule="auto"/>
            </w:pPr>
            <w:r>
              <w:rPr>
                <w:rFonts w:ascii="Calibri" w:hAnsi="Calibri"/>
                <w:color w:val="183331"/>
                <w:sz w:val="17"/>
              </w:rPr>
              <w:t>Validated IANA timezone</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7"/>
              </w:rPr>
              <w:t>SCHEDULING_HORIZON_DAYS</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Rolling search horizon</w:t>
            </w:r>
          </w:p>
        </w:tc>
        <w:tc>
          <w:tcPr>
            <w:tcW w:type="dxa" w:w="3760"/>
            <w:tcMar>
              <w:top w:w="80" w:type="dxa"/>
              <w:start w:w="120" w:type="dxa"/>
              <w:bottom w:w="80" w:type="dxa"/>
              <w:end w:w="120" w:type="dxa"/>
            </w:tcMar>
            <w:vAlign w:val="center"/>
          </w:tcPr>
          <w:p>
            <w:pPr>
              <w:spacing w:after="0" w:line="264" w:lineRule="auto"/>
            </w:pPr>
            <w:r>
              <w:rPr>
                <w:rFonts w:ascii="Calibri" w:hAnsi="Calibri"/>
                <w:color w:val="183331"/>
                <w:sz w:val="17"/>
              </w:rPr>
              <w:t>Normally 365; allowed 1–366</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7"/>
              </w:rPr>
              <w:t>BOOTSTRAP_ADMIN_*</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First local administrator</w:t>
            </w:r>
          </w:p>
        </w:tc>
        <w:tc>
          <w:tcPr>
            <w:tcW w:type="dxa" w:w="3760"/>
            <w:tcMar>
              <w:top w:w="80" w:type="dxa"/>
              <w:start w:w="120" w:type="dxa"/>
              <w:bottom w:w="80" w:type="dxa"/>
              <w:end w:w="120" w:type="dxa"/>
            </w:tcMar>
            <w:vAlign w:val="center"/>
          </w:tcPr>
          <w:p>
            <w:pPr>
              <w:spacing w:after="0" w:line="264" w:lineRule="auto"/>
            </w:pPr>
            <w:r>
              <w:rPr>
                <w:rFonts w:ascii="Calibri" w:hAnsi="Calibri"/>
                <w:color w:val="183331"/>
                <w:sz w:val="17"/>
              </w:rPr>
              <w:t>Rotate after controlled setup</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7"/>
              </w:rPr>
              <w:t>SESSION_HOURS</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Session expiry</w:t>
            </w:r>
          </w:p>
        </w:tc>
        <w:tc>
          <w:tcPr>
            <w:tcW w:type="dxa" w:w="3760"/>
            <w:tcMar>
              <w:top w:w="80" w:type="dxa"/>
              <w:start w:w="120" w:type="dxa"/>
              <w:bottom w:w="80" w:type="dxa"/>
              <w:end w:w="120" w:type="dxa"/>
            </w:tcMar>
            <w:vAlign w:val="center"/>
          </w:tcPr>
          <w:p>
            <w:pPr>
              <w:spacing w:after="0" w:line="264" w:lineRule="auto"/>
            </w:pPr>
            <w:r>
              <w:rPr>
                <w:rFonts w:ascii="Calibri" w:hAnsi="Calibri"/>
                <w:color w:val="183331"/>
                <w:sz w:val="17"/>
              </w:rPr>
              <w:t>Approved security policy</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7"/>
              </w:rPr>
              <w:t>LOCAL_MODEL_ENABLED</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Enable/disable Qwen extraction</w:t>
            </w:r>
          </w:p>
        </w:tc>
        <w:tc>
          <w:tcPr>
            <w:tcW w:type="dxa" w:w="3760"/>
            <w:tcMar>
              <w:top w:w="80" w:type="dxa"/>
              <w:start w:w="120" w:type="dxa"/>
              <w:bottom w:w="80" w:type="dxa"/>
              <w:end w:w="120" w:type="dxa"/>
            </w:tcMar>
            <w:vAlign w:val="center"/>
          </w:tcPr>
          <w:p>
            <w:pPr>
              <w:spacing w:after="0" w:line="264" w:lineRule="auto"/>
            </w:pPr>
            <w:r>
              <w:rPr>
                <w:rFonts w:ascii="Calibri" w:hAnsi="Calibri"/>
                <w:color w:val="183331"/>
                <w:sz w:val="17"/>
              </w:rPr>
              <w:t>True only after artifact validation</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7"/>
              </w:rPr>
              <w:t>LOCAL_MODEL_URL</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Local Ollama endpoint</w:t>
            </w:r>
          </w:p>
        </w:tc>
        <w:tc>
          <w:tcPr>
            <w:tcW w:type="dxa" w:w="3760"/>
            <w:tcMar>
              <w:top w:w="80" w:type="dxa"/>
              <w:start w:w="120" w:type="dxa"/>
              <w:bottom w:w="80" w:type="dxa"/>
              <w:end w:w="120" w:type="dxa"/>
            </w:tcMar>
            <w:vAlign w:val="center"/>
          </w:tcPr>
          <w:p>
            <w:pPr>
              <w:spacing w:after="0" w:line="264" w:lineRule="auto"/>
            </w:pPr>
            <w:r>
              <w:rPr>
                <w:rFonts w:ascii="Calibri" w:hAnsi="Calibri"/>
                <w:color w:val="183331"/>
                <w:sz w:val="17"/>
              </w:rPr>
              <w:t>No route beyond on-prem host</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7"/>
              </w:rPr>
              <w:t>LOCAL_MODEL_ID</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Configured model name</w:t>
            </w:r>
          </w:p>
        </w:tc>
        <w:tc>
          <w:tcPr>
            <w:tcW w:type="dxa" w:w="3760"/>
            <w:tcMar>
              <w:top w:w="80" w:type="dxa"/>
              <w:start w:w="120" w:type="dxa"/>
              <w:bottom w:w="80" w:type="dxa"/>
              <w:end w:w="120" w:type="dxa"/>
            </w:tcMar>
            <w:vAlign w:val="center"/>
          </w:tcPr>
          <w:p>
            <w:pPr>
              <w:spacing w:after="0" w:line="264" w:lineRule="auto"/>
            </w:pPr>
            <w:r>
              <w:rPr>
                <w:rFonts w:ascii="Calibri" w:hAnsi="Calibri"/>
                <w:color w:val="183331"/>
                <w:sz w:val="17"/>
              </w:rPr>
              <w:t>Pin and document exact approved artifact</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7"/>
              </w:rPr>
              <w:t>MIGRATION_DIR</w:t>
            </w:r>
          </w:p>
        </w:tc>
        <w:tc>
          <w:tcPr>
            <w:tcW w:type="dxa" w:w="3000"/>
            <w:tcMar>
              <w:top w:w="80" w:type="dxa"/>
              <w:start w:w="120" w:type="dxa"/>
              <w:bottom w:w="80" w:type="dxa"/>
              <w:end w:w="120" w:type="dxa"/>
            </w:tcMar>
            <w:vAlign w:val="center"/>
          </w:tcPr>
          <w:p>
            <w:pPr>
              <w:spacing w:after="0" w:line="264" w:lineRule="auto"/>
            </w:pPr>
            <w:r>
              <w:rPr>
                <w:rFonts w:ascii="Calibri" w:hAnsi="Calibri"/>
                <w:color w:val="183331"/>
                <w:sz w:val="17"/>
              </w:rPr>
              <w:t>SQL migration path</w:t>
            </w:r>
          </w:p>
        </w:tc>
        <w:tc>
          <w:tcPr>
            <w:tcW w:type="dxa" w:w="3760"/>
            <w:tcMar>
              <w:top w:w="80" w:type="dxa"/>
              <w:start w:w="120" w:type="dxa"/>
              <w:bottom w:w="80" w:type="dxa"/>
              <w:end w:w="120" w:type="dxa"/>
            </w:tcMar>
            <w:vAlign w:val="center"/>
          </w:tcPr>
          <w:p>
            <w:pPr>
              <w:spacing w:after="0" w:line="264" w:lineRule="auto"/>
            </w:pPr>
            <w:r>
              <w:rPr>
                <w:rFonts w:ascii="Calibri" w:hAnsi="Calibri"/>
                <w:color w:val="183331"/>
                <w:sz w:val="17"/>
              </w:rPr>
              <w:t>Read-only packaged path</w:t>
            </w:r>
          </w:p>
        </w:tc>
      </w:tr>
    </w:tbl>
    <w:p>
      <w:pPr>
        <w:spacing w:after="60"/>
      </w:pPr>
    </w:p>
    <w:p>
      <w:pPr>
        <w:pStyle w:val="Heading2"/>
        <w:keepNext/>
      </w:pPr>
      <w:r>
        <w:rPr>
          <w:rFonts w:ascii="Calibri" w:hAnsi="Calibri"/>
          <w:b/>
          <w:color w:val="286D65"/>
        </w:rPr>
        <w:t>12.4 Operational Cadence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3F3D"/>
            <w:tcMar>
              <w:top w:w="80" w:type="dxa"/>
              <w:start w:w="120" w:type="dxa"/>
              <w:bottom w:w="80" w:type="dxa"/>
              <w:end w:w="120" w:type="dxa"/>
            </w:tcMar>
            <w:vAlign w:val="center"/>
          </w:tcPr>
          <w:p>
            <w:pPr>
              <w:spacing w:after="0"/>
              <w:jc w:val="center"/>
            </w:pPr>
            <w:r>
              <w:rPr>
                <w:rFonts w:ascii="Calibri" w:hAnsi="Calibri"/>
                <w:b/>
                <w:color w:val="FFFFFF"/>
                <w:sz w:val="19"/>
              </w:rPr>
              <w:t>Cadence</w:t>
            </w:r>
          </w:p>
        </w:tc>
        <w:tc>
          <w:tcPr>
            <w:tcW w:type="dxa" w:w="7560"/>
            <w:shd w:fill="173F3D"/>
            <w:tcMar>
              <w:top w:w="80" w:type="dxa"/>
              <w:start w:w="120" w:type="dxa"/>
              <w:bottom w:w="80" w:type="dxa"/>
              <w:end w:w="120" w:type="dxa"/>
            </w:tcMar>
            <w:vAlign w:val="center"/>
          </w:tcPr>
          <w:p>
            <w:pPr>
              <w:spacing w:after="0"/>
              <w:jc w:val="left"/>
            </w:pPr>
            <w:r>
              <w:rPr>
                <w:rFonts w:ascii="Calibri" w:hAnsi="Calibri"/>
                <w:b/>
                <w:color w:val="FFFFFF"/>
                <w:sz w:val="19"/>
              </w:rPr>
              <w:t>Required activity</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83331"/>
                <w:sz w:val="19"/>
              </w:rPr>
              <w:t>Daily</w:t>
            </w:r>
          </w:p>
        </w:tc>
        <w:tc>
          <w:tcPr>
            <w:tcW w:type="dxa" w:w="7560"/>
            <w:tcMar>
              <w:top w:w="80" w:type="dxa"/>
              <w:start w:w="120" w:type="dxa"/>
              <w:bottom w:w="80" w:type="dxa"/>
              <w:end w:w="120" w:type="dxa"/>
            </w:tcMar>
            <w:vAlign w:val="center"/>
          </w:tcPr>
          <w:p>
            <w:pPr>
              <w:spacing w:after="0" w:line="264" w:lineRule="auto"/>
            </w:pPr>
            <w:r>
              <w:rPr>
                <w:rFonts w:ascii="Calibri" w:hAnsi="Calibri"/>
                <w:color w:val="183331"/>
                <w:sz w:val="19"/>
              </w:rPr>
              <w:t>Review provider rota/leave, emergency capacity, equipment availability, failed logins, service health, backup completion</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83331"/>
                <w:sz w:val="19"/>
              </w:rPr>
              <w:t>Weekly</w:t>
            </w:r>
          </w:p>
        </w:tc>
        <w:tc>
          <w:tcPr>
            <w:tcW w:type="dxa" w:w="7560"/>
            <w:tcMar>
              <w:top w:w="80" w:type="dxa"/>
              <w:start w:w="120" w:type="dxa"/>
              <w:bottom w:w="80" w:type="dxa"/>
              <w:end w:w="120" w:type="dxa"/>
            </w:tcMar>
            <w:vAlign w:val="center"/>
          </w:tcPr>
          <w:p>
            <w:pPr>
              <w:spacing w:after="0" w:line="264" w:lineRule="auto"/>
            </w:pPr>
            <w:r>
              <w:rPr>
                <w:rFonts w:ascii="Calibri" w:hAnsi="Calibri"/>
                <w:color w:val="183331"/>
                <w:sz w:val="19"/>
              </w:rPr>
              <w:t>Review waitlist aging/contact outcomes, no-show trends, utilization, production targets, audit exceptions</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83331"/>
                <w:sz w:val="19"/>
              </w:rPr>
              <w:t>Monthly</w:t>
            </w:r>
          </w:p>
        </w:tc>
        <w:tc>
          <w:tcPr>
            <w:tcW w:type="dxa" w:w="7560"/>
            <w:tcMar>
              <w:top w:w="80" w:type="dxa"/>
              <w:start w:w="120" w:type="dxa"/>
              <w:bottom w:w="80" w:type="dxa"/>
              <w:end w:w="120" w:type="dxa"/>
            </w:tcMar>
            <w:vAlign w:val="center"/>
          </w:tcPr>
          <w:p>
            <w:pPr>
              <w:spacing w:after="0" w:line="264" w:lineRule="auto"/>
            </w:pPr>
            <w:r>
              <w:rPr>
                <w:rFonts w:ascii="Calibri" w:hAnsi="Calibri"/>
                <w:color w:val="183331"/>
                <w:sz w:val="19"/>
              </w:rPr>
              <w:t>Access review, certificate/patch status, capacity configuration, restore sample, audit-chain verification</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83331"/>
                <w:sz w:val="19"/>
              </w:rPr>
              <w:t>Quarterly</w:t>
            </w:r>
          </w:p>
        </w:tc>
        <w:tc>
          <w:tcPr>
            <w:tcW w:type="dxa" w:w="7560"/>
            <w:tcMar>
              <w:top w:w="80" w:type="dxa"/>
              <w:start w:w="120" w:type="dxa"/>
              <w:bottom w:w="80" w:type="dxa"/>
              <w:end w:w="120" w:type="dxa"/>
            </w:tcMar>
            <w:vAlign w:val="center"/>
          </w:tcPr>
          <w:p>
            <w:pPr>
              <w:spacing w:after="0" w:line="264" w:lineRule="auto"/>
            </w:pPr>
            <w:r>
              <w:rPr>
                <w:rFonts w:ascii="Calibri" w:hAnsi="Calibri"/>
                <w:color w:val="183331"/>
                <w:sz w:val="19"/>
              </w:rPr>
              <w:t>Risk/control review, downtime drill, model performance sample, configuration validation, vulnerability disposition</w:t>
            </w:r>
          </w:p>
        </w:tc>
      </w:tr>
      <w:tr>
        <w:tc>
          <w:tcPr>
            <w:tcW w:type="dxa" w:w="1800"/>
            <w:tcMar>
              <w:top w:w="80" w:type="dxa"/>
              <w:start w:w="120" w:type="dxa"/>
              <w:bottom w:w="80" w:type="dxa"/>
              <w:end w:w="120" w:type="dxa"/>
            </w:tcMar>
            <w:vAlign w:val="center"/>
          </w:tcPr>
          <w:p>
            <w:pPr>
              <w:spacing w:after="0" w:line="264" w:lineRule="auto"/>
            </w:pPr>
            <w:r>
              <w:rPr>
                <w:rFonts w:ascii="Calibri" w:hAnsi="Calibri"/>
                <w:color w:val="183331"/>
                <w:sz w:val="19"/>
              </w:rPr>
              <w:t>At every release</w:t>
            </w:r>
          </w:p>
        </w:tc>
        <w:tc>
          <w:tcPr>
            <w:tcW w:type="dxa" w:w="7560"/>
            <w:tcMar>
              <w:top w:w="80" w:type="dxa"/>
              <w:start w:w="120" w:type="dxa"/>
              <w:bottom w:w="80" w:type="dxa"/>
              <w:end w:w="120" w:type="dxa"/>
            </w:tcMar>
            <w:vAlign w:val="center"/>
          </w:tcPr>
          <w:p>
            <w:pPr>
              <w:spacing w:after="0" w:line="264" w:lineRule="auto"/>
            </w:pPr>
            <w:r>
              <w:rPr>
                <w:rFonts w:ascii="Calibri" w:hAnsi="Calibri"/>
                <w:color w:val="183331"/>
                <w:sz w:val="19"/>
              </w:rPr>
              <w:t>Artifact hashes/SBOM, clean migration, invariants, simulations, live E2E, model validation, rollback/restore, sign-off</w:t>
            </w:r>
          </w:p>
        </w:tc>
      </w:tr>
    </w:tbl>
    <w:p>
      <w:pPr>
        <w:spacing w:after="60"/>
      </w:pPr>
    </w:p>
    <w:p>
      <w:pPr>
        <w:pStyle w:val="Heading1"/>
        <w:keepNext/>
      </w:pPr>
      <w:r>
        <w:rPr>
          <w:rFonts w:ascii="Calibri" w:hAnsi="Calibri"/>
          <w:b/>
          <w:color w:val="286D65"/>
        </w:rPr>
        <w:t>13. Failure Modes and Recovery Behavior</w:t>
      </w:r>
    </w:p>
    <w:tbl>
      <w:tblPr>
        <w:tblStyle w:val="TableGrid"/>
        <w:tblW w:type="dxa" w:w="9360"/>
        <w:jc w:val="left"/>
        <w:tblLayout w:type="fixed"/>
        <w:tblLook w:firstColumn="1" w:firstRow="1" w:lastColumn="0" w:lastRow="0" w:noHBand="0" w:noVBand="1" w:val="04A0"/>
        <w:tblInd w:w="120" w:type="dxa"/>
      </w:tblPr>
      <w:tblGrid>
        <w:gridCol w:w="2100"/>
        <w:gridCol w:w="3800"/>
        <w:gridCol w:w="3460"/>
      </w:tblGrid>
      <w:tr>
        <w:trPr>
          <w:tblHeader w:val="true"/>
        </w:trPr>
        <w:tc>
          <w:tcPr>
            <w:tcW w:type="dxa" w:w="2100"/>
            <w:shd w:fill="173F3D"/>
            <w:tcMar>
              <w:top w:w="80" w:type="dxa"/>
              <w:start w:w="120" w:type="dxa"/>
              <w:bottom w:w="80" w:type="dxa"/>
              <w:end w:w="120" w:type="dxa"/>
            </w:tcMar>
            <w:vAlign w:val="center"/>
          </w:tcPr>
          <w:p>
            <w:pPr>
              <w:spacing w:after="0"/>
              <w:jc w:val="center"/>
            </w:pPr>
            <w:r>
              <w:rPr>
                <w:rFonts w:ascii="Calibri" w:hAnsi="Calibri"/>
                <w:b/>
                <w:color w:val="FFFFFF"/>
                <w:sz w:val="18"/>
              </w:rPr>
              <w:t>Failure</w:t>
            </w:r>
          </w:p>
        </w:tc>
        <w:tc>
          <w:tcPr>
            <w:tcW w:type="dxa" w:w="3800"/>
            <w:shd w:fill="173F3D"/>
            <w:tcMar>
              <w:top w:w="80" w:type="dxa"/>
              <w:start w:w="120" w:type="dxa"/>
              <w:bottom w:w="80" w:type="dxa"/>
              <w:end w:w="120" w:type="dxa"/>
            </w:tcMar>
            <w:vAlign w:val="center"/>
          </w:tcPr>
          <w:p>
            <w:pPr>
              <w:spacing w:after="0"/>
              <w:jc w:val="left"/>
            </w:pPr>
            <w:r>
              <w:rPr>
                <w:rFonts w:ascii="Calibri" w:hAnsi="Calibri"/>
                <w:b/>
                <w:color w:val="FFFFFF"/>
                <w:sz w:val="18"/>
              </w:rPr>
              <w:t>Implemented behavior</w:t>
            </w:r>
          </w:p>
        </w:tc>
        <w:tc>
          <w:tcPr>
            <w:tcW w:type="dxa" w:w="3460"/>
            <w:shd w:fill="173F3D"/>
            <w:tcMar>
              <w:top w:w="80" w:type="dxa"/>
              <w:start w:w="120" w:type="dxa"/>
              <w:bottom w:w="80" w:type="dxa"/>
              <w:end w:w="120" w:type="dxa"/>
            </w:tcMar>
            <w:vAlign w:val="center"/>
          </w:tcPr>
          <w:p>
            <w:pPr>
              <w:spacing w:after="0"/>
              <w:jc w:val="left"/>
            </w:pPr>
            <w:r>
              <w:rPr>
                <w:rFonts w:ascii="Calibri" w:hAnsi="Calibri"/>
                <w:b/>
                <w:color w:val="FFFFFF"/>
                <w:sz w:val="18"/>
              </w:rPr>
              <w:t>Operator action</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7"/>
              </w:rPr>
              <w:t>Local model unavailable/invalid</w:t>
            </w:r>
          </w:p>
        </w:tc>
        <w:tc>
          <w:tcPr>
            <w:tcW w:type="dxa" w:w="3800"/>
            <w:tcMar>
              <w:top w:w="80" w:type="dxa"/>
              <w:start w:w="120" w:type="dxa"/>
              <w:bottom w:w="80" w:type="dxa"/>
              <w:end w:w="120" w:type="dxa"/>
            </w:tcMar>
            <w:vAlign w:val="center"/>
          </w:tcPr>
          <w:p>
            <w:pPr>
              <w:spacing w:after="0" w:line="264" w:lineRule="auto"/>
            </w:pPr>
            <w:r>
              <w:rPr>
                <w:rFonts w:ascii="Calibri" w:hAnsi="Calibri"/>
                <w:color w:val="183331"/>
                <w:sz w:val="17"/>
              </w:rPr>
              <w:t>Fall back to deterministic keyword rules</w:t>
            </w:r>
          </w:p>
        </w:tc>
        <w:tc>
          <w:tcPr>
            <w:tcW w:type="dxa" w:w="3460"/>
            <w:tcMar>
              <w:top w:w="80" w:type="dxa"/>
              <w:start w:w="120" w:type="dxa"/>
              <w:bottom w:w="80" w:type="dxa"/>
              <w:end w:w="120" w:type="dxa"/>
            </w:tcMar>
            <w:vAlign w:val="center"/>
          </w:tcPr>
          <w:p>
            <w:pPr>
              <w:spacing w:after="0" w:line="264" w:lineRule="auto"/>
            </w:pPr>
            <w:r>
              <w:rPr>
                <w:rFonts w:ascii="Calibri" w:hAnsi="Calibri"/>
                <w:color w:val="183331"/>
                <w:sz w:val="17"/>
              </w:rPr>
              <w:t>Review tags and priority manually; investigate local service</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7"/>
              </w:rPr>
              <w:t>No feasible slot</w:t>
            </w:r>
          </w:p>
        </w:tc>
        <w:tc>
          <w:tcPr>
            <w:tcW w:type="dxa" w:w="3800"/>
            <w:tcMar>
              <w:top w:w="80" w:type="dxa"/>
              <w:start w:w="120" w:type="dxa"/>
              <w:bottom w:w="80" w:type="dxa"/>
              <w:end w:w="120" w:type="dxa"/>
            </w:tcMar>
            <w:vAlign w:val="center"/>
          </w:tcPr>
          <w:p>
            <w:pPr>
              <w:spacing w:after="0" w:line="264" w:lineRule="auto"/>
            </w:pPr>
            <w:r>
              <w:rPr>
                <w:rFonts w:ascii="Calibri" w:hAnsi="Calibri"/>
                <w:color w:val="183331"/>
                <w:sz w:val="17"/>
              </w:rPr>
              <w:t>Return no candidates; optional waitlist creation</w:t>
            </w:r>
          </w:p>
        </w:tc>
        <w:tc>
          <w:tcPr>
            <w:tcW w:type="dxa" w:w="3460"/>
            <w:tcMar>
              <w:top w:w="80" w:type="dxa"/>
              <w:start w:w="120" w:type="dxa"/>
              <w:bottom w:w="80" w:type="dxa"/>
              <w:end w:w="120" w:type="dxa"/>
            </w:tcMar>
            <w:vAlign w:val="center"/>
          </w:tcPr>
          <w:p>
            <w:pPr>
              <w:spacing w:after="0" w:line="264" w:lineRule="auto"/>
            </w:pPr>
            <w:r>
              <w:rPr>
                <w:rFonts w:ascii="Calibri" w:hAnsi="Calibri"/>
                <w:color w:val="183331"/>
                <w:sz w:val="17"/>
              </w:rPr>
              <w:t>Expand approved availability or review capacity/policy</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7"/>
              </w:rPr>
              <w:t>Recommendation stale</w:t>
            </w:r>
          </w:p>
        </w:tc>
        <w:tc>
          <w:tcPr>
            <w:tcW w:type="dxa" w:w="3800"/>
            <w:tcMar>
              <w:top w:w="80" w:type="dxa"/>
              <w:start w:w="120" w:type="dxa"/>
              <w:bottom w:w="80" w:type="dxa"/>
              <w:end w:w="120" w:type="dxa"/>
            </w:tcMar>
            <w:vAlign w:val="center"/>
          </w:tcPr>
          <w:p>
            <w:pPr>
              <w:spacing w:after="0" w:line="264" w:lineRule="auto"/>
            </w:pPr>
            <w:r>
              <w:rPr>
                <w:rFonts w:ascii="Calibri" w:hAnsi="Calibri"/>
                <w:color w:val="183331"/>
                <w:sz w:val="17"/>
              </w:rPr>
              <w:t>Database conflict; nothing partially booked</w:t>
            </w:r>
          </w:p>
        </w:tc>
        <w:tc>
          <w:tcPr>
            <w:tcW w:type="dxa" w:w="3460"/>
            <w:tcMar>
              <w:top w:w="80" w:type="dxa"/>
              <w:start w:w="120" w:type="dxa"/>
              <w:bottom w:w="80" w:type="dxa"/>
              <w:end w:w="120" w:type="dxa"/>
            </w:tcMar>
            <w:vAlign w:val="center"/>
          </w:tcPr>
          <w:p>
            <w:pPr>
              <w:spacing w:after="0" w:line="264" w:lineRule="auto"/>
            </w:pPr>
            <w:r>
              <w:rPr>
                <w:rFonts w:ascii="Calibri" w:hAnsi="Calibri"/>
                <w:color w:val="183331"/>
                <w:sz w:val="17"/>
              </w:rPr>
              <w:t>Run a new search</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7"/>
              </w:rPr>
              <w:t>Concurrent room/provider/equipment conflict</w:t>
            </w:r>
          </w:p>
        </w:tc>
        <w:tc>
          <w:tcPr>
            <w:tcW w:type="dxa" w:w="3800"/>
            <w:tcMar>
              <w:top w:w="80" w:type="dxa"/>
              <w:start w:w="120" w:type="dxa"/>
              <w:bottom w:w="80" w:type="dxa"/>
              <w:end w:w="120" w:type="dxa"/>
            </w:tcMar>
            <w:vAlign w:val="center"/>
          </w:tcPr>
          <w:p>
            <w:pPr>
              <w:spacing w:after="0" w:line="264" w:lineRule="auto"/>
            </w:pPr>
            <w:r>
              <w:rPr>
                <w:rFonts w:ascii="Calibri" w:hAnsi="Calibri"/>
                <w:color w:val="183331"/>
                <w:sz w:val="17"/>
              </w:rPr>
              <w:t>Exclusion constraint aborts transaction</w:t>
            </w:r>
          </w:p>
        </w:tc>
        <w:tc>
          <w:tcPr>
            <w:tcW w:type="dxa" w:w="3460"/>
            <w:tcMar>
              <w:top w:w="80" w:type="dxa"/>
              <w:start w:w="120" w:type="dxa"/>
              <w:bottom w:w="80" w:type="dxa"/>
              <w:end w:w="120" w:type="dxa"/>
            </w:tcMar>
            <w:vAlign w:val="center"/>
          </w:tcPr>
          <w:p>
            <w:pPr>
              <w:spacing w:after="0" w:line="264" w:lineRule="auto"/>
            </w:pPr>
            <w:r>
              <w:rPr>
                <w:rFonts w:ascii="Calibri" w:hAnsi="Calibri"/>
                <w:color w:val="183331"/>
                <w:sz w:val="17"/>
              </w:rPr>
              <w:t>Refresh and choose another candidate</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7"/>
              </w:rPr>
              <w:t>Dentist cap exceeded</w:t>
            </w:r>
          </w:p>
        </w:tc>
        <w:tc>
          <w:tcPr>
            <w:tcW w:type="dxa" w:w="3800"/>
            <w:tcMar>
              <w:top w:w="80" w:type="dxa"/>
              <w:start w:w="120" w:type="dxa"/>
              <w:bottom w:w="80" w:type="dxa"/>
              <w:end w:w="120" w:type="dxa"/>
            </w:tcMar>
            <w:vAlign w:val="center"/>
          </w:tcPr>
          <w:p>
            <w:pPr>
              <w:spacing w:after="0" w:line="264" w:lineRule="auto"/>
            </w:pPr>
            <w:r>
              <w:rPr>
                <w:rFonts w:ascii="Calibri" w:hAnsi="Calibri"/>
                <w:color w:val="183331"/>
                <w:sz w:val="17"/>
              </w:rPr>
              <w:t>Optimizer filters; database also rejects</w:t>
            </w:r>
          </w:p>
        </w:tc>
        <w:tc>
          <w:tcPr>
            <w:tcW w:type="dxa" w:w="3460"/>
            <w:tcMar>
              <w:top w:w="80" w:type="dxa"/>
              <w:start w:w="120" w:type="dxa"/>
              <w:bottom w:w="80" w:type="dxa"/>
              <w:end w:w="120" w:type="dxa"/>
            </w:tcMar>
            <w:vAlign w:val="center"/>
          </w:tcPr>
          <w:p>
            <w:pPr>
              <w:spacing w:after="0" w:line="264" w:lineRule="auto"/>
            </w:pPr>
            <w:r>
              <w:rPr>
                <w:rFonts w:ascii="Calibri" w:hAnsi="Calibri"/>
                <w:color w:val="183331"/>
                <w:sz w:val="17"/>
              </w:rPr>
              <w:t>Choose another dentist/time or clinician-approved cap change</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7"/>
              </w:rPr>
              <w:t>Unauthorized reschedule</w:t>
            </w:r>
          </w:p>
        </w:tc>
        <w:tc>
          <w:tcPr>
            <w:tcW w:type="dxa" w:w="3800"/>
            <w:tcMar>
              <w:top w:w="80" w:type="dxa"/>
              <w:start w:w="120" w:type="dxa"/>
              <w:bottom w:w="80" w:type="dxa"/>
              <w:end w:w="120" w:type="dxa"/>
            </w:tcMar>
            <w:vAlign w:val="center"/>
          </w:tcPr>
          <w:p>
            <w:pPr>
              <w:spacing w:after="0" w:line="264" w:lineRule="auto"/>
            </w:pPr>
            <w:r>
              <w:rPr>
                <w:rFonts w:ascii="Calibri" w:hAnsi="Calibri"/>
                <w:color w:val="183331"/>
                <w:sz w:val="17"/>
              </w:rPr>
              <w:t>Database rejects exact appointment/phase/equipment mutation</w:t>
            </w:r>
          </w:p>
        </w:tc>
        <w:tc>
          <w:tcPr>
            <w:tcW w:type="dxa" w:w="3460"/>
            <w:tcMar>
              <w:top w:w="80" w:type="dxa"/>
              <w:start w:w="120" w:type="dxa"/>
              <w:bottom w:w="80" w:type="dxa"/>
              <w:end w:w="120" w:type="dxa"/>
            </w:tcMar>
            <w:vAlign w:val="center"/>
          </w:tcPr>
          <w:p>
            <w:pPr>
              <w:spacing w:after="0" w:line="264" w:lineRule="auto"/>
            </w:pPr>
            <w:r>
              <w:rPr>
                <w:rFonts w:ascii="Calibri" w:hAnsi="Calibri"/>
                <w:color w:val="183331"/>
                <w:sz w:val="17"/>
              </w:rPr>
              <w:t>Use protected workflow with explicit permission</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7"/>
              </w:rPr>
              <w:t>Audit insert failure</w:t>
            </w:r>
          </w:p>
        </w:tc>
        <w:tc>
          <w:tcPr>
            <w:tcW w:type="dxa" w:w="3800"/>
            <w:tcMar>
              <w:top w:w="80" w:type="dxa"/>
              <w:start w:w="120" w:type="dxa"/>
              <w:bottom w:w="80" w:type="dxa"/>
              <w:end w:w="120" w:type="dxa"/>
            </w:tcMar>
            <w:vAlign w:val="center"/>
          </w:tcPr>
          <w:p>
            <w:pPr>
              <w:spacing w:after="0" w:line="264" w:lineRule="auto"/>
            </w:pPr>
            <w:r>
              <w:rPr>
                <w:rFonts w:ascii="Calibri" w:hAnsi="Calibri"/>
                <w:color w:val="183331"/>
                <w:sz w:val="17"/>
              </w:rPr>
              <w:t>Protected state-changing transaction should fail</w:t>
            </w:r>
          </w:p>
        </w:tc>
        <w:tc>
          <w:tcPr>
            <w:tcW w:type="dxa" w:w="3460"/>
            <w:tcMar>
              <w:top w:w="80" w:type="dxa"/>
              <w:start w:w="120" w:type="dxa"/>
              <w:bottom w:w="80" w:type="dxa"/>
              <w:end w:w="120" w:type="dxa"/>
            </w:tcMar>
            <w:vAlign w:val="center"/>
          </w:tcPr>
          <w:p>
            <w:pPr>
              <w:spacing w:after="0" w:line="264" w:lineRule="auto"/>
            </w:pPr>
            <w:r>
              <w:rPr>
                <w:rFonts w:ascii="Calibri" w:hAnsi="Calibri"/>
                <w:color w:val="183331"/>
                <w:sz w:val="17"/>
              </w:rPr>
              <w:t>Treat as security/control incident</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7"/>
              </w:rPr>
              <w:t>Database unavailable</w:t>
            </w:r>
          </w:p>
        </w:tc>
        <w:tc>
          <w:tcPr>
            <w:tcW w:type="dxa" w:w="3800"/>
            <w:tcMar>
              <w:top w:w="80" w:type="dxa"/>
              <w:start w:w="120" w:type="dxa"/>
              <w:bottom w:w="80" w:type="dxa"/>
              <w:end w:w="120" w:type="dxa"/>
            </w:tcMar>
            <w:vAlign w:val="center"/>
          </w:tcPr>
          <w:p>
            <w:pPr>
              <w:spacing w:after="0" w:line="264" w:lineRule="auto"/>
            </w:pPr>
            <w:r>
              <w:rPr>
                <w:rFonts w:ascii="Calibri" w:hAnsi="Calibri"/>
                <w:color w:val="183331"/>
                <w:sz w:val="17"/>
              </w:rPr>
              <w:t>Health and workflows fail closed</w:t>
            </w:r>
          </w:p>
        </w:tc>
        <w:tc>
          <w:tcPr>
            <w:tcW w:type="dxa" w:w="3460"/>
            <w:tcMar>
              <w:top w:w="80" w:type="dxa"/>
              <w:start w:w="120" w:type="dxa"/>
              <w:bottom w:w="80" w:type="dxa"/>
              <w:end w:w="120" w:type="dxa"/>
            </w:tcMar>
            <w:vAlign w:val="center"/>
          </w:tcPr>
          <w:p>
            <w:pPr>
              <w:spacing w:after="0" w:line="264" w:lineRule="auto"/>
            </w:pPr>
            <w:r>
              <w:rPr>
                <w:rFonts w:ascii="Calibri" w:hAnsi="Calibri"/>
                <w:color w:val="183331"/>
                <w:sz w:val="17"/>
              </w:rPr>
              <w:t>Enter downtime procedure; restore service; reconcile controlled records</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7"/>
              </w:rPr>
              <w:t>Certificate failure</w:t>
            </w:r>
          </w:p>
        </w:tc>
        <w:tc>
          <w:tcPr>
            <w:tcW w:type="dxa" w:w="3800"/>
            <w:tcMar>
              <w:top w:w="80" w:type="dxa"/>
              <w:start w:w="120" w:type="dxa"/>
              <w:bottom w:w="80" w:type="dxa"/>
              <w:end w:w="120" w:type="dxa"/>
            </w:tcMar>
            <w:vAlign w:val="center"/>
          </w:tcPr>
          <w:p>
            <w:pPr>
              <w:spacing w:after="0" w:line="264" w:lineRule="auto"/>
            </w:pPr>
            <w:r>
              <w:rPr>
                <w:rFonts w:ascii="Calibri" w:hAnsi="Calibri"/>
                <w:color w:val="183331"/>
                <w:sz w:val="17"/>
              </w:rPr>
              <w:t>Browser trust/connection failure</w:t>
            </w:r>
          </w:p>
        </w:tc>
        <w:tc>
          <w:tcPr>
            <w:tcW w:type="dxa" w:w="3460"/>
            <w:tcMar>
              <w:top w:w="80" w:type="dxa"/>
              <w:start w:w="120" w:type="dxa"/>
              <w:bottom w:w="80" w:type="dxa"/>
              <w:end w:w="120" w:type="dxa"/>
            </w:tcMar>
            <w:vAlign w:val="center"/>
          </w:tcPr>
          <w:p>
            <w:pPr>
              <w:spacing w:after="0" w:line="264" w:lineRule="auto"/>
            </w:pPr>
            <w:r>
              <w:rPr>
                <w:rFonts w:ascii="Calibri" w:hAnsi="Calibri"/>
                <w:color w:val="183331"/>
                <w:sz w:val="17"/>
              </w:rPr>
              <w:t>Renew/replace through approved internal PKI</w:t>
            </w:r>
          </w:p>
        </w:tc>
      </w:tr>
      <w:tr>
        <w:tc>
          <w:tcPr>
            <w:tcW w:type="dxa" w:w="2100"/>
            <w:tcMar>
              <w:top w:w="80" w:type="dxa"/>
              <w:start w:w="120" w:type="dxa"/>
              <w:bottom w:w="80" w:type="dxa"/>
              <w:end w:w="120" w:type="dxa"/>
            </w:tcMar>
            <w:vAlign w:val="center"/>
          </w:tcPr>
          <w:p>
            <w:pPr>
              <w:spacing w:after="0" w:line="264" w:lineRule="auto"/>
            </w:pPr>
            <w:r>
              <w:rPr>
                <w:rFonts w:ascii="Calibri" w:hAnsi="Calibri"/>
                <w:color w:val="183331"/>
                <w:sz w:val="17"/>
              </w:rPr>
              <w:t>Backup/restore failure</w:t>
            </w:r>
          </w:p>
        </w:tc>
        <w:tc>
          <w:tcPr>
            <w:tcW w:type="dxa" w:w="3800"/>
            <w:tcMar>
              <w:top w:w="80" w:type="dxa"/>
              <w:start w:w="120" w:type="dxa"/>
              <w:bottom w:w="80" w:type="dxa"/>
              <w:end w:w="120" w:type="dxa"/>
            </w:tcMar>
            <w:vAlign w:val="center"/>
          </w:tcPr>
          <w:p>
            <w:pPr>
              <w:spacing w:after="0" w:line="264" w:lineRule="auto"/>
            </w:pPr>
            <w:r>
              <w:rPr>
                <w:rFonts w:ascii="Calibri" w:hAnsi="Calibri"/>
                <w:color w:val="183331"/>
                <w:sz w:val="17"/>
              </w:rPr>
              <w:t>Outside application detection</w:t>
            </w:r>
          </w:p>
        </w:tc>
        <w:tc>
          <w:tcPr>
            <w:tcW w:type="dxa" w:w="3460"/>
            <w:tcMar>
              <w:top w:w="80" w:type="dxa"/>
              <w:start w:w="120" w:type="dxa"/>
              <w:bottom w:w="80" w:type="dxa"/>
              <w:end w:w="120" w:type="dxa"/>
            </w:tcMar>
            <w:vAlign w:val="center"/>
          </w:tcPr>
          <w:p>
            <w:pPr>
              <w:spacing w:after="0" w:line="264" w:lineRule="auto"/>
            </w:pPr>
            <w:r>
              <w:rPr>
                <w:rFonts w:ascii="Calibri" w:hAnsi="Calibri"/>
                <w:color w:val="183331"/>
                <w:sz w:val="17"/>
              </w:rPr>
              <w:t>Escalate per contingency plan; do not assume recoverability</w:t>
            </w:r>
          </w:p>
        </w:tc>
      </w:tr>
    </w:tbl>
    <w:p>
      <w:pPr>
        <w:spacing w:after="60"/>
      </w:pPr>
    </w:p>
    <w:p>
      <w:pPr>
        <w:pStyle w:val="Heading1"/>
        <w:keepNext/>
      </w:pPr>
      <w:r>
        <w:rPr>
          <w:rFonts w:ascii="Calibri" w:hAnsi="Calibri"/>
          <w:b/>
          <w:color w:val="286D65"/>
        </w:rPr>
        <w:t>14. Verification Evidence</w:t>
      </w:r>
    </w:p>
    <w:p>
      <w:pPr>
        <w:pStyle w:val="Heading2"/>
        <w:keepNext/>
      </w:pPr>
      <w:r>
        <w:rPr>
          <w:rFonts w:ascii="Calibri" w:hAnsi="Calibri"/>
          <w:b/>
          <w:color w:val="286D65"/>
        </w:rPr>
        <w:t>14.1 Verified Release Gates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73F3D"/>
            <w:tcMar>
              <w:top w:w="80" w:type="dxa"/>
              <w:start w:w="120" w:type="dxa"/>
              <w:bottom w:w="80" w:type="dxa"/>
              <w:end w:w="120" w:type="dxa"/>
            </w:tcMar>
            <w:vAlign w:val="center"/>
          </w:tcPr>
          <w:p>
            <w:pPr>
              <w:spacing w:after="0"/>
              <w:jc w:val="center"/>
            </w:pPr>
            <w:r>
              <w:rPr>
                <w:rFonts w:ascii="Calibri" w:hAnsi="Calibri"/>
                <w:b/>
                <w:color w:val="FFFFFF"/>
                <w:sz w:val="19"/>
              </w:rPr>
              <w:t>Gate</w:t>
            </w:r>
          </w:p>
        </w:tc>
        <w:tc>
          <w:tcPr>
            <w:tcW w:type="dxa" w:w="7060"/>
            <w:shd w:fill="173F3D"/>
            <w:tcMar>
              <w:top w:w="80" w:type="dxa"/>
              <w:start w:w="120" w:type="dxa"/>
              <w:bottom w:w="80" w:type="dxa"/>
              <w:end w:w="120" w:type="dxa"/>
            </w:tcMar>
            <w:vAlign w:val="center"/>
          </w:tcPr>
          <w:p>
            <w:pPr>
              <w:spacing w:after="0"/>
              <w:jc w:val="center"/>
            </w:pPr>
            <w:r>
              <w:rPr>
                <w:rFonts w:ascii="Calibri" w:hAnsi="Calibri"/>
                <w:b/>
                <w:color w:val="FFFFFF"/>
                <w:sz w:val="19"/>
              </w:rPr>
              <w:t>Result</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83331"/>
                <w:sz w:val="19"/>
              </w:rPr>
              <w:t>Optimizer unit tests</w:t>
            </w:r>
          </w:p>
        </w:tc>
        <w:tc>
          <w:tcPr>
            <w:tcW w:type="dxa" w:w="7060"/>
            <w:tcMar>
              <w:top w:w="80" w:type="dxa"/>
              <w:start w:w="120" w:type="dxa"/>
              <w:bottom w:w="80" w:type="dxa"/>
              <w:end w:w="120" w:type="dxa"/>
            </w:tcMar>
            <w:vAlign w:val="center"/>
          </w:tcPr>
          <w:p>
            <w:pPr>
              <w:spacing w:after="0" w:line="264" w:lineRule="auto"/>
            </w:pPr>
            <w:r>
              <w:rPr>
                <w:rFonts w:ascii="Calibri" w:hAnsi="Calibri"/>
                <w:color w:val="183331"/>
                <w:sz w:val="19"/>
              </w:rPr>
              <w:t>11 passed, including locked visits, phases, emergency protection, supervision cap, and equipment unit contention</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83331"/>
                <w:sz w:val="19"/>
              </w:rPr>
              <w:t>Frontend contract tests</w:t>
            </w:r>
          </w:p>
        </w:tc>
        <w:tc>
          <w:tcPr>
            <w:tcW w:type="dxa" w:w="7060"/>
            <w:tcMar>
              <w:top w:w="80" w:type="dxa"/>
              <w:start w:w="120" w:type="dxa"/>
              <w:bottom w:w="80" w:type="dxa"/>
              <w:end w:w="120" w:type="dxa"/>
            </w:tcMar>
            <w:vAlign w:val="center"/>
          </w:tcPr>
          <w:p>
            <w:pPr>
              <w:spacing w:after="0" w:line="264" w:lineRule="auto"/>
            </w:pPr>
            <w:r>
              <w:rPr>
                <w:rFonts w:ascii="Calibri" w:hAnsi="Calibri"/>
                <w:color w:val="183331"/>
                <w:sz w:val="19"/>
              </w:rPr>
              <w:t>4 passed: DOM IDs, navigation/view mapping, CSP-compatible markup, same-origin offline assets</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83331"/>
                <w:sz w:val="19"/>
              </w:rPr>
              <w:t>Python/JavaScript static checks</w:t>
            </w:r>
          </w:p>
        </w:tc>
        <w:tc>
          <w:tcPr>
            <w:tcW w:type="dxa" w:w="7060"/>
            <w:tcMar>
              <w:top w:w="80" w:type="dxa"/>
              <w:start w:w="120" w:type="dxa"/>
              <w:bottom w:w="80" w:type="dxa"/>
              <w:end w:w="120" w:type="dxa"/>
            </w:tcMar>
            <w:vAlign w:val="center"/>
          </w:tcPr>
          <w:p>
            <w:pPr>
              <w:spacing w:after="0" w:line="264" w:lineRule="auto"/>
            </w:pPr>
            <w:r>
              <w:rPr>
                <w:rFonts w:ascii="Calibri" w:hAnsi="Calibri"/>
                <w:color w:val="183331"/>
                <w:sz w:val="19"/>
              </w:rPr>
              <w:t>Passed</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83331"/>
                <w:sz w:val="19"/>
              </w:rPr>
              <w:t>Clean migrations</w:t>
            </w:r>
          </w:p>
        </w:tc>
        <w:tc>
          <w:tcPr>
            <w:tcW w:type="dxa" w:w="7060"/>
            <w:tcMar>
              <w:top w:w="80" w:type="dxa"/>
              <w:start w:w="120" w:type="dxa"/>
              <w:bottom w:w="80" w:type="dxa"/>
              <w:end w:w="120" w:type="dxa"/>
            </w:tcMar>
            <w:vAlign w:val="center"/>
          </w:tcPr>
          <w:p>
            <w:pPr>
              <w:spacing w:after="0" w:line="264" w:lineRule="auto"/>
            </w:pPr>
            <w:r>
              <w:rPr>
                <w:rFonts w:ascii="Calibri" w:hAnsi="Calibri"/>
                <w:color w:val="183331"/>
                <w:sz w:val="19"/>
              </w:rPr>
              <w:t>Migrations 0001–0012 applied successfully to a new temporary database</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83331"/>
                <w:sz w:val="19"/>
              </w:rPr>
              <w:t>Database invariants</w:t>
            </w:r>
          </w:p>
        </w:tc>
        <w:tc>
          <w:tcPr>
            <w:tcW w:type="dxa" w:w="7060"/>
            <w:tcMar>
              <w:top w:w="80" w:type="dxa"/>
              <w:start w:w="120" w:type="dxa"/>
              <w:bottom w:w="80" w:type="dxa"/>
              <w:end w:w="120" w:type="dxa"/>
            </w:tcMar>
            <w:vAlign w:val="center"/>
          </w:tcPr>
          <w:p>
            <w:pPr>
              <w:spacing w:after="0" w:line="264" w:lineRule="auto"/>
            </w:pPr>
            <w:r>
              <w:rPr>
                <w:rFonts w:ascii="Calibri" w:hAnsi="Calibri"/>
                <w:color w:val="183331"/>
                <w:sz w:val="19"/>
              </w:rPr>
              <w:t>Passed on clean and upgraded schemas; rollback-only test</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83331"/>
                <w:sz w:val="19"/>
              </w:rPr>
              <w:t>Live HTTPS E2E</w:t>
            </w:r>
          </w:p>
        </w:tc>
        <w:tc>
          <w:tcPr>
            <w:tcW w:type="dxa" w:w="7060"/>
            <w:tcMar>
              <w:top w:w="80" w:type="dxa"/>
              <w:start w:w="120" w:type="dxa"/>
              <w:bottom w:w="80" w:type="dxa"/>
              <w:end w:w="120" w:type="dxa"/>
            </w:tcMar>
            <w:vAlign w:val="center"/>
          </w:tcPr>
          <w:p>
            <w:pPr>
              <w:spacing w:after="0" w:line="264" w:lineRule="auto"/>
            </w:pPr>
            <w:r>
              <w:rPr>
                <w:rFonts w:ascii="Calibri" w:hAnsi="Calibri"/>
                <w:color w:val="183331"/>
                <w:sz w:val="19"/>
              </w:rPr>
              <w:t>Passed authentication, Qwen intake, booking, rescheduling, operations, waitlist, equipment, walk-in, flow, calibration, analytics, completion, and audit</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83331"/>
                <w:sz w:val="19"/>
              </w:rPr>
              <w:t>Annual baseline simulation</w:t>
            </w:r>
          </w:p>
        </w:tc>
        <w:tc>
          <w:tcPr>
            <w:tcW w:type="dxa" w:w="7060"/>
            <w:tcMar>
              <w:top w:w="80" w:type="dxa"/>
              <w:start w:w="120" w:type="dxa"/>
              <w:bottom w:w="80" w:type="dxa"/>
              <w:end w:w="120" w:type="dxa"/>
            </w:tcMar>
            <w:vAlign w:val="center"/>
          </w:tcPr>
          <w:p>
            <w:pPr>
              <w:spacing w:after="0" w:line="264" w:lineRule="auto"/>
            </w:pPr>
            <w:r>
              <w:rPr>
                <w:rFonts w:ascii="Calibri" w:hAnsi="Calibri"/>
                <w:color w:val="183331"/>
                <w:sz w:val="19"/>
              </w:rPr>
              <w:t>200/200 feasible scheduled; 20/20 intentionally infeasible rejected; 90 locked preserved; zero invariant failures</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83331"/>
                <w:sz w:val="19"/>
              </w:rPr>
              <w:t>Practice-scale phased simulation</w:t>
            </w:r>
          </w:p>
        </w:tc>
        <w:tc>
          <w:tcPr>
            <w:tcW w:type="dxa" w:w="7060"/>
            <w:tcMar>
              <w:top w:w="80" w:type="dxa"/>
              <w:start w:w="120" w:type="dxa"/>
              <w:bottom w:w="80" w:type="dxa"/>
              <w:end w:w="120" w:type="dxa"/>
            </w:tcMar>
            <w:vAlign w:val="center"/>
          </w:tcPr>
          <w:p>
            <w:pPr>
              <w:spacing w:after="0" w:line="264" w:lineRule="auto"/>
            </w:pPr>
            <w:r>
              <w:rPr>
                <w:rFonts w:ascii="Calibri" w:hAnsi="Calibri"/>
                <w:color w:val="183331"/>
                <w:sz w:val="19"/>
              </w:rPr>
              <w:t>400/400 feasible scheduled; 20/20 intentionally infeasible rejected; 60 locked preserved; 47 safe overlapping full visits; zero invariant failures</w:t>
            </w:r>
          </w:p>
        </w:tc>
      </w:tr>
      <w:tr>
        <w:tc>
          <w:tcPr>
            <w:tcW w:type="dxa" w:w="2300"/>
            <w:tcMar>
              <w:top w:w="80" w:type="dxa"/>
              <w:start w:w="120" w:type="dxa"/>
              <w:bottom w:w="80" w:type="dxa"/>
              <w:end w:w="120" w:type="dxa"/>
            </w:tcMar>
            <w:vAlign w:val="center"/>
          </w:tcPr>
          <w:p>
            <w:pPr>
              <w:spacing w:after="0" w:line="264" w:lineRule="auto"/>
            </w:pPr>
            <w:r>
              <w:rPr>
                <w:rFonts w:ascii="Calibri" w:hAnsi="Calibri"/>
                <w:color w:val="183331"/>
                <w:sz w:val="19"/>
              </w:rPr>
              <w:t>Runtime health</w:t>
            </w:r>
          </w:p>
        </w:tc>
        <w:tc>
          <w:tcPr>
            <w:tcW w:type="dxa" w:w="7060"/>
            <w:tcMar>
              <w:top w:w="80" w:type="dxa"/>
              <w:start w:w="120" w:type="dxa"/>
              <w:bottom w:w="80" w:type="dxa"/>
              <w:end w:w="120" w:type="dxa"/>
            </w:tcMar>
            <w:vAlign w:val="center"/>
          </w:tcPr>
          <w:p>
            <w:pPr>
              <w:spacing w:after="0" w:line="264" w:lineRule="auto"/>
            </w:pPr>
            <w:r>
              <w:rPr>
                <w:rFonts w:ascii="Calibri" w:hAnsi="Calibri"/>
                <w:color w:val="183331"/>
                <w:sz w:val="19"/>
              </w:rPr>
              <w:t>API running; PostgreSQL healthy; UI served locally over TLS</w:t>
            </w:r>
          </w:p>
        </w:tc>
      </w:tr>
    </w:tbl>
    <w:p>
      <w:pPr>
        <w:spacing w:after="60"/>
      </w:pPr>
    </w:p>
    <w:p>
      <w:pPr>
        <w:pStyle w:val="Heading2"/>
        <w:keepNext/>
      </w:pPr>
      <w:r>
        <w:rPr>
          <w:rFonts w:ascii="Calibri" w:hAnsi="Calibri"/>
          <w:b/>
          <w:color w:val="286D65"/>
        </w:rPr>
        <w:t>14.2 Database Invariants Tested</w:t>
      </w:r>
    </w:p>
    <w:p>
      <w:pPr>
        <w:pStyle w:val="ListBullet"/>
        <w:spacing w:after="80" w:line="300" w:lineRule="auto"/>
        <w:ind w:left="540" w:hanging="271"/>
      </w:pPr>
      <w:r>
        <w:rPr>
          <w:rFonts w:ascii="Calibri" w:hAnsi="Calibri"/>
          <w:color w:val="183331"/>
        </w:rPr>
        <w:t>Confirmed appointment cannot move without exact permission; permission is single-use.</w:t>
      </w:r>
    </w:p>
    <w:p>
      <w:pPr>
        <w:pStyle w:val="ListBullet"/>
        <w:spacing w:after="80" w:line="300" w:lineRule="auto"/>
        <w:ind w:left="540" w:hanging="271"/>
      </w:pPr>
      <w:r>
        <w:rPr>
          <w:rFonts w:ascii="Calibri" w:hAnsi="Calibri"/>
          <w:color w:val="183331"/>
        </w:rPr>
        <w:t>Confirmed phases and equipment reservations require the same exact consumed permission.</w:t>
      </w:r>
    </w:p>
    <w:p>
      <w:pPr>
        <w:pStyle w:val="ListBullet"/>
        <w:spacing w:after="80" w:line="300" w:lineRule="auto"/>
        <w:ind w:left="540" w:hanging="271"/>
      </w:pPr>
      <w:r>
        <w:rPr>
          <w:rFonts w:ascii="Calibri" w:hAnsi="Calibri"/>
          <w:color w:val="183331"/>
        </w:rPr>
        <w:t>Patient, room, provider-phase, and equipment-unit overlaps are rejected.</w:t>
      </w:r>
    </w:p>
    <w:p>
      <w:pPr>
        <w:pStyle w:val="ListBullet"/>
        <w:spacing w:after="80" w:line="300" w:lineRule="auto"/>
        <w:ind w:left="540" w:hanging="271"/>
      </w:pPr>
      <w:r>
        <w:rPr>
          <w:rFonts w:ascii="Calibri" w:hAnsi="Calibri"/>
          <w:color w:val="183331"/>
        </w:rPr>
        <w:t>Equipment unit cannot exceed configured quantity.</w:t>
      </w:r>
    </w:p>
    <w:p>
      <w:pPr>
        <w:pStyle w:val="ListBullet"/>
        <w:spacing w:after="80" w:line="300" w:lineRule="auto"/>
        <w:ind w:left="540" w:hanging="271"/>
      </w:pPr>
      <w:r>
        <w:rPr>
          <w:rFonts w:ascii="Calibri" w:hAnsi="Calibri"/>
          <w:color w:val="183331"/>
        </w:rPr>
        <w:t>Fourth concurrent supervised visit is rejected at a cap of three.</w:t>
      </w:r>
    </w:p>
    <w:p>
      <w:pPr>
        <w:pStyle w:val="ListBullet"/>
        <w:spacing w:after="80" w:line="300" w:lineRule="auto"/>
        <w:ind w:left="540" w:hanging="271"/>
      </w:pPr>
      <w:r>
        <w:rPr>
          <w:rFonts w:ascii="Calibri" w:hAnsi="Calibri"/>
          <w:color w:val="183331"/>
        </w:rPr>
        <w:t>Equipment quantity and dentist cap cannot be lowered below active reservations/concurrency.</w:t>
      </w:r>
    </w:p>
    <w:p>
      <w:pPr>
        <w:pStyle w:val="ListBullet"/>
        <w:spacing w:after="80" w:line="300" w:lineRule="auto"/>
        <w:ind w:left="540" w:hanging="271"/>
      </w:pPr>
      <w:r>
        <w:rPr>
          <w:rFonts w:ascii="Calibri" w:hAnsi="Calibri"/>
          <w:color w:val="183331"/>
        </w:rPr>
        <w:t>Audit rows cannot be updated or deleted.</w:t>
      </w:r>
    </w:p>
    <w:p>
      <w:pPr>
        <w:pStyle w:val="Heading2"/>
        <w:keepNext/>
      </w:pPr>
      <w:r>
        <w:rPr>
          <w:rFonts w:ascii="Calibri" w:hAnsi="Calibri"/>
          <w:b/>
          <w:color w:val="286D65"/>
        </w:rPr>
        <w:t>14.3 Outstanding Test Gate</w:t>
      </w:r>
    </w:p>
    <w:p>
      <w:pPr>
        <w:spacing w:before="60" w:after="160" w:line="288" w:lineRule="auto"/>
        <w:ind w:left="173" w:right="173"/>
        <w:shd w:fill="FFF7E8"/>
        <w:pBdr>
          <w:left w:val="single" w:sz="18" w:space="6" w:color="B9863B"/>
        </w:pBdr>
      </w:pPr>
      <w:r>
        <w:rPr>
          <w:rFonts w:ascii="Calibri" w:hAnsi="Calibri"/>
          <w:b/>
          <w:color w:val="B9863B"/>
        </w:rPr>
        <w:t xml:space="preserve">Rendered browser acceptance: </w:t>
      </w:r>
      <w:r>
        <w:rPr>
          <w:rFonts w:ascii="Calibri" w:hAnsi="Calibri"/>
          <w:color w:val="183331"/>
        </w:rPr>
        <w:t>The in-app browser-control service reported no available browser backend in the build session. Served assets, static checks, DOM contracts, and API-driven workflows passed, but a human or automated desktop/mobile visual click-through remains required before production acceptance.</w:t>
      </w:r>
    </w:p>
    <w:p>
      <w:pPr>
        <w:pStyle w:val="Heading2"/>
        <w:keepNext/>
      </w:pPr>
      <w:r>
        <w:rPr>
          <w:rFonts w:ascii="Calibri" w:hAnsi="Calibri"/>
          <w:b/>
          <w:color w:val="286D65"/>
        </w:rPr>
        <w:t>14.4 Success Metrics and Initial Acceptance Targets</w:t>
      </w:r>
    </w:p>
    <w:p>
      <w:pPr>
        <w:keepLines w:val="0"/>
        <w:spacing w:before="0" w:after="120" w:line="300" w:lineRule="auto"/>
      </w:pPr>
      <w:r>
        <w:rPr>
          <w:rFonts w:ascii="Calibri" w:hAnsi="Calibri"/>
          <w:i w:val="0"/>
          <w:color w:val="183331"/>
        </w:rPr>
        <w:t>The values below are recommended pilot and service-acceptance targets, not claims of current production performance. Deployment owners must approve definitions, exclusions, data sources, target hardware, baselines, owners, and cadence. Safety and privacy guardrails cannot be traded for efficiency.</w:t>
      </w:r>
    </w:p>
    <w:tbl>
      <w:tblPr>
        <w:tblStyle w:val="TableGrid"/>
        <w:tblW w:type="dxa" w:w="9360"/>
        <w:jc w:val="left"/>
        <w:tblLayout w:type="fixed"/>
        <w:tblLook w:firstColumn="1" w:firstRow="1" w:lastColumn="0" w:lastRow="0" w:noHBand="0" w:noVBand="1" w:val="04A0"/>
        <w:tblInd w:w="120" w:type="dxa"/>
      </w:tblPr>
      <w:tblGrid>
        <w:gridCol w:w="1450"/>
        <w:gridCol w:w="3100"/>
        <w:gridCol w:w="2450"/>
        <w:gridCol w:w="2360"/>
      </w:tblGrid>
      <w:tr>
        <w:trPr>
          <w:tblHeader w:val="true"/>
        </w:trPr>
        <w:tc>
          <w:tcPr>
            <w:tcW w:type="dxa" w:w="1450"/>
            <w:shd w:fill="173F3D"/>
            <w:tcMar>
              <w:top w:w="80" w:type="dxa"/>
              <w:start w:w="120" w:type="dxa"/>
              <w:bottom w:w="80" w:type="dxa"/>
              <w:end w:w="120" w:type="dxa"/>
            </w:tcMar>
            <w:vAlign w:val="center"/>
          </w:tcPr>
          <w:p>
            <w:pPr>
              <w:spacing w:after="0"/>
              <w:jc w:val="center"/>
            </w:pPr>
            <w:r>
              <w:rPr>
                <w:rFonts w:ascii="Calibri" w:hAnsi="Calibri"/>
                <w:b/>
                <w:color w:val="FFFFFF"/>
                <w:sz w:val="18"/>
              </w:rPr>
              <w:t>ID / category</w:t>
            </w:r>
          </w:p>
        </w:tc>
        <w:tc>
          <w:tcPr>
            <w:tcW w:type="dxa" w:w="3100"/>
            <w:shd w:fill="173F3D"/>
            <w:tcMar>
              <w:top w:w="80" w:type="dxa"/>
              <w:start w:w="120" w:type="dxa"/>
              <w:bottom w:w="80" w:type="dxa"/>
              <w:end w:w="120" w:type="dxa"/>
            </w:tcMar>
            <w:vAlign w:val="center"/>
          </w:tcPr>
          <w:p>
            <w:pPr>
              <w:spacing w:after="0"/>
              <w:jc w:val="center"/>
            </w:pPr>
            <w:r>
              <w:rPr>
                <w:rFonts w:ascii="Calibri" w:hAnsi="Calibri"/>
                <w:b/>
                <w:color w:val="FFFFFF"/>
                <w:sz w:val="18"/>
              </w:rPr>
              <w:t>Metric</w:t>
            </w:r>
          </w:p>
        </w:tc>
        <w:tc>
          <w:tcPr>
            <w:tcW w:type="dxa" w:w="2450"/>
            <w:shd w:fill="173F3D"/>
            <w:tcMar>
              <w:top w:w="80" w:type="dxa"/>
              <w:start w:w="120" w:type="dxa"/>
              <w:bottom w:w="80" w:type="dxa"/>
              <w:end w:w="120" w:type="dxa"/>
            </w:tcMar>
            <w:vAlign w:val="center"/>
          </w:tcPr>
          <w:p>
            <w:pPr>
              <w:spacing w:after="0"/>
              <w:jc w:val="center"/>
            </w:pPr>
            <w:r>
              <w:rPr>
                <w:rFonts w:ascii="Calibri" w:hAnsi="Calibri"/>
                <w:b/>
                <w:color w:val="FFFFFF"/>
                <w:sz w:val="18"/>
              </w:rPr>
              <w:t>Initial target</w:t>
            </w:r>
          </w:p>
        </w:tc>
        <w:tc>
          <w:tcPr>
            <w:tcW w:type="dxa" w:w="2360"/>
            <w:shd w:fill="173F3D"/>
            <w:tcMar>
              <w:top w:w="80" w:type="dxa"/>
              <w:start w:w="120" w:type="dxa"/>
              <w:bottom w:w="80" w:type="dxa"/>
              <w:end w:w="120" w:type="dxa"/>
            </w:tcMar>
            <w:vAlign w:val="center"/>
          </w:tcPr>
          <w:p>
            <w:pPr>
              <w:spacing w:after="0"/>
              <w:jc w:val="left"/>
            </w:pPr>
            <w:r>
              <w:rPr>
                <w:rFonts w:ascii="Calibri" w:hAnsi="Calibri"/>
                <w:b/>
                <w:color w:val="FFFFFF"/>
                <w:sz w:val="18"/>
              </w:rPr>
              <w:t>Measurement note</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83331"/>
                <w:sz w:val="17"/>
              </w:rPr>
              <w:t>SAFE-01 Safety</w:t>
            </w:r>
          </w:p>
        </w:tc>
        <w:tc>
          <w:tcPr>
            <w:tcW w:type="dxa" w:w="3100"/>
            <w:tcMar>
              <w:top w:w="80" w:type="dxa"/>
              <w:start w:w="120" w:type="dxa"/>
              <w:bottom w:w="80" w:type="dxa"/>
              <w:end w:w="120" w:type="dxa"/>
            </w:tcMar>
            <w:vAlign w:val="center"/>
          </w:tcPr>
          <w:p>
            <w:pPr>
              <w:spacing w:after="0" w:line="264" w:lineRule="auto"/>
            </w:pPr>
            <w:r>
              <w:rPr>
                <w:rFonts w:ascii="Calibri" w:hAnsi="Calibri"/>
                <w:color w:val="183331"/>
                <w:sz w:val="17"/>
              </w:rPr>
              <w:t>Unauthorized confirmed-appointment moves</w:t>
            </w:r>
          </w:p>
        </w:tc>
        <w:tc>
          <w:tcPr>
            <w:tcW w:type="dxa" w:w="2450"/>
            <w:tcMar>
              <w:top w:w="80" w:type="dxa"/>
              <w:start w:w="120" w:type="dxa"/>
              <w:bottom w:w="80" w:type="dxa"/>
              <w:end w:w="120" w:type="dxa"/>
            </w:tcMar>
            <w:vAlign w:val="center"/>
          </w:tcPr>
          <w:p>
            <w:pPr>
              <w:spacing w:after="0" w:line="264" w:lineRule="auto"/>
            </w:pPr>
            <w:r>
              <w:rPr>
                <w:rFonts w:ascii="Calibri" w:hAnsi="Calibri"/>
                <w:color w:val="183331"/>
                <w:sz w:val="17"/>
              </w:rPr>
              <w:t>0</w:t>
            </w:r>
          </w:p>
        </w:tc>
        <w:tc>
          <w:tcPr>
            <w:tcW w:type="dxa" w:w="2360"/>
            <w:tcMar>
              <w:top w:w="80" w:type="dxa"/>
              <w:start w:w="120" w:type="dxa"/>
              <w:bottom w:w="80" w:type="dxa"/>
              <w:end w:w="120" w:type="dxa"/>
            </w:tcMar>
            <w:vAlign w:val="center"/>
          </w:tcPr>
          <w:p>
            <w:pPr>
              <w:spacing w:after="0" w:line="264" w:lineRule="auto"/>
            </w:pPr>
            <w:r>
              <w:rPr>
                <w:rFonts w:ascii="Calibri" w:hAnsi="Calibri"/>
                <w:color w:val="183331"/>
                <w:sz w:val="17"/>
              </w:rPr>
              <w:t>Immediate incident; exact permission and audit are mandatory</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83331"/>
                <w:sz w:val="17"/>
              </w:rPr>
              <w:t>SAFE-02 Safety</w:t>
            </w:r>
          </w:p>
        </w:tc>
        <w:tc>
          <w:tcPr>
            <w:tcW w:type="dxa" w:w="3100"/>
            <w:tcMar>
              <w:top w:w="80" w:type="dxa"/>
              <w:start w:w="120" w:type="dxa"/>
              <w:bottom w:w="80" w:type="dxa"/>
              <w:end w:w="120" w:type="dxa"/>
            </w:tcMar>
            <w:vAlign w:val="center"/>
          </w:tcPr>
          <w:p>
            <w:pPr>
              <w:spacing w:after="0" w:line="264" w:lineRule="auto"/>
            </w:pPr>
            <w:r>
              <w:rPr>
                <w:rFonts w:ascii="Calibri" w:hAnsi="Calibri"/>
                <w:color w:val="183331"/>
                <w:sz w:val="17"/>
              </w:rPr>
              <w:t>Patient, room, provider-phase, or equipment overlaps</w:t>
            </w:r>
          </w:p>
        </w:tc>
        <w:tc>
          <w:tcPr>
            <w:tcW w:type="dxa" w:w="2450"/>
            <w:tcMar>
              <w:top w:w="80" w:type="dxa"/>
              <w:start w:w="120" w:type="dxa"/>
              <w:bottom w:w="80" w:type="dxa"/>
              <w:end w:w="120" w:type="dxa"/>
            </w:tcMar>
            <w:vAlign w:val="center"/>
          </w:tcPr>
          <w:p>
            <w:pPr>
              <w:spacing w:after="0" w:line="264" w:lineRule="auto"/>
            </w:pPr>
            <w:r>
              <w:rPr>
                <w:rFonts w:ascii="Calibri" w:hAnsi="Calibri"/>
                <w:color w:val="183331"/>
                <w:sz w:val="17"/>
              </w:rPr>
              <w:t>0</w:t>
            </w:r>
          </w:p>
        </w:tc>
        <w:tc>
          <w:tcPr>
            <w:tcW w:type="dxa" w:w="2360"/>
            <w:tcMar>
              <w:top w:w="80" w:type="dxa"/>
              <w:start w:w="120" w:type="dxa"/>
              <w:bottom w:w="80" w:type="dxa"/>
              <w:end w:w="120" w:type="dxa"/>
            </w:tcMar>
            <w:vAlign w:val="center"/>
          </w:tcPr>
          <w:p>
            <w:pPr>
              <w:spacing w:after="0" w:line="264" w:lineRule="auto"/>
            </w:pPr>
            <w:r>
              <w:rPr>
                <w:rFonts w:ascii="Calibri" w:hAnsi="Calibri"/>
                <w:color w:val="183331"/>
                <w:sz w:val="17"/>
              </w:rPr>
              <w:t>Database and optimizer evidence</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83331"/>
                <w:sz w:val="17"/>
              </w:rPr>
              <w:t>SAFE-03 Control</w:t>
            </w:r>
          </w:p>
        </w:tc>
        <w:tc>
          <w:tcPr>
            <w:tcW w:type="dxa" w:w="3100"/>
            <w:tcMar>
              <w:top w:w="80" w:type="dxa"/>
              <w:start w:w="120" w:type="dxa"/>
              <w:bottom w:w="80" w:type="dxa"/>
              <w:end w:w="120" w:type="dxa"/>
            </w:tcMar>
            <w:vAlign w:val="center"/>
          </w:tcPr>
          <w:p>
            <w:pPr>
              <w:spacing w:after="0" w:line="264" w:lineRule="auto"/>
            </w:pPr>
            <w:r>
              <w:rPr>
                <w:rFonts w:ascii="Calibri" w:hAnsi="Calibri"/>
                <w:color w:val="183331"/>
                <w:sz w:val="17"/>
              </w:rPr>
              <w:t>Protected mutations with complete append-only audit evidence</w:t>
            </w:r>
          </w:p>
        </w:tc>
        <w:tc>
          <w:tcPr>
            <w:tcW w:type="dxa" w:w="2450"/>
            <w:tcMar>
              <w:top w:w="80" w:type="dxa"/>
              <w:start w:w="120" w:type="dxa"/>
              <w:bottom w:w="80" w:type="dxa"/>
              <w:end w:w="120" w:type="dxa"/>
            </w:tcMar>
            <w:vAlign w:val="center"/>
          </w:tcPr>
          <w:p>
            <w:pPr>
              <w:spacing w:after="0" w:line="264" w:lineRule="auto"/>
            </w:pPr>
            <w:r>
              <w:rPr>
                <w:rFonts w:ascii="Calibri" w:hAnsi="Calibri"/>
                <w:color w:val="183331"/>
                <w:sz w:val="17"/>
              </w:rPr>
              <w:t>100%</w:t>
            </w:r>
          </w:p>
        </w:tc>
        <w:tc>
          <w:tcPr>
            <w:tcW w:type="dxa" w:w="2360"/>
            <w:tcMar>
              <w:top w:w="80" w:type="dxa"/>
              <w:start w:w="120" w:type="dxa"/>
              <w:bottom w:w="80" w:type="dxa"/>
              <w:end w:w="120" w:type="dxa"/>
            </w:tcMar>
            <w:vAlign w:val="center"/>
          </w:tcPr>
          <w:p>
            <w:pPr>
              <w:spacing w:after="0" w:line="264" w:lineRule="auto"/>
            </w:pPr>
            <w:r>
              <w:rPr>
                <w:rFonts w:ascii="Calibri" w:hAnsi="Calibri"/>
                <w:color w:val="183331"/>
                <w:sz w:val="17"/>
              </w:rPr>
              <w:t>All protected state changes</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83331"/>
                <w:sz w:val="17"/>
              </w:rPr>
              <w:t>PRIV-01 Privacy</w:t>
            </w:r>
          </w:p>
        </w:tc>
        <w:tc>
          <w:tcPr>
            <w:tcW w:type="dxa" w:w="3100"/>
            <w:tcMar>
              <w:top w:w="80" w:type="dxa"/>
              <w:start w:w="120" w:type="dxa"/>
              <w:bottom w:w="80" w:type="dxa"/>
              <w:end w:w="120" w:type="dxa"/>
            </w:tcMar>
            <w:vAlign w:val="center"/>
          </w:tcPr>
          <w:p>
            <w:pPr>
              <w:spacing w:after="0" w:line="264" w:lineRule="auto"/>
            </w:pPr>
            <w:r>
              <w:rPr>
                <w:rFonts w:ascii="Calibri" w:hAnsi="Calibri"/>
                <w:color w:val="183331"/>
                <w:sz w:val="17"/>
              </w:rPr>
              <w:t>External PHI transfers or identifiers/raw condition text in logs or calibration</w:t>
            </w:r>
          </w:p>
        </w:tc>
        <w:tc>
          <w:tcPr>
            <w:tcW w:type="dxa" w:w="2450"/>
            <w:tcMar>
              <w:top w:w="80" w:type="dxa"/>
              <w:start w:w="120" w:type="dxa"/>
              <w:bottom w:w="80" w:type="dxa"/>
              <w:end w:w="120" w:type="dxa"/>
            </w:tcMar>
            <w:vAlign w:val="center"/>
          </w:tcPr>
          <w:p>
            <w:pPr>
              <w:spacing w:after="0" w:line="264" w:lineRule="auto"/>
            </w:pPr>
            <w:r>
              <w:rPr>
                <w:rFonts w:ascii="Calibri" w:hAnsi="Calibri"/>
                <w:color w:val="183331"/>
                <w:sz w:val="17"/>
              </w:rPr>
              <w:t>0</w:t>
            </w:r>
          </w:p>
        </w:tc>
        <w:tc>
          <w:tcPr>
            <w:tcW w:type="dxa" w:w="2360"/>
            <w:tcMar>
              <w:top w:w="80" w:type="dxa"/>
              <w:start w:w="120" w:type="dxa"/>
              <w:bottom w:w="80" w:type="dxa"/>
              <w:end w:w="120" w:type="dxa"/>
            </w:tcMar>
            <w:vAlign w:val="center"/>
          </w:tcPr>
          <w:p>
            <w:pPr>
              <w:spacing w:after="0" w:line="264" w:lineRule="auto"/>
            </w:pPr>
            <w:r>
              <w:rPr>
                <w:rFonts w:ascii="Calibri" w:hAnsi="Calibri"/>
                <w:color w:val="183331"/>
                <w:sz w:val="17"/>
              </w:rPr>
              <w:t>Continuous boundary control plus periodic scan</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83331"/>
                <w:sz w:val="17"/>
              </w:rPr>
              <w:t>PROD-01 Utility</w:t>
            </w:r>
          </w:p>
        </w:tc>
        <w:tc>
          <w:tcPr>
            <w:tcW w:type="dxa" w:w="3100"/>
            <w:tcMar>
              <w:top w:w="80" w:type="dxa"/>
              <w:start w:w="120" w:type="dxa"/>
              <w:bottom w:w="80" w:type="dxa"/>
              <w:end w:w="120" w:type="dxa"/>
            </w:tcMar>
            <w:vAlign w:val="center"/>
          </w:tcPr>
          <w:p>
            <w:pPr>
              <w:spacing w:after="0" w:line="264" w:lineRule="auto"/>
            </w:pPr>
            <w:r>
              <w:rPr>
                <w:rFonts w:ascii="Calibri" w:hAnsi="Calibri"/>
                <w:color w:val="183331"/>
                <w:sz w:val="17"/>
              </w:rPr>
              <w:t>Top-five recommendation acceptance</w:t>
            </w:r>
          </w:p>
        </w:tc>
        <w:tc>
          <w:tcPr>
            <w:tcW w:type="dxa" w:w="2450"/>
            <w:tcMar>
              <w:top w:w="80" w:type="dxa"/>
              <w:start w:w="120" w:type="dxa"/>
              <w:bottom w:w="80" w:type="dxa"/>
              <w:end w:w="120" w:type="dxa"/>
            </w:tcMar>
            <w:vAlign w:val="center"/>
          </w:tcPr>
          <w:p>
            <w:pPr>
              <w:spacing w:after="0" w:line="264" w:lineRule="auto"/>
            </w:pPr>
            <w:r>
              <w:rPr>
                <w:rFonts w:ascii="Calibri" w:hAnsi="Calibri"/>
                <w:color w:val="183331"/>
                <w:sz w:val="17"/>
              </w:rPr>
              <w:t>&gt;=70% after four representative weeks</w:t>
            </w:r>
          </w:p>
        </w:tc>
        <w:tc>
          <w:tcPr>
            <w:tcW w:type="dxa" w:w="2360"/>
            <w:tcMar>
              <w:top w:w="80" w:type="dxa"/>
              <w:start w:w="120" w:type="dxa"/>
              <w:bottom w:w="80" w:type="dxa"/>
              <w:end w:w="120" w:type="dxa"/>
            </w:tcMar>
            <w:vAlign w:val="center"/>
          </w:tcPr>
          <w:p>
            <w:pPr>
              <w:spacing w:after="0" w:line="264" w:lineRule="auto"/>
            </w:pPr>
            <w:r>
              <w:rPr>
                <w:rFonts w:ascii="Calibri" w:hAnsi="Calibri"/>
                <w:color w:val="183331"/>
                <w:sz w:val="17"/>
              </w:rPr>
              <w:t>Confirmed displayed candidates / searches with candidates</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83331"/>
                <w:sz w:val="17"/>
              </w:rPr>
              <w:t>PROD-02 Efficiency</w:t>
            </w:r>
          </w:p>
        </w:tc>
        <w:tc>
          <w:tcPr>
            <w:tcW w:type="dxa" w:w="3100"/>
            <w:tcMar>
              <w:top w:w="80" w:type="dxa"/>
              <w:start w:w="120" w:type="dxa"/>
              <w:bottom w:w="80" w:type="dxa"/>
              <w:end w:w="120" w:type="dxa"/>
            </w:tcMar>
            <w:vAlign w:val="center"/>
          </w:tcPr>
          <w:p>
            <w:pPr>
              <w:spacing w:after="0" w:line="264" w:lineRule="auto"/>
            </w:pPr>
            <w:r>
              <w:rPr>
                <w:rFonts w:ascii="Calibri" w:hAnsi="Calibri"/>
                <w:color w:val="183331"/>
                <w:sz w:val="17"/>
              </w:rPr>
              <w:t>Median request-to-confirm staff handling time</w:t>
            </w:r>
          </w:p>
        </w:tc>
        <w:tc>
          <w:tcPr>
            <w:tcW w:type="dxa" w:w="2450"/>
            <w:tcMar>
              <w:top w:w="80" w:type="dxa"/>
              <w:start w:w="120" w:type="dxa"/>
              <w:bottom w:w="80" w:type="dxa"/>
              <w:end w:w="120" w:type="dxa"/>
            </w:tcMar>
            <w:vAlign w:val="center"/>
          </w:tcPr>
          <w:p>
            <w:pPr>
              <w:spacing w:after="0" w:line="264" w:lineRule="auto"/>
            </w:pPr>
            <w:r>
              <w:rPr>
                <w:rFonts w:ascii="Calibri" w:hAnsi="Calibri"/>
                <w:color w:val="183331"/>
                <w:sz w:val="17"/>
              </w:rPr>
              <w:t>&lt;=2 minutes or &gt;=25% better than approved baseline</w:t>
            </w:r>
          </w:p>
        </w:tc>
        <w:tc>
          <w:tcPr>
            <w:tcW w:type="dxa" w:w="2360"/>
            <w:tcMar>
              <w:top w:w="80" w:type="dxa"/>
              <w:start w:w="120" w:type="dxa"/>
              <w:bottom w:w="80" w:type="dxa"/>
              <w:end w:w="120" w:type="dxa"/>
            </w:tcMar>
            <w:vAlign w:val="center"/>
          </w:tcPr>
          <w:p>
            <w:pPr>
              <w:spacing w:after="0" w:line="264" w:lineRule="auto"/>
            </w:pPr>
            <w:r>
              <w:rPr>
                <w:rFonts w:ascii="Calibri" w:hAnsi="Calibri"/>
                <w:color w:val="183331"/>
                <w:sz w:val="17"/>
              </w:rPr>
              <w:t>Exclude time awaiting patient response</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83331"/>
                <w:sz w:val="17"/>
              </w:rPr>
              <w:t>PROD-03 Recovery</w:t>
            </w:r>
          </w:p>
        </w:tc>
        <w:tc>
          <w:tcPr>
            <w:tcW w:type="dxa" w:w="3100"/>
            <w:tcMar>
              <w:top w:w="80" w:type="dxa"/>
              <w:start w:w="120" w:type="dxa"/>
              <w:bottom w:w="80" w:type="dxa"/>
              <w:end w:w="120" w:type="dxa"/>
            </w:tcMar>
            <w:vAlign w:val="center"/>
          </w:tcPr>
          <w:p>
            <w:pPr>
              <w:spacing w:after="0" w:line="264" w:lineRule="auto"/>
            </w:pPr>
            <w:r>
              <w:rPr>
                <w:rFonts w:ascii="Calibri" w:hAnsi="Calibri"/>
                <w:color w:val="183331"/>
                <w:sz w:val="17"/>
              </w:rPr>
              <w:t>Eligible cancelled capacity filled through waitlist</w:t>
            </w:r>
          </w:p>
        </w:tc>
        <w:tc>
          <w:tcPr>
            <w:tcW w:type="dxa" w:w="2450"/>
            <w:tcMar>
              <w:top w:w="80" w:type="dxa"/>
              <w:start w:w="120" w:type="dxa"/>
              <w:bottom w:w="80" w:type="dxa"/>
              <w:end w:w="120" w:type="dxa"/>
            </w:tcMar>
            <w:vAlign w:val="center"/>
          </w:tcPr>
          <w:p>
            <w:pPr>
              <w:spacing w:after="0" w:line="264" w:lineRule="auto"/>
            </w:pPr>
            <w:r>
              <w:rPr>
                <w:rFonts w:ascii="Calibri" w:hAnsi="Calibri"/>
                <w:color w:val="183331"/>
                <w:sz w:val="17"/>
              </w:rPr>
              <w:t>&gt;=20% improvement over baseline</w:t>
            </w:r>
          </w:p>
        </w:tc>
        <w:tc>
          <w:tcPr>
            <w:tcW w:type="dxa" w:w="2360"/>
            <w:tcMar>
              <w:top w:w="80" w:type="dxa"/>
              <w:start w:w="120" w:type="dxa"/>
              <w:bottom w:w="80" w:type="dxa"/>
              <w:end w:w="120" w:type="dxa"/>
            </w:tcMar>
            <w:vAlign w:val="center"/>
          </w:tcPr>
          <w:p>
            <w:pPr>
              <w:spacing w:after="0" w:line="264" w:lineRule="auto"/>
            </w:pPr>
            <w:r>
              <w:rPr>
                <w:rFonts w:ascii="Calibri" w:hAnsi="Calibri"/>
                <w:color w:val="183331"/>
                <w:sz w:val="17"/>
              </w:rPr>
              <w:t>Measure after eight representative weeks</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83331"/>
                <w:sz w:val="17"/>
              </w:rPr>
              <w:t>REL-01 Availability</w:t>
            </w:r>
          </w:p>
        </w:tc>
        <w:tc>
          <w:tcPr>
            <w:tcW w:type="dxa" w:w="3100"/>
            <w:tcMar>
              <w:top w:w="80" w:type="dxa"/>
              <w:start w:w="120" w:type="dxa"/>
              <w:bottom w:w="80" w:type="dxa"/>
              <w:end w:w="120" w:type="dxa"/>
            </w:tcMar>
            <w:vAlign w:val="center"/>
          </w:tcPr>
          <w:p>
            <w:pPr>
              <w:spacing w:after="0" w:line="264" w:lineRule="auto"/>
            </w:pPr>
            <w:r>
              <w:rPr>
                <w:rFonts w:ascii="Calibri" w:hAnsi="Calibri"/>
                <w:color w:val="183331"/>
                <w:sz w:val="17"/>
              </w:rPr>
              <w:t>Service availability during approved clinic hours</w:t>
            </w:r>
          </w:p>
        </w:tc>
        <w:tc>
          <w:tcPr>
            <w:tcW w:type="dxa" w:w="2450"/>
            <w:tcMar>
              <w:top w:w="80" w:type="dxa"/>
              <w:start w:w="120" w:type="dxa"/>
              <w:bottom w:w="80" w:type="dxa"/>
              <w:end w:w="120" w:type="dxa"/>
            </w:tcMar>
            <w:vAlign w:val="center"/>
          </w:tcPr>
          <w:p>
            <w:pPr>
              <w:spacing w:after="0" w:line="264" w:lineRule="auto"/>
            </w:pPr>
            <w:r>
              <w:rPr>
                <w:rFonts w:ascii="Calibri" w:hAnsi="Calibri"/>
                <w:color w:val="183331"/>
                <w:sz w:val="17"/>
              </w:rPr>
              <w:t>&gt;=99.5% monthly</w:t>
            </w:r>
          </w:p>
        </w:tc>
        <w:tc>
          <w:tcPr>
            <w:tcW w:type="dxa" w:w="2360"/>
            <w:tcMar>
              <w:top w:w="80" w:type="dxa"/>
              <w:start w:w="120" w:type="dxa"/>
              <w:bottom w:w="80" w:type="dxa"/>
              <w:end w:w="120" w:type="dxa"/>
            </w:tcMar>
            <w:vAlign w:val="center"/>
          </w:tcPr>
          <w:p>
            <w:pPr>
              <w:spacing w:after="0" w:line="264" w:lineRule="auto"/>
            </w:pPr>
            <w:r>
              <w:rPr>
                <w:rFonts w:ascii="Calibri" w:hAnsi="Calibri"/>
                <w:color w:val="183331"/>
                <w:sz w:val="17"/>
              </w:rPr>
              <w:t>Exclude approved maintenance; monitor locally without PHI</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83331"/>
                <w:sz w:val="17"/>
              </w:rPr>
              <w:t>REL-02 Recovery</w:t>
            </w:r>
          </w:p>
        </w:tc>
        <w:tc>
          <w:tcPr>
            <w:tcW w:type="dxa" w:w="3100"/>
            <w:tcMar>
              <w:top w:w="80" w:type="dxa"/>
              <w:start w:w="120" w:type="dxa"/>
              <w:bottom w:w="80" w:type="dxa"/>
              <w:end w:w="120" w:type="dxa"/>
            </w:tcMar>
            <w:vAlign w:val="center"/>
          </w:tcPr>
          <w:p>
            <w:pPr>
              <w:spacing w:after="0" w:line="264" w:lineRule="auto"/>
            </w:pPr>
            <w:r>
              <w:rPr>
                <w:rFonts w:ascii="Calibri" w:hAnsi="Calibri"/>
                <w:color w:val="183331"/>
                <w:sz w:val="17"/>
              </w:rPr>
              <w:t>Scheduled backups and quarterly restoration exercises completed successfully</w:t>
            </w:r>
          </w:p>
        </w:tc>
        <w:tc>
          <w:tcPr>
            <w:tcW w:type="dxa" w:w="2450"/>
            <w:tcMar>
              <w:top w:w="80" w:type="dxa"/>
              <w:start w:w="120" w:type="dxa"/>
              <w:bottom w:w="80" w:type="dxa"/>
              <w:end w:w="120" w:type="dxa"/>
            </w:tcMar>
            <w:vAlign w:val="center"/>
          </w:tcPr>
          <w:p>
            <w:pPr>
              <w:spacing w:after="0" w:line="264" w:lineRule="auto"/>
            </w:pPr>
            <w:r>
              <w:rPr>
                <w:rFonts w:ascii="Calibri" w:hAnsi="Calibri"/>
                <w:color w:val="183331"/>
                <w:sz w:val="17"/>
              </w:rPr>
              <w:t>100%</w:t>
            </w:r>
          </w:p>
        </w:tc>
        <w:tc>
          <w:tcPr>
            <w:tcW w:type="dxa" w:w="2360"/>
            <w:tcMar>
              <w:top w:w="80" w:type="dxa"/>
              <w:start w:w="120" w:type="dxa"/>
              <w:bottom w:w="80" w:type="dxa"/>
              <w:end w:w="120" w:type="dxa"/>
            </w:tcMar>
            <w:vAlign w:val="center"/>
          </w:tcPr>
          <w:p>
            <w:pPr>
              <w:spacing w:after="0" w:line="264" w:lineRule="auto"/>
            </w:pPr>
            <w:r>
              <w:rPr>
                <w:rFonts w:ascii="Calibri" w:hAnsi="Calibri"/>
                <w:color w:val="183331"/>
                <w:sz w:val="17"/>
              </w:rPr>
              <w:t>Restoration requires reconciliation evidence</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83331"/>
                <w:sz w:val="17"/>
              </w:rPr>
              <w:t>PERF-01 Search</w:t>
            </w:r>
          </w:p>
        </w:tc>
        <w:tc>
          <w:tcPr>
            <w:tcW w:type="dxa" w:w="3100"/>
            <w:tcMar>
              <w:top w:w="80" w:type="dxa"/>
              <w:start w:w="120" w:type="dxa"/>
              <w:bottom w:w="80" w:type="dxa"/>
              <w:end w:w="120" w:type="dxa"/>
            </w:tcMar>
            <w:vAlign w:val="center"/>
          </w:tcPr>
          <w:p>
            <w:pPr>
              <w:spacing w:after="0" w:line="264" w:lineRule="auto"/>
            </w:pPr>
            <w:r>
              <w:rPr>
                <w:rFonts w:ascii="Calibri" w:hAnsi="Calibri"/>
                <w:color w:val="183331"/>
                <w:sz w:val="17"/>
              </w:rPr>
              <w:t>Recommendation response latency</w:t>
            </w:r>
          </w:p>
        </w:tc>
        <w:tc>
          <w:tcPr>
            <w:tcW w:type="dxa" w:w="2450"/>
            <w:tcMar>
              <w:top w:w="80" w:type="dxa"/>
              <w:start w:w="120" w:type="dxa"/>
              <w:bottom w:w="80" w:type="dxa"/>
              <w:end w:w="120" w:type="dxa"/>
            </w:tcMar>
            <w:vAlign w:val="center"/>
          </w:tcPr>
          <w:p>
            <w:pPr>
              <w:spacing w:after="0" w:line="264" w:lineRule="auto"/>
            </w:pPr>
            <w:r>
              <w:rPr>
                <w:rFonts w:ascii="Calibri" w:hAnsi="Calibri"/>
                <w:color w:val="183331"/>
                <w:sz w:val="17"/>
              </w:rPr>
              <w:t>Local p95 &lt;=5 seconds</w:t>
            </w:r>
          </w:p>
        </w:tc>
        <w:tc>
          <w:tcPr>
            <w:tcW w:type="dxa" w:w="2360"/>
            <w:tcMar>
              <w:top w:w="80" w:type="dxa"/>
              <w:start w:w="120" w:type="dxa"/>
              <w:bottom w:w="80" w:type="dxa"/>
              <w:end w:w="120" w:type="dxa"/>
            </w:tcMar>
            <w:vAlign w:val="center"/>
          </w:tcPr>
          <w:p>
            <w:pPr>
              <w:spacing w:after="0" w:line="264" w:lineRule="auto"/>
            </w:pPr>
            <w:r>
              <w:rPr>
                <w:rFonts w:ascii="Calibri" w:hAnsi="Calibri"/>
                <w:color w:val="183331"/>
                <w:sz w:val="17"/>
              </w:rPr>
              <w:t>Representative workload on approved target hardware</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83331"/>
                <w:sz w:val="17"/>
              </w:rPr>
              <w:t>PERF-02 Booking</w:t>
            </w:r>
          </w:p>
        </w:tc>
        <w:tc>
          <w:tcPr>
            <w:tcW w:type="dxa" w:w="3100"/>
            <w:tcMar>
              <w:top w:w="80" w:type="dxa"/>
              <w:start w:w="120" w:type="dxa"/>
              <w:bottom w:w="80" w:type="dxa"/>
              <w:end w:w="120" w:type="dxa"/>
            </w:tcMar>
            <w:vAlign w:val="center"/>
          </w:tcPr>
          <w:p>
            <w:pPr>
              <w:spacing w:after="0" w:line="264" w:lineRule="auto"/>
            </w:pPr>
            <w:r>
              <w:rPr>
                <w:rFonts w:ascii="Calibri" w:hAnsi="Calibri"/>
                <w:color w:val="183331"/>
                <w:sz w:val="17"/>
              </w:rPr>
              <w:t>Confirmation transaction latency</w:t>
            </w:r>
          </w:p>
        </w:tc>
        <w:tc>
          <w:tcPr>
            <w:tcW w:type="dxa" w:w="2450"/>
            <w:tcMar>
              <w:top w:w="80" w:type="dxa"/>
              <w:start w:w="120" w:type="dxa"/>
              <w:bottom w:w="80" w:type="dxa"/>
              <w:end w:w="120" w:type="dxa"/>
            </w:tcMar>
            <w:vAlign w:val="center"/>
          </w:tcPr>
          <w:p>
            <w:pPr>
              <w:spacing w:after="0" w:line="264" w:lineRule="auto"/>
            </w:pPr>
            <w:r>
              <w:rPr>
                <w:rFonts w:ascii="Calibri" w:hAnsi="Calibri"/>
                <w:color w:val="183331"/>
                <w:sz w:val="17"/>
              </w:rPr>
              <w:t>Local p95 &lt;=2 seconds</w:t>
            </w:r>
          </w:p>
        </w:tc>
        <w:tc>
          <w:tcPr>
            <w:tcW w:type="dxa" w:w="2360"/>
            <w:tcMar>
              <w:top w:w="80" w:type="dxa"/>
              <w:start w:w="120" w:type="dxa"/>
              <w:bottom w:w="80" w:type="dxa"/>
              <w:end w:w="120" w:type="dxa"/>
            </w:tcMar>
            <w:vAlign w:val="center"/>
          </w:tcPr>
          <w:p>
            <w:pPr>
              <w:spacing w:after="0" w:line="264" w:lineRule="auto"/>
            </w:pPr>
            <w:r>
              <w:rPr>
                <w:rFonts w:ascii="Calibri" w:hAnsi="Calibri"/>
                <w:color w:val="183331"/>
                <w:sz w:val="17"/>
              </w:rPr>
              <w:t>Absent deliberate concurrency conflict</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83331"/>
                <w:sz w:val="17"/>
              </w:rPr>
              <w:t>AI-01 Intake</w:t>
            </w:r>
          </w:p>
        </w:tc>
        <w:tc>
          <w:tcPr>
            <w:tcW w:type="dxa" w:w="3100"/>
            <w:tcMar>
              <w:top w:w="80" w:type="dxa"/>
              <w:start w:w="120" w:type="dxa"/>
              <w:bottom w:w="80" w:type="dxa"/>
              <w:end w:w="120" w:type="dxa"/>
            </w:tcMar>
            <w:vAlign w:val="center"/>
          </w:tcPr>
          <w:p>
            <w:pPr>
              <w:spacing w:after="0" w:line="264" w:lineRule="auto"/>
            </w:pPr>
            <w:r>
              <w:rPr>
                <w:rFonts w:ascii="Calibri" w:hAnsi="Calibri"/>
                <w:color w:val="183331"/>
                <w:sz w:val="17"/>
              </w:rPr>
              <w:t>Schema-valid allowlisted outputs</w:t>
            </w:r>
          </w:p>
        </w:tc>
        <w:tc>
          <w:tcPr>
            <w:tcW w:type="dxa" w:w="2450"/>
            <w:tcMar>
              <w:top w:w="80" w:type="dxa"/>
              <w:start w:w="120" w:type="dxa"/>
              <w:bottom w:w="80" w:type="dxa"/>
              <w:end w:w="120" w:type="dxa"/>
            </w:tcMar>
            <w:vAlign w:val="center"/>
          </w:tcPr>
          <w:p>
            <w:pPr>
              <w:spacing w:after="0" w:line="264" w:lineRule="auto"/>
            </w:pPr>
            <w:r>
              <w:rPr>
                <w:rFonts w:ascii="Calibri" w:hAnsi="Calibri"/>
                <w:color w:val="183331"/>
                <w:sz w:val="17"/>
              </w:rPr>
              <w:t>&gt;=99%</w:t>
            </w:r>
          </w:p>
        </w:tc>
        <w:tc>
          <w:tcPr>
            <w:tcW w:type="dxa" w:w="2360"/>
            <w:tcMar>
              <w:top w:w="80" w:type="dxa"/>
              <w:start w:w="120" w:type="dxa"/>
              <w:bottom w:w="80" w:type="dxa"/>
              <w:end w:w="120" w:type="dxa"/>
            </w:tcMar>
            <w:vAlign w:val="center"/>
          </w:tcPr>
          <w:p>
            <w:pPr>
              <w:spacing w:after="0" w:line="264" w:lineRule="auto"/>
            </w:pPr>
            <w:r>
              <w:rPr>
                <w:rFonts w:ascii="Calibri" w:hAnsi="Calibri"/>
                <w:color w:val="183331"/>
                <w:sz w:val="17"/>
              </w:rPr>
              <w:t>Approved de-identified validation set; invalid output falls back</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83331"/>
                <w:sz w:val="17"/>
              </w:rPr>
              <w:t>AI-02 Safety</w:t>
            </w:r>
          </w:p>
        </w:tc>
        <w:tc>
          <w:tcPr>
            <w:tcW w:type="dxa" w:w="3100"/>
            <w:tcMar>
              <w:top w:w="80" w:type="dxa"/>
              <w:start w:w="120" w:type="dxa"/>
              <w:bottom w:w="80" w:type="dxa"/>
              <w:end w:w="120" w:type="dxa"/>
            </w:tcMar>
            <w:vAlign w:val="center"/>
          </w:tcPr>
          <w:p>
            <w:pPr>
              <w:spacing w:after="0" w:line="264" w:lineRule="auto"/>
            </w:pPr>
            <w:r>
              <w:rPr>
                <w:rFonts w:ascii="Calibri" w:hAnsi="Calibri"/>
                <w:color w:val="183331"/>
                <w:sz w:val="17"/>
              </w:rPr>
              <w:t>Recall for approved urgent sentinel cases</w:t>
            </w:r>
          </w:p>
        </w:tc>
        <w:tc>
          <w:tcPr>
            <w:tcW w:type="dxa" w:w="2450"/>
            <w:tcMar>
              <w:top w:w="80" w:type="dxa"/>
              <w:start w:w="120" w:type="dxa"/>
              <w:bottom w:w="80" w:type="dxa"/>
              <w:end w:w="120" w:type="dxa"/>
            </w:tcMar>
            <w:vAlign w:val="center"/>
          </w:tcPr>
          <w:p>
            <w:pPr>
              <w:spacing w:after="0" w:line="264" w:lineRule="auto"/>
            </w:pPr>
            <w:r>
              <w:rPr>
                <w:rFonts w:ascii="Calibri" w:hAnsi="Calibri"/>
                <w:color w:val="183331"/>
                <w:sz w:val="17"/>
              </w:rPr>
              <w:t>100%</w:t>
            </w:r>
          </w:p>
        </w:tc>
        <w:tc>
          <w:tcPr>
            <w:tcW w:type="dxa" w:w="2360"/>
            <w:tcMar>
              <w:top w:w="80" w:type="dxa"/>
              <w:start w:w="120" w:type="dxa"/>
              <w:bottom w:w="80" w:type="dxa"/>
              <w:end w:w="120" w:type="dxa"/>
            </w:tcMar>
            <w:vAlign w:val="center"/>
          </w:tcPr>
          <w:p>
            <w:pPr>
              <w:spacing w:after="0" w:line="264" w:lineRule="auto"/>
            </w:pPr>
            <w:r>
              <w:rPr>
                <w:rFonts w:ascii="Calibri" w:hAnsi="Calibri"/>
                <w:color w:val="183331"/>
                <w:sz w:val="17"/>
              </w:rPr>
              <w:t>Staff remains responsible for clinical triage</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83331"/>
                <w:sz w:val="17"/>
              </w:rPr>
              <w:t>CAL-01 Governance</w:t>
            </w:r>
          </w:p>
        </w:tc>
        <w:tc>
          <w:tcPr>
            <w:tcW w:type="dxa" w:w="3100"/>
            <w:tcMar>
              <w:top w:w="80" w:type="dxa"/>
              <w:start w:w="120" w:type="dxa"/>
              <w:bottom w:w="80" w:type="dxa"/>
              <w:end w:w="120" w:type="dxa"/>
            </w:tcMar>
            <w:vAlign w:val="center"/>
          </w:tcPr>
          <w:p>
            <w:pPr>
              <w:spacing w:after="0" w:line="264" w:lineRule="auto"/>
            </w:pPr>
            <w:r>
              <w:rPr>
                <w:rFonts w:ascii="Calibri" w:hAnsi="Calibri"/>
                <w:color w:val="183331"/>
                <w:sz w:val="17"/>
              </w:rPr>
              <w:t>Proposals below threshold or applied without reasoned approval</w:t>
            </w:r>
          </w:p>
        </w:tc>
        <w:tc>
          <w:tcPr>
            <w:tcW w:type="dxa" w:w="2450"/>
            <w:tcMar>
              <w:top w:w="80" w:type="dxa"/>
              <w:start w:w="120" w:type="dxa"/>
              <w:bottom w:w="80" w:type="dxa"/>
              <w:end w:w="120" w:type="dxa"/>
            </w:tcMar>
            <w:vAlign w:val="center"/>
          </w:tcPr>
          <w:p>
            <w:pPr>
              <w:spacing w:after="0" w:line="264" w:lineRule="auto"/>
            </w:pPr>
            <w:r>
              <w:rPr>
                <w:rFonts w:ascii="Calibri" w:hAnsi="Calibri"/>
                <w:color w:val="183331"/>
                <w:sz w:val="17"/>
              </w:rPr>
              <w:t>0</w:t>
            </w:r>
          </w:p>
        </w:tc>
        <w:tc>
          <w:tcPr>
            <w:tcW w:type="dxa" w:w="2360"/>
            <w:tcMar>
              <w:top w:w="80" w:type="dxa"/>
              <w:start w:w="120" w:type="dxa"/>
              <w:bottom w:w="80" w:type="dxa"/>
              <w:end w:w="120" w:type="dxa"/>
            </w:tcMar>
            <w:vAlign w:val="center"/>
          </w:tcPr>
          <w:p>
            <w:pPr>
              <w:spacing w:after="0" w:line="264" w:lineRule="auto"/>
            </w:pPr>
            <w:r>
              <w:rPr>
                <w:rFonts w:ascii="Calibri" w:hAnsi="Calibri"/>
                <w:color w:val="183331"/>
                <w:sz w:val="17"/>
              </w:rPr>
              <w:t>Every recommendation and application</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83331"/>
                <w:sz w:val="17"/>
              </w:rPr>
              <w:t>CAL-02 Quality</w:t>
            </w:r>
          </w:p>
        </w:tc>
        <w:tc>
          <w:tcPr>
            <w:tcW w:type="dxa" w:w="3100"/>
            <w:tcMar>
              <w:top w:w="80" w:type="dxa"/>
              <w:start w:w="120" w:type="dxa"/>
              <w:bottom w:w="80" w:type="dxa"/>
              <w:end w:w="120" w:type="dxa"/>
            </w:tcMar>
            <w:vAlign w:val="center"/>
          </w:tcPr>
          <w:p>
            <w:pPr>
              <w:spacing w:after="0" w:line="264" w:lineRule="auto"/>
            </w:pPr>
            <w:r>
              <w:rPr>
                <w:rFonts w:ascii="Calibri" w:hAnsi="Calibri"/>
                <w:color w:val="183331"/>
                <w:sz w:val="17"/>
              </w:rPr>
              <w:t>Median absolute duration error after approved calibration</w:t>
            </w:r>
          </w:p>
        </w:tc>
        <w:tc>
          <w:tcPr>
            <w:tcW w:type="dxa" w:w="2450"/>
            <w:tcMar>
              <w:top w:w="80" w:type="dxa"/>
              <w:start w:w="120" w:type="dxa"/>
              <w:bottom w:w="80" w:type="dxa"/>
              <w:end w:w="120" w:type="dxa"/>
            </w:tcMar>
            <w:vAlign w:val="center"/>
          </w:tcPr>
          <w:p>
            <w:pPr>
              <w:spacing w:after="0" w:line="264" w:lineRule="auto"/>
            </w:pPr>
            <w:r>
              <w:rPr>
                <w:rFonts w:ascii="Calibri" w:hAnsi="Calibri"/>
                <w:color w:val="183331"/>
                <w:sz w:val="17"/>
              </w:rPr>
              <w:t>&gt;=10% improvement versus prior policy</w:t>
            </w:r>
          </w:p>
        </w:tc>
        <w:tc>
          <w:tcPr>
            <w:tcW w:type="dxa" w:w="2360"/>
            <w:tcMar>
              <w:top w:w="80" w:type="dxa"/>
              <w:start w:w="120" w:type="dxa"/>
              <w:bottom w:w="80" w:type="dxa"/>
              <w:end w:w="120" w:type="dxa"/>
            </w:tcMar>
            <w:vAlign w:val="center"/>
          </w:tcPr>
          <w:p>
            <w:pPr>
              <w:spacing w:after="0" w:line="264" w:lineRule="auto"/>
            </w:pPr>
            <w:r>
              <w:rPr>
                <w:rFonts w:ascii="Calibri" w:hAnsi="Calibri"/>
                <w:color w:val="183331"/>
                <w:sz w:val="17"/>
              </w:rPr>
              <w:t>Prospective comparable holdout; never reuse proposal samples</w:t>
            </w:r>
          </w:p>
        </w:tc>
      </w:tr>
      <w:tr>
        <w:tc>
          <w:tcPr>
            <w:tcW w:type="dxa" w:w="1450"/>
            <w:tcMar>
              <w:top w:w="80" w:type="dxa"/>
              <w:start w:w="120" w:type="dxa"/>
              <w:bottom w:w="80" w:type="dxa"/>
              <w:end w:w="120" w:type="dxa"/>
            </w:tcMar>
            <w:vAlign w:val="center"/>
          </w:tcPr>
          <w:p>
            <w:pPr>
              <w:spacing w:after="0" w:line="264" w:lineRule="auto"/>
            </w:pPr>
            <w:r>
              <w:rPr>
                <w:rFonts w:ascii="Calibri" w:hAnsi="Calibri"/>
                <w:color w:val="183331"/>
                <w:sz w:val="17"/>
              </w:rPr>
              <w:t>ADOPT-01 Training</w:t>
            </w:r>
          </w:p>
        </w:tc>
        <w:tc>
          <w:tcPr>
            <w:tcW w:type="dxa" w:w="3100"/>
            <w:tcMar>
              <w:top w:w="80" w:type="dxa"/>
              <w:start w:w="120" w:type="dxa"/>
              <w:bottom w:w="80" w:type="dxa"/>
              <w:end w:w="120" w:type="dxa"/>
            </w:tcMar>
            <w:vAlign w:val="center"/>
          </w:tcPr>
          <w:p>
            <w:pPr>
              <w:spacing w:after="0" w:line="264" w:lineRule="auto"/>
            </w:pPr>
            <w:r>
              <w:rPr>
                <w:rFonts w:ascii="Calibri" w:hAnsi="Calibri"/>
                <w:color w:val="183331"/>
                <w:sz w:val="17"/>
              </w:rPr>
              <w:t>Authorized scheduling staff completing workflow/privacy/downtime training</w:t>
            </w:r>
          </w:p>
        </w:tc>
        <w:tc>
          <w:tcPr>
            <w:tcW w:type="dxa" w:w="2450"/>
            <w:tcMar>
              <w:top w:w="80" w:type="dxa"/>
              <w:start w:w="120" w:type="dxa"/>
              <w:bottom w:w="80" w:type="dxa"/>
              <w:end w:w="120" w:type="dxa"/>
            </w:tcMar>
            <w:vAlign w:val="center"/>
          </w:tcPr>
          <w:p>
            <w:pPr>
              <w:spacing w:after="0" w:line="264" w:lineRule="auto"/>
            </w:pPr>
            <w:r>
              <w:rPr>
                <w:rFonts w:ascii="Calibri" w:hAnsi="Calibri"/>
                <w:color w:val="183331"/>
                <w:sz w:val="17"/>
              </w:rPr>
              <w:t>100% before real-patient access</w:t>
            </w:r>
          </w:p>
        </w:tc>
        <w:tc>
          <w:tcPr>
            <w:tcW w:type="dxa" w:w="2360"/>
            <w:tcMar>
              <w:top w:w="80" w:type="dxa"/>
              <w:start w:w="120" w:type="dxa"/>
              <w:bottom w:w="80" w:type="dxa"/>
              <w:end w:w="120" w:type="dxa"/>
            </w:tcMar>
            <w:vAlign w:val="center"/>
          </w:tcPr>
          <w:p>
            <w:pPr>
              <w:spacing w:after="0" w:line="264" w:lineRule="auto"/>
            </w:pPr>
            <w:r>
              <w:rPr>
                <w:rFonts w:ascii="Calibri" w:hAnsi="Calibri"/>
                <w:color w:val="183331"/>
                <w:sz w:val="17"/>
              </w:rPr>
              <w:t>Repeat according to approved policy</w:t>
            </w:r>
          </w:p>
        </w:tc>
      </w:tr>
    </w:tbl>
    <w:p>
      <w:pPr>
        <w:spacing w:after="60"/>
      </w:pPr>
    </w:p>
    <w:p>
      <w:pPr>
        <w:keepLines w:val="0"/>
        <w:spacing w:before="0" w:after="120" w:line="300" w:lineRule="auto"/>
      </w:pPr>
      <w:r>
        <w:rPr>
          <w:rFonts w:ascii="Calibri" w:hAnsi="Calibri"/>
          <w:i/>
          <w:color w:val="667875"/>
        </w:rPr>
        <w:t>Supporting measures include feasible-search rate, booking lead time by procedure and priority, patient wait, supported-workflow usage, annual-view latency, model fallback causes, eligible completion-observation coverage, complex-duration empirical coverage, usability, and on-time governance reviews. Establish a baseline where available; lack of historical data does not block startup, and the first controlled weeks may establish the baseline.</w:t>
      </w:r>
    </w:p>
    <w:p>
      <w:pPr>
        <w:pStyle w:val="Heading1"/>
        <w:keepNext/>
      </w:pPr>
      <w:r>
        <w:rPr>
          <w:rFonts w:ascii="Calibri" w:hAnsi="Calibri"/>
          <w:b/>
          <w:color w:val="286D65"/>
        </w:rPr>
        <w:t>15. Practice Configuration Required Before Go-Live</w:t>
      </w:r>
    </w:p>
    <w:p>
      <w:pPr>
        <w:keepLines w:val="0"/>
        <w:spacing w:before="0" w:after="120" w:line="300" w:lineRule="auto"/>
      </w:pPr>
      <w:r>
        <w:rPr>
          <w:rFonts w:ascii="Calibri" w:hAnsi="Calibri"/>
          <w:i w:val="0"/>
          <w:color w:val="183331"/>
        </w:rPr>
        <w:t>The application installs with versioned reference defaults and can schedule without historical practice data. Before real-patient go-live, the practice must validate or replace the safety- and capacity-critical configuration below. These are practice-owned policy decisions, not calibration prerequisites or missing code.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73F3D"/>
            <w:tcMar>
              <w:top w:w="80" w:type="dxa"/>
              <w:start w:w="120" w:type="dxa"/>
              <w:bottom w:w="80" w:type="dxa"/>
              <w:end w:w="120" w:type="dxa"/>
            </w:tcMar>
            <w:vAlign w:val="center"/>
          </w:tcPr>
          <w:p>
            <w:pPr>
              <w:spacing w:after="0"/>
              <w:jc w:val="center"/>
            </w:pPr>
            <w:r>
              <w:rPr>
                <w:rFonts w:ascii="Calibri" w:hAnsi="Calibri"/>
                <w:b/>
                <w:color w:val="FFFFFF"/>
                <w:sz w:val="18"/>
              </w:rPr>
              <w:t>Input area</w:t>
            </w:r>
          </w:p>
        </w:tc>
        <w:tc>
          <w:tcPr>
            <w:tcW w:type="dxa" w:w="7160"/>
            <w:shd w:fill="173F3D"/>
            <w:tcMar>
              <w:top w:w="80" w:type="dxa"/>
              <w:start w:w="120" w:type="dxa"/>
              <w:bottom w:w="80" w:type="dxa"/>
              <w:end w:w="120" w:type="dxa"/>
            </w:tcMar>
            <w:vAlign w:val="center"/>
          </w:tcPr>
          <w:p>
            <w:pPr>
              <w:spacing w:after="0"/>
              <w:jc w:val="left"/>
            </w:pPr>
            <w:r>
              <w:rPr>
                <w:rFonts w:ascii="Calibri" w:hAnsi="Calibri"/>
                <w:b/>
                <w:color w:val="FFFFFF"/>
                <w:sz w:val="18"/>
              </w:rPr>
              <w:t>Required detail</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Procedure catalog</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7"/>
              </w:rPr>
              <w:t>Every procedure, code, name, clinical eligibility, standard and complex duration</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Phase policy</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7"/>
              </w:rPr>
              <w:t>Ordered phases; dentist/hygienist/assistant/room role; phase time; doctor timing within visit</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Hard-case rules</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7"/>
              </w:rPr>
              <w:t>What makes a case complex; whether extra resources, equipment, or approval is required</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Provider roster</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7"/>
              </w:rPr>
              <w:t>Real dentist, hygienist, assistant identities, roles, specialties, active status</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Qualifications</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7"/>
              </w:rPr>
              <w:t>Effective dates and approving clinician for dentist/procedure permissions</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Dentist concurrency</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7"/>
              </w:rPr>
              <w:t>Approved maximum active rooms by dentist and procedure-specific exceptions, if any</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Working patterns</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7"/>
              </w:rPr>
              <w:t>Recurring hours, daily changes, lunches, provider mix, coverage process, holidays</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Rooms</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7"/>
              </w:rPr>
              <w:t>Real room codes/categories, procedure eligibility, hours, turnover time</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Equipment</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7"/>
              </w:rPr>
              <w:t>Equipment types, quantities, numbered units, procedure requirements, maintenance downtime</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Emergency policy</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7"/>
              </w:rPr>
              <w:t>Slots/day, timing, per-dentist allocation, release time, walk-in rules</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Financial policy</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7"/>
              </w:rPr>
              <w:t>Production value by procedure, role shares, targets, revenue/hour method</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Lab/follow-up</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7"/>
              </w:rPr>
              <w:t>Crown/lab return ranges and other linked-treatment timing</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Waitlist policy</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7"/>
              </w:rPr>
              <w:t>Consent language, contact cadence, incentives, expiration, decline handling</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Attendance</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7"/>
              </w:rPr>
              <w:t>Historical cancel/no-show definitions and approved operational response to risk</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Security policy</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7"/>
              </w:rPr>
              <w:t>Named owners, role matrix, session policy, access review, incident response, retention</w:t>
            </w:r>
          </w:p>
        </w:tc>
      </w:tr>
      <w:tr>
        <w:tc>
          <w:tcPr>
            <w:tcW w:type="dxa" w:w="2200"/>
            <w:tcMar>
              <w:top w:w="80" w:type="dxa"/>
              <w:start w:w="120" w:type="dxa"/>
              <w:bottom w:w="80" w:type="dxa"/>
              <w:end w:w="120" w:type="dxa"/>
            </w:tcMar>
            <w:vAlign w:val="center"/>
          </w:tcPr>
          <w:p>
            <w:pPr>
              <w:spacing w:after="0" w:line="264" w:lineRule="auto"/>
            </w:pPr>
            <w:r>
              <w:rPr>
                <w:rFonts w:ascii="Calibri" w:hAnsi="Calibri"/>
                <w:color w:val="183331"/>
                <w:sz w:val="17"/>
              </w:rPr>
              <w:t>Infrastructure</w:t>
            </w:r>
          </w:p>
        </w:tc>
        <w:tc>
          <w:tcPr>
            <w:tcW w:type="dxa" w:w="7160"/>
            <w:tcMar>
              <w:top w:w="80" w:type="dxa"/>
              <w:start w:w="120" w:type="dxa"/>
              <w:bottom w:w="80" w:type="dxa"/>
              <w:end w:w="120" w:type="dxa"/>
            </w:tcMar>
            <w:vAlign w:val="center"/>
          </w:tcPr>
          <w:p>
            <w:pPr>
              <w:spacing w:after="0" w:line="264" w:lineRule="auto"/>
            </w:pPr>
            <w:r>
              <w:rPr>
                <w:rFonts w:ascii="Calibri" w:hAnsi="Calibri"/>
                <w:color w:val="183331"/>
                <w:sz w:val="17"/>
              </w:rPr>
              <w:t>Host sizing, internal DNS/TLS, firewall, backup, restore, monitoring, patching, recovery objectives</w:t>
            </w:r>
          </w:p>
        </w:tc>
      </w:tr>
    </w:tbl>
    <w:p>
      <w:pPr>
        <w:spacing w:after="60"/>
      </w:pPr>
    </w:p>
    <w:p>
      <w:pPr>
        <w:pStyle w:val="Heading2"/>
        <w:keepNext/>
      </w:pPr>
      <w:r>
        <w:rPr>
          <w:rFonts w:ascii="Calibri" w:hAnsi="Calibri"/>
          <w:b/>
          <w:color w:val="286D65"/>
        </w:rPr>
        <w:t>15.1 Optional Refinement and Validation Data</w:t>
      </w:r>
    </w:p>
    <w:p>
      <w:pPr>
        <w:keepLines w:val="0"/>
        <w:spacing w:before="0" w:after="120" w:line="300" w:lineRule="auto"/>
      </w:pPr>
      <w:r>
        <w:rPr>
          <w:rFonts w:ascii="Calibri" w:hAnsi="Calibri"/>
          <w:i w:val="0"/>
          <w:color w:val="183331"/>
        </w:rPr>
        <w:t>Neither historical duration data nor a representative operating-history extract is required for the scheduler to start. The product uses versioned reference policy immediately; the practice can validate or edit it in the product before real-patient use. The system accumulates de-identified timing evidence from completed visits and may accept an optional local history import. Historical data improves later recommendations and validation; it does not unlock core scheduling.</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73F3D"/>
            <w:tcMar>
              <w:top w:w="80" w:type="dxa"/>
              <w:start w:w="120" w:type="dxa"/>
              <w:bottom w:w="80" w:type="dxa"/>
              <w:end w:w="120" w:type="dxa"/>
            </w:tcMar>
            <w:vAlign w:val="center"/>
          </w:tcPr>
          <w:p>
            <w:pPr>
              <w:spacing w:after="0"/>
              <w:jc w:val="center"/>
            </w:pPr>
            <w:r>
              <w:rPr>
                <w:rFonts w:ascii="Calibri" w:hAnsi="Calibri"/>
                <w:b/>
                <w:color w:val="FFFFFF"/>
                <w:sz w:val="19"/>
              </w:rPr>
              <w:t>Optional input</w:t>
            </w:r>
          </w:p>
        </w:tc>
        <w:tc>
          <w:tcPr>
            <w:tcW w:type="dxa" w:w="6660"/>
            <w:shd w:fill="173F3D"/>
            <w:tcMar>
              <w:top w:w="80" w:type="dxa"/>
              <w:start w:w="120" w:type="dxa"/>
              <w:bottom w:w="80" w:type="dxa"/>
              <w:end w:w="120" w:type="dxa"/>
            </w:tcMar>
            <w:vAlign w:val="center"/>
          </w:tcPr>
          <w:p>
            <w:pPr>
              <w:spacing w:after="0"/>
              <w:jc w:val="center"/>
            </w:pPr>
            <w:r>
              <w:rPr>
                <w:rFonts w:ascii="Calibri" w:hAnsi="Calibri"/>
                <w:b/>
                <w:color w:val="FFFFFF"/>
                <w:sz w:val="19"/>
              </w:rPr>
              <w:t>How it is used</w:t>
            </w:r>
          </w:p>
        </w:tc>
      </w:tr>
      <w:tr>
        <w:tc>
          <w:tcPr>
            <w:tcW w:type="dxa" w:w="2700"/>
            <w:tcMar>
              <w:top w:w="80" w:type="dxa"/>
              <w:start w:w="120" w:type="dxa"/>
              <w:bottom w:w="80" w:type="dxa"/>
              <w:end w:w="120" w:type="dxa"/>
            </w:tcMar>
            <w:vAlign w:val="center"/>
          </w:tcPr>
          <w:p>
            <w:pPr>
              <w:spacing w:after="0" w:line="264" w:lineRule="auto"/>
            </w:pPr>
            <w:r>
              <w:rPr>
                <w:rFonts w:ascii="Calibri" w:hAnsi="Calibri"/>
                <w:color w:val="183331"/>
                <w:sz w:val="19"/>
              </w:rPr>
              <w:t>Historical timing observations</w:t>
            </w:r>
          </w:p>
        </w:tc>
        <w:tc>
          <w:tcPr>
            <w:tcW w:type="dxa" w:w="6660"/>
            <w:tcMar>
              <w:top w:w="80" w:type="dxa"/>
              <w:start w:w="120" w:type="dxa"/>
              <w:bottom w:w="80" w:type="dxa"/>
              <w:end w:w="120" w:type="dxa"/>
            </w:tcMar>
            <w:vAlign w:val="center"/>
          </w:tcPr>
          <w:p>
            <w:pPr>
              <w:spacing w:after="0" w:line="264" w:lineRule="auto"/>
            </w:pPr>
            <w:r>
              <w:rPr>
                <w:rFonts w:ascii="Calibri" w:hAnsi="Calibri"/>
                <w:color w:val="183331"/>
                <w:sz w:val="19"/>
              </w:rPr>
              <w:t>Add prior de-identified procedure/provider/date/scheduled/actual/outcome evidence to the local calibration pool</w:t>
            </w:r>
          </w:p>
        </w:tc>
      </w:tr>
      <w:tr>
        <w:tc>
          <w:tcPr>
            <w:tcW w:type="dxa" w:w="2700"/>
            <w:tcMar>
              <w:top w:w="80" w:type="dxa"/>
              <w:start w:w="120" w:type="dxa"/>
              <w:bottom w:w="80" w:type="dxa"/>
              <w:end w:w="120" w:type="dxa"/>
            </w:tcMar>
            <w:vAlign w:val="center"/>
          </w:tcPr>
          <w:p>
            <w:pPr>
              <w:spacing w:after="0" w:line="264" w:lineRule="auto"/>
            </w:pPr>
            <w:r>
              <w:rPr>
                <w:rFonts w:ascii="Calibri" w:hAnsi="Calibri"/>
                <w:color w:val="183331"/>
                <w:sz w:val="19"/>
              </w:rPr>
              <w:t>Representative operating period</w:t>
            </w:r>
          </w:p>
        </w:tc>
        <w:tc>
          <w:tcPr>
            <w:tcW w:type="dxa" w:w="6660"/>
            <w:tcMar>
              <w:top w:w="80" w:type="dxa"/>
              <w:start w:w="120" w:type="dxa"/>
              <w:bottom w:w="80" w:type="dxa"/>
              <w:end w:w="120" w:type="dxa"/>
            </w:tcMar>
            <w:vAlign w:val="center"/>
          </w:tcPr>
          <w:p>
            <w:pPr>
              <w:spacing w:after="0" w:line="264" w:lineRule="auto"/>
            </w:pPr>
            <w:r>
              <w:rPr>
                <w:rFonts w:ascii="Calibri" w:hAnsi="Calibri"/>
                <w:color w:val="183331"/>
                <w:sz w:val="19"/>
              </w:rPr>
              <w:t>Compare utilization, wait, attendance, production, and scheduler judgment during acceptance; not required by the optimizer</w:t>
            </w:r>
          </w:p>
        </w:tc>
      </w:tr>
    </w:tbl>
    <w:p>
      <w:pPr>
        <w:spacing w:after="60"/>
      </w:pPr>
    </w:p>
    <w:p>
      <w:pPr>
        <w:pStyle w:val="Heading2"/>
        <w:keepNext/>
      </w:pPr>
      <w:r>
        <w:rPr>
          <w:rFonts w:ascii="Calibri" w:hAnsi="Calibri"/>
          <w:b/>
          <w:color w:val="286D65"/>
        </w:rPr>
        <w:t>15.2 Recommended Data Collection Template</w:t>
      </w:r>
    </w:p>
    <w:p>
      <w:pPr>
        <w:pStyle w:val="ListBullet"/>
        <w:spacing w:after="80" w:line="300" w:lineRule="auto"/>
        <w:ind w:left="540" w:hanging="271"/>
      </w:pPr>
      <w:r>
        <w:rPr>
          <w:rFonts w:ascii="Calibri" w:hAnsi="Calibri"/>
          <w:color w:val="183331"/>
        </w:rPr>
        <w:t>Use one row per procedure phase, not one narrative field per procedure.</w:t>
      </w:r>
    </w:p>
    <w:p>
      <w:pPr>
        <w:pStyle w:val="ListBullet"/>
        <w:spacing w:after="80" w:line="300" w:lineRule="auto"/>
        <w:ind w:left="540" w:hanging="271"/>
      </w:pPr>
      <w:r>
        <w:rPr>
          <w:rFonts w:ascii="Calibri" w:hAnsi="Calibri"/>
          <w:color w:val="183331"/>
        </w:rPr>
        <w:t>Record standard and complex time independently; avoid deriving clinical policy from small samples without review.</w:t>
      </w:r>
    </w:p>
    <w:p>
      <w:pPr>
        <w:pStyle w:val="ListBullet"/>
        <w:spacing w:after="80" w:line="300" w:lineRule="auto"/>
        <w:ind w:left="540" w:hanging="271"/>
      </w:pPr>
      <w:r>
        <w:rPr>
          <w:rFonts w:ascii="Calibri" w:hAnsi="Calibri"/>
          <w:color w:val="183331"/>
        </w:rPr>
        <w:t>If optional historical observations are imported, keep them de-identified; do not include patient names, MRNs, DOBs, phone numbers, or addresses.</w:t>
      </w:r>
    </w:p>
    <w:p>
      <w:pPr>
        <w:pStyle w:val="ListBullet"/>
        <w:spacing w:after="80" w:line="300" w:lineRule="auto"/>
        <w:ind w:left="540" w:hanging="271"/>
      </w:pPr>
      <w:r>
        <w:rPr>
          <w:rFonts w:ascii="Calibri" w:hAnsi="Calibri"/>
          <w:color w:val="183331"/>
        </w:rPr>
        <w:t>For acceptance analysis, four representative weeks can improve coverage of emergencies, cancellations, no-shows, provider absence, and high-production days; this is not a startup requirement.</w:t>
      </w:r>
    </w:p>
    <w:p>
      <w:pPr>
        <w:pStyle w:val="ListBullet"/>
        <w:spacing w:after="80" w:line="300" w:lineRule="auto"/>
        <w:ind w:left="540" w:hanging="271"/>
      </w:pPr>
      <w:r>
        <w:rPr>
          <w:rFonts w:ascii="Calibri" w:hAnsi="Calibri"/>
          <w:color w:val="183331"/>
        </w:rPr>
        <w:t>Document who approves each policy area and the effective date/version.</w:t>
      </w:r>
    </w:p>
    <w:p>
      <w:pPr>
        <w:pStyle w:val="Heading1"/>
        <w:keepNext/>
      </w:pPr>
      <w:r>
        <w:rPr>
          <w:rFonts w:ascii="Calibri" w:hAnsi="Calibri"/>
          <w:b/>
          <w:color w:val="286D65"/>
        </w:rPr>
        <w:t>16. Production Acceptance Plan</w:t>
      </w:r>
    </w:p>
    <w:p>
      <w:pPr>
        <w:pStyle w:val="Heading2"/>
        <w:keepNext/>
      </w:pPr>
      <w:r>
        <w:rPr>
          <w:rFonts w:ascii="Calibri" w:hAnsi="Calibri"/>
          <w:b/>
          <w:color w:val="286D65"/>
        </w:rPr>
        <w:t>16.1 Configuration Workshop</w:t>
      </w:r>
    </w:p>
    <w:p>
      <w:pPr>
        <w:pStyle w:val="ListNumber"/>
        <w:spacing w:after="80" w:line="300" w:lineRule="auto"/>
        <w:ind w:left="540" w:hanging="271"/>
      </w:pPr>
      <w:r>
        <w:rPr>
          <w:rFonts w:ascii="Calibri" w:hAnsi="Calibri"/>
          <w:color w:val="183331"/>
        </w:rPr>
        <w:t>Validate every procedure and phase with clinicians and lead assistants/hygienists.</w:t>
      </w:r>
    </w:p>
    <w:p>
      <w:pPr>
        <w:pStyle w:val="ListNumber"/>
        <w:spacing w:after="80" w:line="300" w:lineRule="auto"/>
        <w:ind w:left="540" w:hanging="271"/>
      </w:pPr>
      <w:r>
        <w:rPr>
          <w:rFonts w:ascii="Calibri" w:hAnsi="Calibri"/>
          <w:color w:val="183331"/>
        </w:rPr>
        <w:t>Load real providers, qualifications, rooms, equipment, hours, coverage rules, targets, and follow-ups.</w:t>
      </w:r>
    </w:p>
    <w:p>
      <w:pPr>
        <w:pStyle w:val="ListNumber"/>
        <w:spacing w:after="80" w:line="300" w:lineRule="auto"/>
        <w:ind w:left="540" w:hanging="271"/>
      </w:pPr>
      <w:r>
        <w:rPr>
          <w:rFonts w:ascii="Calibri" w:hAnsi="Calibri"/>
          <w:color w:val="183331"/>
        </w:rPr>
        <w:t>Run conflict scenarios and a real de-identified week through the optimizer.</w:t>
      </w:r>
    </w:p>
    <w:p>
      <w:pPr>
        <w:pStyle w:val="ListNumber"/>
        <w:spacing w:after="80" w:line="300" w:lineRule="auto"/>
        <w:ind w:left="540" w:hanging="271"/>
      </w:pPr>
      <w:r>
        <w:rPr>
          <w:rFonts w:ascii="Calibri" w:hAnsi="Calibri"/>
          <w:color w:val="183331"/>
        </w:rPr>
        <w:t>Compare recommended schedules with actual operational judgment and record all deviations.</w:t>
      </w:r>
    </w:p>
    <w:p>
      <w:pPr>
        <w:pStyle w:val="ListNumber"/>
        <w:spacing w:after="80" w:line="300" w:lineRule="auto"/>
        <w:ind w:left="540" w:hanging="271"/>
      </w:pPr>
      <w:r>
        <w:rPr>
          <w:rFonts w:ascii="Calibri" w:hAnsi="Calibri"/>
          <w:color w:val="183331"/>
        </w:rPr>
        <w:t>Approve policy version and named owners for future changes.</w:t>
      </w:r>
    </w:p>
    <w:p>
      <w:pPr>
        <w:pStyle w:val="Heading2"/>
        <w:keepNext/>
      </w:pPr>
      <w:r>
        <w:rPr>
          <w:rFonts w:ascii="Calibri" w:hAnsi="Calibri"/>
          <w:b/>
          <w:color w:val="286D65"/>
        </w:rPr>
        <w:t>16.2 Security and Infrastructure Acceptance</w:t>
      </w:r>
    </w:p>
    <w:p>
      <w:pPr>
        <w:pStyle w:val="ListBullet"/>
        <w:spacing w:after="80" w:line="300" w:lineRule="auto"/>
        <w:ind w:left="540" w:hanging="271"/>
      </w:pPr>
      <w:r>
        <w:rPr>
          <w:rFonts w:ascii="Calibri" w:hAnsi="Calibri"/>
          <w:color w:val="183331"/>
        </w:rPr>
        <w:t>Risk analysis and threat-model review complete.</w:t>
      </w:r>
    </w:p>
    <w:p>
      <w:pPr>
        <w:pStyle w:val="ListBullet"/>
        <w:spacing w:after="80" w:line="300" w:lineRule="auto"/>
        <w:ind w:left="540" w:hanging="271"/>
      </w:pPr>
      <w:r>
        <w:rPr>
          <w:rFonts w:ascii="Calibri" w:hAnsi="Calibri"/>
          <w:color w:val="183331"/>
        </w:rPr>
        <w:t>Production TLS, disk encryption, backup encryption, firewall egress denial, and network segmentation verified.</w:t>
      </w:r>
    </w:p>
    <w:p>
      <w:pPr>
        <w:pStyle w:val="ListBullet"/>
        <w:spacing w:after="80" w:line="300" w:lineRule="auto"/>
        <w:ind w:left="540" w:hanging="271"/>
      </w:pPr>
      <w:r>
        <w:rPr>
          <w:rFonts w:ascii="Calibri" w:hAnsi="Calibri"/>
          <w:color w:val="183331"/>
        </w:rPr>
        <w:t>Unique accounts provisioned; bootstrap credential rotated; role matrix and access-review process approved.</w:t>
      </w:r>
    </w:p>
    <w:p>
      <w:pPr>
        <w:pStyle w:val="ListBullet"/>
        <w:spacing w:after="80" w:line="300" w:lineRule="auto"/>
        <w:ind w:left="540" w:hanging="271"/>
      </w:pPr>
      <w:r>
        <w:rPr>
          <w:rFonts w:ascii="Calibri" w:hAnsi="Calibri"/>
          <w:color w:val="183331"/>
        </w:rPr>
        <w:t>Backup restore and downtime/reconciliation drills pass with documented RPO/RTO.</w:t>
      </w:r>
    </w:p>
    <w:p>
      <w:pPr>
        <w:pStyle w:val="ListBullet"/>
        <w:spacing w:after="80" w:line="300" w:lineRule="auto"/>
        <w:ind w:left="540" w:hanging="271"/>
      </w:pPr>
      <w:r>
        <w:rPr>
          <w:rFonts w:ascii="Calibri" w:hAnsi="Calibri"/>
          <w:color w:val="183331"/>
        </w:rPr>
        <w:t>Pinned images/model artifacts, hashes, licenses, vulnerability disposition, and SBOM retained.</w:t>
      </w:r>
    </w:p>
    <w:p>
      <w:pPr>
        <w:pStyle w:val="ListBullet"/>
        <w:spacing w:after="80" w:line="300" w:lineRule="auto"/>
        <w:ind w:left="540" w:hanging="271"/>
      </w:pPr>
      <w:r>
        <w:rPr>
          <w:rFonts w:ascii="Calibri" w:hAnsi="Calibri"/>
          <w:color w:val="183331"/>
        </w:rPr>
        <w:t>Audit-chain verification and incident escalation tested.</w:t>
      </w:r>
    </w:p>
    <w:p>
      <w:pPr>
        <w:pStyle w:val="Heading2"/>
        <w:keepNext/>
      </w:pPr>
      <w:r>
        <w:rPr>
          <w:rFonts w:ascii="Calibri" w:hAnsi="Calibri"/>
          <w:b/>
          <w:color w:val="286D65"/>
        </w:rPr>
        <w:t>16.3 Clinical and Operational Acceptance</w:t>
      </w:r>
    </w:p>
    <w:p>
      <w:pPr>
        <w:pStyle w:val="ListBullet"/>
        <w:spacing w:after="80" w:line="300" w:lineRule="auto"/>
        <w:ind w:left="540" w:hanging="271"/>
      </w:pPr>
      <w:r>
        <w:rPr>
          <w:rFonts w:ascii="Calibri" w:hAnsi="Calibri"/>
          <w:color w:val="183331"/>
        </w:rPr>
        <w:t>Clinicians approve tags, priority policy, durations, phases, complexity, qualifications, equipment, emergency, and concurrency policy.</w:t>
      </w:r>
    </w:p>
    <w:p>
      <w:pPr>
        <w:pStyle w:val="ListBullet"/>
        <w:spacing w:after="80" w:line="300" w:lineRule="auto"/>
        <w:ind w:left="540" w:hanging="271"/>
      </w:pPr>
      <w:r>
        <w:rPr>
          <w:rFonts w:ascii="Calibri" w:hAnsi="Calibri"/>
          <w:color w:val="183331"/>
        </w:rPr>
        <w:t>Schedulers complete new patient, preferred dentist, no-slot, waitlist, walk-in, reschedule, cancellation, no-show, and lab-return scenarios.</w:t>
      </w:r>
    </w:p>
    <w:p>
      <w:pPr>
        <w:pStyle w:val="ListBullet"/>
        <w:spacing w:after="80" w:line="300" w:lineRule="auto"/>
        <w:ind w:left="540" w:hanging="271"/>
      </w:pPr>
      <w:r>
        <w:rPr>
          <w:rFonts w:ascii="Calibri" w:hAnsi="Calibri"/>
          <w:color w:val="183331"/>
        </w:rPr>
        <w:t>The practice validates daily board usability on desktop and approved mobile/tablet widths.</w:t>
      </w:r>
    </w:p>
    <w:p>
      <w:pPr>
        <w:pStyle w:val="ListBullet"/>
        <w:spacing w:after="80" w:line="300" w:lineRule="auto"/>
        <w:ind w:left="540" w:hanging="271"/>
      </w:pPr>
      <w:r>
        <w:rPr>
          <w:rFonts w:ascii="Calibri" w:hAnsi="Calibri"/>
          <w:color w:val="183331"/>
        </w:rPr>
        <w:t>Analytics definitions are reconciled with practice financial and operational reporting.</w:t>
      </w:r>
    </w:p>
    <w:p>
      <w:pPr>
        <w:pStyle w:val="ListBullet"/>
        <w:spacing w:after="80" w:line="300" w:lineRule="auto"/>
        <w:ind w:left="540" w:hanging="271"/>
      </w:pPr>
      <w:r>
        <w:rPr>
          <w:rFonts w:ascii="Calibri" w:hAnsi="Calibri"/>
          <w:color w:val="183331"/>
        </w:rPr>
        <w:t>No model or calibration output is treated as autonomous clinical advice.</w:t>
      </w:r>
    </w:p>
    <w:p>
      <w:pPr>
        <w:pStyle w:val="Heading2"/>
        <w:keepNext/>
      </w:pPr>
      <w:r>
        <w:rPr>
          <w:rFonts w:ascii="Calibri" w:hAnsi="Calibri"/>
          <w:b/>
          <w:color w:val="286D65"/>
        </w:rPr>
        <w:t>16.4 Go-Live Decision</w:t>
      </w:r>
    </w:p>
    <w:p>
      <w:pPr>
        <w:spacing w:before="60" w:after="160" w:line="288" w:lineRule="auto"/>
        <w:ind w:left="173" w:right="173"/>
        <w:shd w:fill="E8F2ED"/>
        <w:pBdr>
          <w:left w:val="single" w:sz="18" w:space="6" w:color="286D65"/>
        </w:pBdr>
      </w:pPr>
      <w:r>
        <w:rPr>
          <w:rFonts w:ascii="Calibri" w:hAnsi="Calibri"/>
          <w:b/>
          <w:color w:val="286D65"/>
        </w:rPr>
        <w:t xml:space="preserve">Release criterion: </w:t>
      </w:r>
      <w:r>
        <w:rPr>
          <w:rFonts w:ascii="Calibri" w:hAnsi="Calibri"/>
          <w:color w:val="183331"/>
        </w:rPr>
        <w:t>Go live only when clinical configuration, security infrastructure, backup/restore, role authorization, visual workflow acceptance, model validation, and practice leadership sign-off are all complete. Passing software tests alone is insufficient.</w:t>
      </w:r>
    </w:p>
    <w:p>
      <w:pPr>
        <w:pStyle w:val="Heading1"/>
        <w:keepNext/>
      </w:pPr>
      <w:r>
        <w:rPr>
          <w:rFonts w:ascii="Calibri" w:hAnsi="Calibri"/>
          <w:b/>
          <w:color w:val="286D65"/>
        </w:rPr>
        <w:t>17. Appendices and Glossary</w:t>
      </w:r>
    </w:p>
    <w:p>
      <w:pPr>
        <w:pStyle w:val="Heading2"/>
        <w:keepNext/>
      </w:pPr>
      <w:r>
        <w:rPr>
          <w:rFonts w:ascii="Calibri" w:hAnsi="Calibri"/>
          <w:b/>
          <w:color w:val="286D65"/>
        </w:rPr>
        <w:t>Appendix A — Appointment State Rules</w:t>
      </w:r>
    </w:p>
    <w:tbl>
      <w:tblPr>
        <w:tblStyle w:val="TableGrid"/>
        <w:tblW w:type="dxa" w:w="9360"/>
        <w:jc w:val="left"/>
        <w:tblLayout w:type="fixed"/>
        <w:tblLook w:firstColumn="1" w:firstRow="1" w:lastColumn="0" w:lastRow="0" w:noHBand="0" w:noVBand="1" w:val="04A0"/>
        <w:tblInd w:w="120" w:type="dxa"/>
      </w:tblPr>
      <w:tblGrid>
        <w:gridCol w:w="1400"/>
        <w:gridCol w:w="2400"/>
        <w:gridCol w:w="2500"/>
        <w:gridCol w:w="3060"/>
      </w:tblGrid>
      <w:tr>
        <w:trPr>
          <w:tblHeader w:val="true"/>
        </w:trPr>
        <w:tc>
          <w:tcPr>
            <w:tcW w:type="dxa" w:w="1400"/>
            <w:shd w:fill="173F3D"/>
            <w:tcMar>
              <w:top w:w="80" w:type="dxa"/>
              <w:start w:w="120" w:type="dxa"/>
              <w:bottom w:w="80" w:type="dxa"/>
              <w:end w:w="120" w:type="dxa"/>
            </w:tcMar>
            <w:vAlign w:val="center"/>
          </w:tcPr>
          <w:p>
            <w:pPr>
              <w:spacing w:after="0"/>
              <w:jc w:val="center"/>
            </w:pPr>
            <w:r>
              <w:rPr>
                <w:rFonts w:ascii="Calibri" w:hAnsi="Calibri"/>
                <w:b/>
                <w:color w:val="FFFFFF"/>
                <w:sz w:val="18"/>
              </w:rPr>
              <w:t>State</w:t>
            </w:r>
          </w:p>
        </w:tc>
        <w:tc>
          <w:tcPr>
            <w:tcW w:type="dxa" w:w="2400"/>
            <w:shd w:fill="173F3D"/>
            <w:tcMar>
              <w:top w:w="80" w:type="dxa"/>
              <w:start w:w="120" w:type="dxa"/>
              <w:bottom w:w="80" w:type="dxa"/>
              <w:end w:w="120" w:type="dxa"/>
            </w:tcMar>
            <w:vAlign w:val="center"/>
          </w:tcPr>
          <w:p>
            <w:pPr>
              <w:spacing w:after="0"/>
              <w:jc w:val="left"/>
            </w:pPr>
            <w:r>
              <w:rPr>
                <w:rFonts w:ascii="Calibri" w:hAnsi="Calibri"/>
                <w:b/>
                <w:color w:val="FFFFFF"/>
                <w:sz w:val="18"/>
              </w:rPr>
              <w:t>Active resource reservation?</w:t>
            </w:r>
          </w:p>
        </w:tc>
        <w:tc>
          <w:tcPr>
            <w:tcW w:type="dxa" w:w="2500"/>
            <w:shd w:fill="173F3D"/>
            <w:tcMar>
              <w:top w:w="80" w:type="dxa"/>
              <w:start w:w="120" w:type="dxa"/>
              <w:bottom w:w="80" w:type="dxa"/>
              <w:end w:w="120" w:type="dxa"/>
            </w:tcMar>
            <w:vAlign w:val="center"/>
          </w:tcPr>
          <w:p>
            <w:pPr>
              <w:spacing w:after="0"/>
              <w:jc w:val="left"/>
            </w:pPr>
            <w:r>
              <w:rPr>
                <w:rFonts w:ascii="Calibri" w:hAnsi="Calibri"/>
                <w:b/>
                <w:color w:val="FFFFFF"/>
                <w:sz w:val="18"/>
              </w:rPr>
              <w:t>Mutable timing?</w:t>
            </w:r>
          </w:p>
        </w:tc>
        <w:tc>
          <w:tcPr>
            <w:tcW w:type="dxa" w:w="3060"/>
            <w:shd w:fill="173F3D"/>
            <w:tcMar>
              <w:top w:w="80" w:type="dxa"/>
              <w:start w:w="120" w:type="dxa"/>
              <w:bottom w:w="80" w:type="dxa"/>
              <w:end w:w="120" w:type="dxa"/>
            </w:tcMar>
            <w:vAlign w:val="center"/>
          </w:tcPr>
          <w:p>
            <w:pPr>
              <w:spacing w:after="0"/>
              <w:jc w:val="center"/>
            </w:pPr>
            <w:r>
              <w:rPr>
                <w:rFonts w:ascii="Calibri" w:hAnsi="Calibri"/>
                <w:b/>
                <w:color w:val="FFFFFF"/>
                <w:sz w:val="18"/>
              </w:rPr>
              <w:t>Notes</w:t>
            </w:r>
          </w:p>
        </w:tc>
      </w:tr>
      <w:tr>
        <w:tc>
          <w:tcPr>
            <w:tcW w:type="dxa" w:w="1400"/>
            <w:tcMar>
              <w:top w:w="80" w:type="dxa"/>
              <w:start w:w="120" w:type="dxa"/>
              <w:bottom w:w="80" w:type="dxa"/>
              <w:end w:w="120" w:type="dxa"/>
            </w:tcMar>
            <w:vAlign w:val="center"/>
          </w:tcPr>
          <w:p>
            <w:pPr>
              <w:spacing w:after="0" w:line="264" w:lineRule="auto"/>
            </w:pPr>
            <w:r>
              <w:rPr>
                <w:rFonts w:ascii="Calibri" w:hAnsi="Calibri"/>
                <w:color w:val="183331"/>
                <w:sz w:val="17"/>
              </w:rPr>
              <w:t>Proposed</w:t>
            </w:r>
          </w:p>
        </w:tc>
        <w:tc>
          <w:tcPr>
            <w:tcW w:type="dxa" w:w="2400"/>
            <w:tcMar>
              <w:top w:w="80" w:type="dxa"/>
              <w:start w:w="120" w:type="dxa"/>
              <w:bottom w:w="80" w:type="dxa"/>
              <w:end w:w="120" w:type="dxa"/>
            </w:tcMar>
            <w:vAlign w:val="center"/>
          </w:tcPr>
          <w:p>
            <w:pPr>
              <w:spacing w:after="0" w:line="264" w:lineRule="auto"/>
            </w:pPr>
            <w:r>
              <w:rPr>
                <w:rFonts w:ascii="Calibri" w:hAnsi="Calibri"/>
                <w:color w:val="183331"/>
                <w:sz w:val="17"/>
              </w:rPr>
              <w:t>No/implementation dependent</w:t>
            </w:r>
          </w:p>
        </w:tc>
        <w:tc>
          <w:tcPr>
            <w:tcW w:type="dxa" w:w="2500"/>
            <w:tcMar>
              <w:top w:w="80" w:type="dxa"/>
              <w:start w:w="120" w:type="dxa"/>
              <w:bottom w:w="80" w:type="dxa"/>
              <w:end w:w="120" w:type="dxa"/>
            </w:tcMar>
            <w:vAlign w:val="center"/>
          </w:tcPr>
          <w:p>
            <w:pPr>
              <w:spacing w:after="0" w:line="264" w:lineRule="auto"/>
            </w:pPr>
            <w:r>
              <w:rPr>
                <w:rFonts w:ascii="Calibri" w:hAnsi="Calibri"/>
                <w:color w:val="183331"/>
                <w:sz w:val="17"/>
              </w:rPr>
              <w:t>Not used by primary UI flow</w:t>
            </w:r>
          </w:p>
        </w:tc>
        <w:tc>
          <w:tcPr>
            <w:tcW w:type="dxa" w:w="3060"/>
            <w:tcMar>
              <w:top w:w="80" w:type="dxa"/>
              <w:start w:w="120" w:type="dxa"/>
              <w:bottom w:w="80" w:type="dxa"/>
              <w:end w:w="120" w:type="dxa"/>
            </w:tcMar>
            <w:vAlign w:val="center"/>
          </w:tcPr>
          <w:p>
            <w:pPr>
              <w:spacing w:after="0" w:line="264" w:lineRule="auto"/>
            </w:pPr>
            <w:r>
              <w:rPr>
                <w:rFonts w:ascii="Calibri" w:hAnsi="Calibri"/>
                <w:color w:val="183331"/>
                <w:sz w:val="17"/>
              </w:rPr>
              <w:t>Schema-supported</w:t>
            </w:r>
          </w:p>
        </w:tc>
      </w:tr>
      <w:tr>
        <w:tc>
          <w:tcPr>
            <w:tcW w:type="dxa" w:w="1400"/>
            <w:tcMar>
              <w:top w:w="80" w:type="dxa"/>
              <w:start w:w="120" w:type="dxa"/>
              <w:bottom w:w="80" w:type="dxa"/>
              <w:end w:w="120" w:type="dxa"/>
            </w:tcMar>
            <w:vAlign w:val="center"/>
          </w:tcPr>
          <w:p>
            <w:pPr>
              <w:spacing w:after="0" w:line="264" w:lineRule="auto"/>
            </w:pPr>
            <w:r>
              <w:rPr>
                <w:rFonts w:ascii="Calibri" w:hAnsi="Calibri"/>
                <w:color w:val="183331"/>
                <w:sz w:val="17"/>
              </w:rPr>
              <w:t>Held</w:t>
            </w:r>
          </w:p>
        </w:tc>
        <w:tc>
          <w:tcPr>
            <w:tcW w:type="dxa" w:w="2400"/>
            <w:tcMar>
              <w:top w:w="80" w:type="dxa"/>
              <w:start w:w="120" w:type="dxa"/>
              <w:bottom w:w="80" w:type="dxa"/>
              <w:end w:w="120" w:type="dxa"/>
            </w:tcMar>
            <w:vAlign w:val="center"/>
          </w:tcPr>
          <w:p>
            <w:pPr>
              <w:spacing w:after="0" w:line="264" w:lineRule="auto"/>
            </w:pPr>
            <w:r>
              <w:rPr>
                <w:rFonts w:ascii="Calibri" w:hAnsi="Calibri"/>
                <w:color w:val="183331"/>
                <w:sz w:val="17"/>
              </w:rPr>
              <w:t>Yes</w:t>
            </w:r>
          </w:p>
        </w:tc>
        <w:tc>
          <w:tcPr>
            <w:tcW w:type="dxa" w:w="2500"/>
            <w:tcMar>
              <w:top w:w="80" w:type="dxa"/>
              <w:start w:w="120" w:type="dxa"/>
              <w:bottom w:w="80" w:type="dxa"/>
              <w:end w:w="120" w:type="dxa"/>
            </w:tcMar>
            <w:vAlign w:val="center"/>
          </w:tcPr>
          <w:p>
            <w:pPr>
              <w:spacing w:after="0" w:line="264" w:lineRule="auto"/>
            </w:pPr>
            <w:r>
              <w:rPr>
                <w:rFonts w:ascii="Calibri" w:hAnsi="Calibri"/>
                <w:color w:val="183331"/>
                <w:sz w:val="17"/>
              </w:rPr>
              <w:t>Database overlap constraints apply</w:t>
            </w:r>
          </w:p>
        </w:tc>
        <w:tc>
          <w:tcPr>
            <w:tcW w:type="dxa" w:w="3060"/>
            <w:tcMar>
              <w:top w:w="80" w:type="dxa"/>
              <w:start w:w="120" w:type="dxa"/>
              <w:bottom w:w="80" w:type="dxa"/>
              <w:end w:w="120" w:type="dxa"/>
            </w:tcMar>
            <w:vAlign w:val="center"/>
          </w:tcPr>
          <w:p>
            <w:pPr>
              <w:spacing w:after="0" w:line="264" w:lineRule="auto"/>
            </w:pPr>
            <w:r>
              <w:rPr>
                <w:rFonts w:ascii="Calibri" w:hAnsi="Calibri"/>
                <w:color w:val="183331"/>
                <w:sz w:val="17"/>
              </w:rPr>
              <w:t>Schema-supported; primary UI confirms directly</w:t>
            </w:r>
          </w:p>
        </w:tc>
      </w:tr>
      <w:tr>
        <w:tc>
          <w:tcPr>
            <w:tcW w:type="dxa" w:w="1400"/>
            <w:tcMar>
              <w:top w:w="80" w:type="dxa"/>
              <w:start w:w="120" w:type="dxa"/>
              <w:bottom w:w="80" w:type="dxa"/>
              <w:end w:w="120" w:type="dxa"/>
            </w:tcMar>
            <w:vAlign w:val="center"/>
          </w:tcPr>
          <w:p>
            <w:pPr>
              <w:spacing w:after="0" w:line="264" w:lineRule="auto"/>
            </w:pPr>
            <w:r>
              <w:rPr>
                <w:rFonts w:ascii="Calibri" w:hAnsi="Calibri"/>
                <w:color w:val="183331"/>
                <w:sz w:val="17"/>
              </w:rPr>
              <w:t>Confirmed</w:t>
            </w:r>
          </w:p>
        </w:tc>
        <w:tc>
          <w:tcPr>
            <w:tcW w:type="dxa" w:w="2400"/>
            <w:tcMar>
              <w:top w:w="80" w:type="dxa"/>
              <w:start w:w="120" w:type="dxa"/>
              <w:bottom w:w="80" w:type="dxa"/>
              <w:end w:w="120" w:type="dxa"/>
            </w:tcMar>
            <w:vAlign w:val="center"/>
          </w:tcPr>
          <w:p>
            <w:pPr>
              <w:spacing w:after="0" w:line="264" w:lineRule="auto"/>
            </w:pPr>
            <w:r>
              <w:rPr>
                <w:rFonts w:ascii="Calibri" w:hAnsi="Calibri"/>
                <w:color w:val="183331"/>
                <w:sz w:val="17"/>
              </w:rPr>
              <w:t>Yes</w:t>
            </w:r>
          </w:p>
        </w:tc>
        <w:tc>
          <w:tcPr>
            <w:tcW w:type="dxa" w:w="2500"/>
            <w:tcMar>
              <w:top w:w="80" w:type="dxa"/>
              <w:start w:w="120" w:type="dxa"/>
              <w:bottom w:w="80" w:type="dxa"/>
              <w:end w:w="120" w:type="dxa"/>
            </w:tcMar>
            <w:vAlign w:val="center"/>
          </w:tcPr>
          <w:p>
            <w:pPr>
              <w:spacing w:after="0" w:line="264" w:lineRule="auto"/>
            </w:pPr>
            <w:r>
              <w:rPr>
                <w:rFonts w:ascii="Calibri" w:hAnsi="Calibri"/>
                <w:color w:val="183331"/>
                <w:sz w:val="17"/>
              </w:rPr>
              <w:t>Only exact authorized reschedule</w:t>
            </w:r>
          </w:p>
        </w:tc>
        <w:tc>
          <w:tcPr>
            <w:tcW w:type="dxa" w:w="3060"/>
            <w:tcMar>
              <w:top w:w="80" w:type="dxa"/>
              <w:start w:w="120" w:type="dxa"/>
              <w:bottom w:w="80" w:type="dxa"/>
              <w:end w:w="120" w:type="dxa"/>
            </w:tcMar>
            <w:vAlign w:val="center"/>
          </w:tcPr>
          <w:p>
            <w:pPr>
              <w:spacing w:after="0" w:line="264" w:lineRule="auto"/>
            </w:pPr>
            <w:r>
              <w:rPr>
                <w:rFonts w:ascii="Calibri" w:hAnsi="Calibri"/>
                <w:color w:val="183331"/>
                <w:sz w:val="17"/>
              </w:rPr>
              <w:t>Locked operational booking</w:t>
            </w:r>
          </w:p>
        </w:tc>
      </w:tr>
      <w:tr>
        <w:tc>
          <w:tcPr>
            <w:tcW w:type="dxa" w:w="1400"/>
            <w:tcMar>
              <w:top w:w="80" w:type="dxa"/>
              <w:start w:w="120" w:type="dxa"/>
              <w:bottom w:w="80" w:type="dxa"/>
              <w:end w:w="120" w:type="dxa"/>
            </w:tcMar>
            <w:vAlign w:val="center"/>
          </w:tcPr>
          <w:p>
            <w:pPr>
              <w:spacing w:after="0" w:line="264" w:lineRule="auto"/>
            </w:pPr>
            <w:r>
              <w:rPr>
                <w:rFonts w:ascii="Calibri" w:hAnsi="Calibri"/>
                <w:color w:val="183331"/>
                <w:sz w:val="17"/>
              </w:rPr>
              <w:t>Completed</w:t>
            </w:r>
          </w:p>
        </w:tc>
        <w:tc>
          <w:tcPr>
            <w:tcW w:type="dxa" w:w="2400"/>
            <w:tcMar>
              <w:top w:w="80" w:type="dxa"/>
              <w:start w:w="120" w:type="dxa"/>
              <w:bottom w:w="80" w:type="dxa"/>
              <w:end w:w="120" w:type="dxa"/>
            </w:tcMar>
            <w:vAlign w:val="center"/>
          </w:tcPr>
          <w:p>
            <w:pPr>
              <w:spacing w:after="0" w:line="264" w:lineRule="auto"/>
            </w:pPr>
            <w:r>
              <w:rPr>
                <w:rFonts w:ascii="Calibri" w:hAnsi="Calibri"/>
                <w:color w:val="183331"/>
                <w:sz w:val="17"/>
              </w:rPr>
              <w:t>No active phases/equipment</w:t>
            </w:r>
          </w:p>
        </w:tc>
        <w:tc>
          <w:tcPr>
            <w:tcW w:type="dxa" w:w="2500"/>
            <w:tcMar>
              <w:top w:w="80" w:type="dxa"/>
              <w:start w:w="120" w:type="dxa"/>
              <w:bottom w:w="80" w:type="dxa"/>
              <w:end w:w="120" w:type="dxa"/>
            </w:tcMar>
            <w:vAlign w:val="center"/>
          </w:tcPr>
          <w:p>
            <w:pPr>
              <w:spacing w:after="0" w:line="264" w:lineRule="auto"/>
            </w:pPr>
            <w:r>
              <w:rPr>
                <w:rFonts w:ascii="Calibri" w:hAnsi="Calibri"/>
                <w:color w:val="183331"/>
                <w:sz w:val="17"/>
              </w:rPr>
              <w:t>Historical identity/timing immutable</w:t>
            </w:r>
          </w:p>
        </w:tc>
        <w:tc>
          <w:tcPr>
            <w:tcW w:type="dxa" w:w="3060"/>
            <w:tcMar>
              <w:top w:w="80" w:type="dxa"/>
              <w:start w:w="120" w:type="dxa"/>
              <w:bottom w:w="80" w:type="dxa"/>
              <w:end w:w="120" w:type="dxa"/>
            </w:tcMar>
            <w:vAlign w:val="center"/>
          </w:tcPr>
          <w:p>
            <w:pPr>
              <w:spacing w:after="0" w:line="264" w:lineRule="auto"/>
            </w:pPr>
            <w:r>
              <w:rPr>
                <w:rFonts w:ascii="Calibri" w:hAnsi="Calibri"/>
                <w:color w:val="183331"/>
                <w:sz w:val="17"/>
              </w:rPr>
              <w:t>Production remains reportable</w:t>
            </w:r>
          </w:p>
        </w:tc>
      </w:tr>
      <w:tr>
        <w:tc>
          <w:tcPr>
            <w:tcW w:type="dxa" w:w="1400"/>
            <w:tcMar>
              <w:top w:w="80" w:type="dxa"/>
              <w:start w:w="120" w:type="dxa"/>
              <w:bottom w:w="80" w:type="dxa"/>
              <w:end w:w="120" w:type="dxa"/>
            </w:tcMar>
            <w:vAlign w:val="center"/>
          </w:tcPr>
          <w:p>
            <w:pPr>
              <w:spacing w:after="0" w:line="264" w:lineRule="auto"/>
            </w:pPr>
            <w:r>
              <w:rPr>
                <w:rFonts w:ascii="Calibri" w:hAnsi="Calibri"/>
                <w:color w:val="183331"/>
                <w:sz w:val="17"/>
              </w:rPr>
              <w:t>Cancelled</w:t>
            </w:r>
          </w:p>
        </w:tc>
        <w:tc>
          <w:tcPr>
            <w:tcW w:type="dxa" w:w="2400"/>
            <w:tcMar>
              <w:top w:w="80" w:type="dxa"/>
              <w:start w:w="120" w:type="dxa"/>
              <w:bottom w:w="80" w:type="dxa"/>
              <w:end w:w="120" w:type="dxa"/>
            </w:tcMar>
            <w:vAlign w:val="center"/>
          </w:tcPr>
          <w:p>
            <w:pPr>
              <w:spacing w:after="0" w:line="264" w:lineRule="auto"/>
            </w:pPr>
            <w:r>
              <w:rPr>
                <w:rFonts w:ascii="Calibri" w:hAnsi="Calibri"/>
                <w:color w:val="183331"/>
                <w:sz w:val="17"/>
              </w:rPr>
              <w:t>No active phases/equipment</w:t>
            </w:r>
          </w:p>
        </w:tc>
        <w:tc>
          <w:tcPr>
            <w:tcW w:type="dxa" w:w="2500"/>
            <w:tcMar>
              <w:top w:w="80" w:type="dxa"/>
              <w:start w:w="120" w:type="dxa"/>
              <w:bottom w:w="80" w:type="dxa"/>
              <w:end w:w="120" w:type="dxa"/>
            </w:tcMar>
            <w:vAlign w:val="center"/>
          </w:tcPr>
          <w:p>
            <w:pPr>
              <w:spacing w:after="0" w:line="264" w:lineRule="auto"/>
            </w:pPr>
            <w:r>
              <w:rPr>
                <w:rFonts w:ascii="Calibri" w:hAnsi="Calibri"/>
                <w:color w:val="183331"/>
                <w:sz w:val="17"/>
              </w:rPr>
              <w:t>Historical identity/timing immutable</w:t>
            </w:r>
          </w:p>
        </w:tc>
        <w:tc>
          <w:tcPr>
            <w:tcW w:type="dxa" w:w="3060"/>
            <w:tcMar>
              <w:top w:w="80" w:type="dxa"/>
              <w:start w:w="120" w:type="dxa"/>
              <w:bottom w:w="80" w:type="dxa"/>
              <w:end w:w="120" w:type="dxa"/>
            </w:tcMar>
            <w:vAlign w:val="center"/>
          </w:tcPr>
          <w:p>
            <w:pPr>
              <w:spacing w:after="0" w:line="264" w:lineRule="auto"/>
            </w:pPr>
            <w:r>
              <w:rPr>
                <w:rFonts w:ascii="Calibri" w:hAnsi="Calibri"/>
                <w:color w:val="183331"/>
                <w:sz w:val="17"/>
              </w:rPr>
              <w:t>Opening can match waitlist</w:t>
            </w:r>
          </w:p>
        </w:tc>
      </w:tr>
      <w:tr>
        <w:tc>
          <w:tcPr>
            <w:tcW w:type="dxa" w:w="1400"/>
            <w:tcMar>
              <w:top w:w="80" w:type="dxa"/>
              <w:start w:w="120" w:type="dxa"/>
              <w:bottom w:w="80" w:type="dxa"/>
              <w:end w:w="120" w:type="dxa"/>
            </w:tcMar>
            <w:vAlign w:val="center"/>
          </w:tcPr>
          <w:p>
            <w:pPr>
              <w:spacing w:after="0" w:line="264" w:lineRule="auto"/>
            </w:pPr>
            <w:r>
              <w:rPr>
                <w:rFonts w:ascii="Calibri" w:hAnsi="Calibri"/>
                <w:color w:val="183331"/>
                <w:sz w:val="17"/>
              </w:rPr>
              <w:t>No show</w:t>
            </w:r>
          </w:p>
        </w:tc>
        <w:tc>
          <w:tcPr>
            <w:tcW w:type="dxa" w:w="2400"/>
            <w:tcMar>
              <w:top w:w="80" w:type="dxa"/>
              <w:start w:w="120" w:type="dxa"/>
              <w:bottom w:w="80" w:type="dxa"/>
              <w:end w:w="120" w:type="dxa"/>
            </w:tcMar>
            <w:vAlign w:val="center"/>
          </w:tcPr>
          <w:p>
            <w:pPr>
              <w:spacing w:after="0" w:line="264" w:lineRule="auto"/>
            </w:pPr>
            <w:r>
              <w:rPr>
                <w:rFonts w:ascii="Calibri" w:hAnsi="Calibri"/>
                <w:color w:val="183331"/>
                <w:sz w:val="17"/>
              </w:rPr>
              <w:t>No active phases/equipment</w:t>
            </w:r>
          </w:p>
        </w:tc>
        <w:tc>
          <w:tcPr>
            <w:tcW w:type="dxa" w:w="2500"/>
            <w:tcMar>
              <w:top w:w="80" w:type="dxa"/>
              <w:start w:w="120" w:type="dxa"/>
              <w:bottom w:w="80" w:type="dxa"/>
              <w:end w:w="120" w:type="dxa"/>
            </w:tcMar>
            <w:vAlign w:val="center"/>
          </w:tcPr>
          <w:p>
            <w:pPr>
              <w:spacing w:after="0" w:line="264" w:lineRule="auto"/>
            </w:pPr>
            <w:r>
              <w:rPr>
                <w:rFonts w:ascii="Calibri" w:hAnsi="Calibri"/>
                <w:color w:val="183331"/>
                <w:sz w:val="17"/>
              </w:rPr>
              <w:t>Historical record retained</w:t>
            </w:r>
          </w:p>
        </w:tc>
        <w:tc>
          <w:tcPr>
            <w:tcW w:type="dxa" w:w="3060"/>
            <w:tcMar>
              <w:top w:w="80" w:type="dxa"/>
              <w:start w:w="120" w:type="dxa"/>
              <w:bottom w:w="80" w:type="dxa"/>
              <w:end w:w="120" w:type="dxa"/>
            </w:tcMar>
            <w:vAlign w:val="center"/>
          </w:tcPr>
          <w:p>
            <w:pPr>
              <w:spacing w:after="0" w:line="264" w:lineRule="auto"/>
            </w:pPr>
            <w:r>
              <w:rPr>
                <w:rFonts w:ascii="Calibri" w:hAnsi="Calibri"/>
                <w:color w:val="183331"/>
                <w:sz w:val="17"/>
              </w:rPr>
              <w:t>Included in attendance analytics</w:t>
            </w:r>
          </w:p>
        </w:tc>
      </w:tr>
    </w:tbl>
    <w:p>
      <w:pPr>
        <w:spacing w:after="60"/>
      </w:pPr>
    </w:p>
    <w:p>
      <w:pPr>
        <w:pStyle w:val="Heading2"/>
        <w:keepNext/>
      </w:pPr>
      <w:r>
        <w:rPr>
          <w:rFonts w:ascii="Calibri" w:hAnsi="Calibri"/>
          <w:b/>
          <w:color w:val="286D65"/>
        </w:rPr>
        <w:t>Appendix B — Scoring Interpretation</w:t>
      </w:r>
    </w:p>
    <w:p>
      <w:pPr>
        <w:keepLines w:val="0"/>
        <w:spacing w:before="0" w:after="120" w:line="300" w:lineRule="auto"/>
      </w:pPr>
      <w:r>
        <w:rPr>
          <w:rFonts w:ascii="Calibri" w:hAnsi="Calibri"/>
          <w:i w:val="0"/>
          <w:color w:val="183331"/>
        </w:rPr>
        <w:t>Scores are relative ranking values, not probabilities, clinical risk scores, or guarantees. A negative score is not inherently good and a positive score is not inherently bad; only ordering among currently feasible candidates matters. Changing weights changes operations policy and should be versioned, simulated, reviewed, and approved.</w:t>
      </w:r>
    </w:p>
    <w:p>
      <w:pPr>
        <w:pStyle w:val="Heading2"/>
        <w:keepNext/>
      </w:pPr>
      <w:r>
        <w:rPr>
          <w:rFonts w:ascii="Calibri" w:hAnsi="Calibri"/>
          <w:b/>
          <w:color w:val="286D65"/>
        </w:rPr>
        <w:t>Appendix C — Attendance Risk Interpretation</w:t>
      </w:r>
    </w:p>
    <w:p>
      <w:pPr>
        <w:keepLines w:val="0"/>
        <w:spacing w:before="0" w:after="120" w:line="300" w:lineRule="auto"/>
      </w:pPr>
      <w:r>
        <w:rPr>
          <w:rFonts w:ascii="Calibri" w:hAnsi="Calibri"/>
          <w:i w:val="0"/>
          <w:color w:val="183331"/>
        </w:rPr>
        <w:t>The UI calculates a transparent smoothed local attendance estimate: (prior no-shows + 1) ÷ (resolved prior visits + 4). It is descriptive decision support, not a trained prediction model. New patients begin at 25%. At 35% or above, the UI suggests confirming contact details and considering the ASAP list. The estimate must not be used to deny care or override clinical need.</w:t>
      </w:r>
    </w:p>
    <w:p>
      <w:pPr>
        <w:pStyle w:val="Heading2"/>
        <w:keepNext/>
      </w:pPr>
      <w:r>
        <w:rPr>
          <w:rFonts w:ascii="Calibri" w:hAnsi="Calibri"/>
          <w:b/>
          <w:color w:val="286D65"/>
        </w:rPr>
        <w:t>Appendix D — Analytics Definitions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173F3D"/>
            <w:tcMar>
              <w:top w:w="80" w:type="dxa"/>
              <w:start w:w="120" w:type="dxa"/>
              <w:bottom w:w="80" w:type="dxa"/>
              <w:end w:w="120" w:type="dxa"/>
            </w:tcMar>
            <w:vAlign w:val="center"/>
          </w:tcPr>
          <w:p>
            <w:pPr>
              <w:spacing w:after="0"/>
              <w:jc w:val="center"/>
            </w:pPr>
            <w:r>
              <w:rPr>
                <w:rFonts w:ascii="Calibri" w:hAnsi="Calibri"/>
                <w:b/>
                <w:color w:val="FFFFFF"/>
                <w:sz w:val="19"/>
              </w:rPr>
              <w:t>Metric</w:t>
            </w:r>
          </w:p>
        </w:tc>
        <w:tc>
          <w:tcPr>
            <w:tcW w:type="dxa" w:w="6760"/>
            <w:shd w:fill="173F3D"/>
            <w:tcMar>
              <w:top w:w="80" w:type="dxa"/>
              <w:start w:w="120" w:type="dxa"/>
              <w:bottom w:w="80" w:type="dxa"/>
              <w:end w:w="120" w:type="dxa"/>
            </w:tcMar>
            <w:vAlign w:val="center"/>
          </w:tcPr>
          <w:p>
            <w:pPr>
              <w:spacing w:after="0"/>
              <w:jc w:val="left"/>
            </w:pPr>
            <w:r>
              <w:rPr>
                <w:rFonts w:ascii="Calibri" w:hAnsi="Calibri"/>
                <w:b/>
                <w:color w:val="FFFFFF"/>
                <w:sz w:val="19"/>
              </w:rPr>
              <w:t>Implemented definition</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9"/>
              </w:rPr>
              <w:t>Chair utilization</w:t>
            </w:r>
          </w:p>
        </w:tc>
        <w:tc>
          <w:tcPr>
            <w:tcW w:type="dxa" w:w="6760"/>
            <w:tcMar>
              <w:top w:w="80" w:type="dxa"/>
              <w:start w:w="120" w:type="dxa"/>
              <w:bottom w:w="80" w:type="dxa"/>
              <w:end w:w="120" w:type="dxa"/>
            </w:tcMar>
            <w:vAlign w:val="center"/>
          </w:tcPr>
          <w:p>
            <w:pPr>
              <w:spacing w:after="0" w:line="264" w:lineRule="auto"/>
            </w:pPr>
            <w:r>
              <w:rPr>
                <w:rFonts w:ascii="Calibri" w:hAnsi="Calibri"/>
                <w:color w:val="183331"/>
                <w:sz w:val="19"/>
              </w:rPr>
              <w:t>Confirmed/completed appointment minutes divided by configured room working minutes in range</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9"/>
              </w:rPr>
              <w:t>No-show rate</w:t>
            </w:r>
          </w:p>
        </w:tc>
        <w:tc>
          <w:tcPr>
            <w:tcW w:type="dxa" w:w="6760"/>
            <w:tcMar>
              <w:top w:w="80" w:type="dxa"/>
              <w:start w:w="120" w:type="dxa"/>
              <w:bottom w:w="80" w:type="dxa"/>
              <w:end w:w="120" w:type="dxa"/>
            </w:tcMar>
            <w:vAlign w:val="center"/>
          </w:tcPr>
          <w:p>
            <w:pPr>
              <w:spacing w:after="0" w:line="264" w:lineRule="auto"/>
            </w:pPr>
            <w:r>
              <w:rPr>
                <w:rFonts w:ascii="Calibri" w:hAnsi="Calibri"/>
                <w:color w:val="183331"/>
                <w:sz w:val="19"/>
              </w:rPr>
              <w:t>No shows divided by completed + cancelled + no-show resolved visits</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9"/>
              </w:rPr>
              <w:t>Cancellation rate</w:t>
            </w:r>
          </w:p>
        </w:tc>
        <w:tc>
          <w:tcPr>
            <w:tcW w:type="dxa" w:w="6760"/>
            <w:tcMar>
              <w:top w:w="80" w:type="dxa"/>
              <w:start w:w="120" w:type="dxa"/>
              <w:bottom w:w="80" w:type="dxa"/>
              <w:end w:w="120" w:type="dxa"/>
            </w:tcMar>
            <w:vAlign w:val="center"/>
          </w:tcPr>
          <w:p>
            <w:pPr>
              <w:spacing w:after="0" w:line="264" w:lineRule="auto"/>
            </w:pPr>
            <w:r>
              <w:rPr>
                <w:rFonts w:ascii="Calibri" w:hAnsi="Calibri"/>
                <w:color w:val="183331"/>
                <w:sz w:val="19"/>
              </w:rPr>
              <w:t>Cancelled divided by completed + cancelled + no-show resolved visits</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9"/>
              </w:rPr>
              <w:t>Patient wait</w:t>
            </w:r>
          </w:p>
        </w:tc>
        <w:tc>
          <w:tcPr>
            <w:tcW w:type="dxa" w:w="6760"/>
            <w:tcMar>
              <w:top w:w="80" w:type="dxa"/>
              <w:start w:w="120" w:type="dxa"/>
              <w:bottom w:w="80" w:type="dxa"/>
              <w:end w:w="120" w:type="dxa"/>
            </w:tcMar>
            <w:vAlign w:val="center"/>
          </w:tcPr>
          <w:p>
            <w:pPr>
              <w:spacing w:after="0" w:line="264" w:lineRule="auto"/>
            </w:pPr>
            <w:r>
              <w:rPr>
                <w:rFonts w:ascii="Calibri" w:hAnsi="Calibri"/>
                <w:color w:val="183331"/>
                <w:sz w:val="19"/>
              </w:rPr>
              <w:t>Average seated_at minus checked_in_at where both exist</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9"/>
              </w:rPr>
              <w:t>Booking lead</w:t>
            </w:r>
          </w:p>
        </w:tc>
        <w:tc>
          <w:tcPr>
            <w:tcW w:type="dxa" w:w="6760"/>
            <w:tcMar>
              <w:top w:w="80" w:type="dxa"/>
              <w:start w:w="120" w:type="dxa"/>
              <w:bottom w:w="80" w:type="dxa"/>
              <w:end w:w="120" w:type="dxa"/>
            </w:tcMar>
            <w:vAlign w:val="center"/>
          </w:tcPr>
          <w:p>
            <w:pPr>
              <w:spacing w:after="0" w:line="264" w:lineRule="auto"/>
            </w:pPr>
            <w:r>
              <w:rPr>
                <w:rFonts w:ascii="Calibri" w:hAnsi="Calibri"/>
                <w:color w:val="183331"/>
                <w:sz w:val="19"/>
              </w:rPr>
              <w:t>Average appointment start minus appointment creation time</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9"/>
              </w:rPr>
              <w:t>Production</w:t>
            </w:r>
          </w:p>
        </w:tc>
        <w:tc>
          <w:tcPr>
            <w:tcW w:type="dxa" w:w="6760"/>
            <w:tcMar>
              <w:top w:w="80" w:type="dxa"/>
              <w:start w:w="120" w:type="dxa"/>
              <w:bottom w:w="80" w:type="dxa"/>
              <w:end w:w="120" w:type="dxa"/>
            </w:tcMar>
            <w:vAlign w:val="center"/>
          </w:tcPr>
          <w:p>
            <w:pPr>
              <w:spacing w:after="0" w:line="264" w:lineRule="auto"/>
            </w:pPr>
            <w:r>
              <w:rPr>
                <w:rFonts w:ascii="Calibri" w:hAnsi="Calibri"/>
                <w:color w:val="183331"/>
                <w:sz w:val="19"/>
              </w:rPr>
              <w:t>Sum of appointment production credits for confirmed/completed visits</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9"/>
              </w:rPr>
              <w:t>Revenue/booked hour</w:t>
            </w:r>
          </w:p>
        </w:tc>
        <w:tc>
          <w:tcPr>
            <w:tcW w:type="dxa" w:w="6760"/>
            <w:tcMar>
              <w:top w:w="80" w:type="dxa"/>
              <w:start w:w="120" w:type="dxa"/>
              <w:bottom w:w="80" w:type="dxa"/>
              <w:end w:w="120" w:type="dxa"/>
            </w:tcMar>
            <w:vAlign w:val="center"/>
          </w:tcPr>
          <w:p>
            <w:pPr>
              <w:spacing w:after="0" w:line="264" w:lineRule="auto"/>
            </w:pPr>
            <w:r>
              <w:rPr>
                <w:rFonts w:ascii="Calibri" w:hAnsi="Calibri"/>
                <w:color w:val="183331"/>
                <w:sz w:val="19"/>
              </w:rPr>
              <w:t>Provider production × 60 ÷ provider phase minutes</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9"/>
              </w:rPr>
              <w:t>Observed procedure time</w:t>
            </w:r>
          </w:p>
        </w:tc>
        <w:tc>
          <w:tcPr>
            <w:tcW w:type="dxa" w:w="6760"/>
            <w:tcMar>
              <w:top w:w="80" w:type="dxa"/>
              <w:start w:w="120" w:type="dxa"/>
              <w:bottom w:w="80" w:type="dxa"/>
              <w:end w:w="120" w:type="dxa"/>
            </w:tcMar>
            <w:vAlign w:val="center"/>
          </w:tcPr>
          <w:p>
            <w:pPr>
              <w:spacing w:after="0" w:line="264" w:lineRule="auto"/>
            </w:pPr>
            <w:r>
              <w:rPr>
                <w:rFonts w:ascii="Calibri" w:hAnsi="Calibri"/>
                <w:color w:val="183331"/>
                <w:sz w:val="19"/>
              </w:rPr>
              <w:t>Average completed_at minus seated_at where both exist</w:t>
            </w:r>
          </w:p>
        </w:tc>
      </w:tr>
    </w:tbl>
    <w:p>
      <w:pPr>
        <w:spacing w:after="60"/>
      </w:pPr>
    </w:p>
    <w:p>
      <w:pPr>
        <w:pStyle w:val="Heading2"/>
        <w:keepNext/>
      </w:pPr>
      <w:r>
        <w:rPr>
          <w:rFonts w:ascii="Calibri" w:hAnsi="Calibri"/>
          <w:b/>
          <w:color w:val="286D65"/>
        </w:rPr>
        <w:t>Appendix E — Glossary</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173F3D"/>
            <w:tcMar>
              <w:top w:w="80" w:type="dxa"/>
              <w:start w:w="120" w:type="dxa"/>
              <w:bottom w:w="80" w:type="dxa"/>
              <w:end w:w="120" w:type="dxa"/>
            </w:tcMar>
            <w:vAlign w:val="center"/>
          </w:tcPr>
          <w:p>
            <w:pPr>
              <w:spacing w:after="0"/>
              <w:jc w:val="center"/>
            </w:pPr>
            <w:r>
              <w:rPr>
                <w:rFonts w:ascii="Calibri" w:hAnsi="Calibri"/>
                <w:b/>
                <w:color w:val="FFFFFF"/>
                <w:sz w:val="19"/>
              </w:rPr>
              <w:t>Term</w:t>
            </w:r>
          </w:p>
        </w:tc>
        <w:tc>
          <w:tcPr>
            <w:tcW w:type="dxa" w:w="6960"/>
            <w:shd w:fill="173F3D"/>
            <w:tcMar>
              <w:top w:w="80" w:type="dxa"/>
              <w:start w:w="120" w:type="dxa"/>
              <w:bottom w:w="80" w:type="dxa"/>
              <w:end w:w="120" w:type="dxa"/>
            </w:tcMar>
            <w:vAlign w:val="center"/>
          </w:tcPr>
          <w:p>
            <w:pPr>
              <w:spacing w:after="0"/>
              <w:jc w:val="center"/>
            </w:pPr>
            <w:r>
              <w:rPr>
                <w:rFonts w:ascii="Calibri" w:hAnsi="Calibri"/>
                <w:b/>
                <w:color w:val="FFFFFF"/>
                <w:sz w:val="19"/>
              </w:rPr>
              <w:t>Meaning</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Candidate</w:t>
            </w:r>
          </w:p>
        </w:tc>
        <w:tc>
          <w:tcPr>
            <w:tcW w:type="dxa" w:w="6960"/>
            <w:tcMar>
              <w:top w:w="80" w:type="dxa"/>
              <w:start w:w="120" w:type="dxa"/>
              <w:bottom w:w="80" w:type="dxa"/>
              <w:end w:w="120" w:type="dxa"/>
            </w:tcMar>
            <w:vAlign w:val="center"/>
          </w:tcPr>
          <w:p>
            <w:pPr>
              <w:spacing w:after="0" w:line="264" w:lineRule="auto"/>
            </w:pPr>
            <w:r>
              <w:rPr>
                <w:rFonts w:ascii="Calibri" w:hAnsi="Calibri"/>
                <w:color w:val="183331"/>
                <w:sz w:val="19"/>
              </w:rPr>
              <w:t>One feasible doctor, room, start/end, phase, and equipment recommendation</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Hard constraint</w:t>
            </w:r>
          </w:p>
        </w:tc>
        <w:tc>
          <w:tcPr>
            <w:tcW w:type="dxa" w:w="6960"/>
            <w:tcMar>
              <w:top w:w="80" w:type="dxa"/>
              <w:start w:w="120" w:type="dxa"/>
              <w:bottom w:w="80" w:type="dxa"/>
              <w:end w:w="120" w:type="dxa"/>
            </w:tcMar>
            <w:vAlign w:val="center"/>
          </w:tcPr>
          <w:p>
            <w:pPr>
              <w:spacing w:after="0" w:line="264" w:lineRule="auto"/>
            </w:pPr>
            <w:r>
              <w:rPr>
                <w:rFonts w:ascii="Calibri" w:hAnsi="Calibri"/>
                <w:color w:val="183331"/>
                <w:sz w:val="19"/>
              </w:rPr>
              <w:t>A rule that must be satisfied; violations are filtered or rejected</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Soft objective</w:t>
            </w:r>
          </w:p>
        </w:tc>
        <w:tc>
          <w:tcPr>
            <w:tcW w:type="dxa" w:w="6960"/>
            <w:tcMar>
              <w:top w:w="80" w:type="dxa"/>
              <w:start w:w="120" w:type="dxa"/>
              <w:bottom w:w="80" w:type="dxa"/>
              <w:end w:w="120" w:type="dxa"/>
            </w:tcMar>
            <w:vAlign w:val="center"/>
          </w:tcPr>
          <w:p>
            <w:pPr>
              <w:spacing w:after="0" w:line="264" w:lineRule="auto"/>
            </w:pPr>
            <w:r>
              <w:rPr>
                <w:rFonts w:ascii="Calibri" w:hAnsi="Calibri"/>
                <w:color w:val="183331"/>
                <w:sz w:val="19"/>
              </w:rPr>
              <w:t>A preference used only to rank already-feasible candidates</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Phase</w:t>
            </w:r>
          </w:p>
        </w:tc>
        <w:tc>
          <w:tcPr>
            <w:tcW w:type="dxa" w:w="6960"/>
            <w:tcMar>
              <w:top w:w="80" w:type="dxa"/>
              <w:start w:w="120" w:type="dxa"/>
              <w:bottom w:w="80" w:type="dxa"/>
              <w:end w:w="120" w:type="dxa"/>
            </w:tcMar>
            <w:vAlign w:val="center"/>
          </w:tcPr>
          <w:p>
            <w:pPr>
              <w:spacing w:after="0" w:line="264" w:lineRule="auto"/>
            </w:pPr>
            <w:r>
              <w:rPr>
                <w:rFonts w:ascii="Calibri" w:hAnsi="Calibri"/>
                <w:color w:val="183331"/>
                <w:sz w:val="19"/>
              </w:rPr>
              <w:t>Ordered portion of a visit requiring a role for a defined interval</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Supervision cap</w:t>
            </w:r>
          </w:p>
        </w:tc>
        <w:tc>
          <w:tcPr>
            <w:tcW w:type="dxa" w:w="6960"/>
            <w:tcMar>
              <w:top w:w="80" w:type="dxa"/>
              <w:start w:w="120" w:type="dxa"/>
              <w:bottom w:w="80" w:type="dxa"/>
              <w:end w:w="120" w:type="dxa"/>
            </w:tcMar>
            <w:vAlign w:val="center"/>
          </w:tcPr>
          <w:p>
            <w:pPr>
              <w:spacing w:after="0" w:line="264" w:lineRule="auto"/>
            </w:pPr>
            <w:r>
              <w:rPr>
                <w:rFonts w:ascii="Calibri" w:hAnsi="Calibri"/>
                <w:color w:val="183331"/>
                <w:sz w:val="19"/>
              </w:rPr>
              <w:t>Maximum simultaneous active patient visits assigned to one dentist</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Recommendation snapshot</w:t>
            </w:r>
          </w:p>
        </w:tc>
        <w:tc>
          <w:tcPr>
            <w:tcW w:type="dxa" w:w="6960"/>
            <w:tcMar>
              <w:top w:w="80" w:type="dxa"/>
              <w:start w:w="120" w:type="dxa"/>
              <w:bottom w:w="80" w:type="dxa"/>
              <w:end w:w="120" w:type="dxa"/>
            </w:tcMar>
            <w:vAlign w:val="center"/>
          </w:tcPr>
          <w:p>
            <w:pPr>
              <w:spacing w:after="0" w:line="264" w:lineRule="auto"/>
            </w:pPr>
            <w:r>
              <w:rPr>
                <w:rFonts w:ascii="Calibri" w:hAnsi="Calibri"/>
                <w:color w:val="183331"/>
                <w:sz w:val="19"/>
              </w:rPr>
              <w:t>Stored, expiring record of exactly what the user was shown</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Reschedule permission</w:t>
            </w:r>
          </w:p>
        </w:tc>
        <w:tc>
          <w:tcPr>
            <w:tcW w:type="dxa" w:w="6960"/>
            <w:tcMar>
              <w:top w:w="80" w:type="dxa"/>
              <w:start w:w="120" w:type="dxa"/>
              <w:bottom w:w="80" w:type="dxa"/>
              <w:end w:w="120" w:type="dxa"/>
            </w:tcMar>
            <w:vAlign w:val="center"/>
          </w:tcPr>
          <w:p>
            <w:pPr>
              <w:spacing w:after="0" w:line="264" w:lineRule="auto"/>
            </w:pPr>
            <w:r>
              <w:rPr>
                <w:rFonts w:ascii="Calibri" w:hAnsi="Calibri"/>
                <w:color w:val="183331"/>
                <w:sz w:val="19"/>
              </w:rPr>
              <w:t>Short-lived single-use authorization scoped to one exact old/new visit pair</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ASAP waitlist</w:t>
            </w:r>
          </w:p>
        </w:tc>
        <w:tc>
          <w:tcPr>
            <w:tcW w:type="dxa" w:w="6960"/>
            <w:tcMar>
              <w:top w:w="80" w:type="dxa"/>
              <w:start w:w="120" w:type="dxa"/>
              <w:bottom w:w="80" w:type="dxa"/>
              <w:end w:w="120" w:type="dxa"/>
            </w:tcMar>
            <w:vAlign w:val="center"/>
          </w:tcPr>
          <w:p>
            <w:pPr>
              <w:spacing w:after="0" w:line="264" w:lineRule="auto"/>
            </w:pPr>
            <w:r>
              <w:rPr>
                <w:rFonts w:ascii="Calibri" w:hAnsi="Calibri"/>
                <w:color w:val="183331"/>
                <w:sz w:val="19"/>
              </w:rPr>
              <w:t>Patient-authorized queue used to fill safe openings without moving locked visits</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Calibration</w:t>
            </w:r>
          </w:p>
        </w:tc>
        <w:tc>
          <w:tcPr>
            <w:tcW w:type="dxa" w:w="6960"/>
            <w:tcMar>
              <w:top w:w="80" w:type="dxa"/>
              <w:start w:w="120" w:type="dxa"/>
              <w:bottom w:w="80" w:type="dxa"/>
              <w:end w:w="120" w:type="dxa"/>
            </w:tcMar>
            <w:vAlign w:val="center"/>
          </w:tcPr>
          <w:p>
            <w:pPr>
              <w:spacing w:after="0" w:line="264" w:lineRule="auto"/>
            </w:pPr>
            <w:r>
              <w:rPr>
                <w:rFonts w:ascii="Calibri" w:hAnsi="Calibri"/>
                <w:color w:val="183331"/>
                <w:sz w:val="19"/>
              </w:rPr>
              <w:t>Clinician-reviewed adjustment proposal derived from de-identified actual durations</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PHI</w:t>
            </w:r>
          </w:p>
        </w:tc>
        <w:tc>
          <w:tcPr>
            <w:tcW w:type="dxa" w:w="6960"/>
            <w:tcMar>
              <w:top w:w="80" w:type="dxa"/>
              <w:start w:w="120" w:type="dxa"/>
              <w:bottom w:w="80" w:type="dxa"/>
              <w:end w:w="120" w:type="dxa"/>
            </w:tcMar>
            <w:vAlign w:val="center"/>
          </w:tcPr>
          <w:p>
            <w:pPr>
              <w:spacing w:after="0" w:line="264" w:lineRule="auto"/>
            </w:pPr>
            <w:r>
              <w:rPr>
                <w:rFonts w:ascii="Calibri" w:hAnsi="Calibri"/>
                <w:color w:val="183331"/>
                <w:sz w:val="19"/>
              </w:rPr>
              <w:t>Protected health information under applicable HIPAA rules and practice policy</w:t>
            </w:r>
          </w:p>
        </w:tc>
      </w:tr>
      <w:tr>
        <w:tc>
          <w:tcPr>
            <w:tcW w:type="dxa" w:w="2400"/>
            <w:tcMar>
              <w:top w:w="80" w:type="dxa"/>
              <w:start w:w="120" w:type="dxa"/>
              <w:bottom w:w="80" w:type="dxa"/>
              <w:end w:w="120" w:type="dxa"/>
            </w:tcMar>
            <w:vAlign w:val="center"/>
          </w:tcPr>
          <w:p>
            <w:pPr>
              <w:spacing w:after="0" w:line="264" w:lineRule="auto"/>
            </w:pPr>
            <w:r>
              <w:rPr>
                <w:rFonts w:ascii="Calibri" w:hAnsi="Calibri"/>
                <w:color w:val="183331"/>
                <w:sz w:val="19"/>
              </w:rPr>
              <w:t>On premises</w:t>
            </w:r>
          </w:p>
        </w:tc>
        <w:tc>
          <w:tcPr>
            <w:tcW w:type="dxa" w:w="6960"/>
            <w:tcMar>
              <w:top w:w="80" w:type="dxa"/>
              <w:start w:w="120" w:type="dxa"/>
              <w:bottom w:w="80" w:type="dxa"/>
              <w:end w:w="120" w:type="dxa"/>
            </w:tcMar>
            <w:vAlign w:val="center"/>
          </w:tcPr>
          <w:p>
            <w:pPr>
              <w:spacing w:after="0" w:line="264" w:lineRule="auto"/>
            </w:pPr>
            <w:r>
              <w:rPr>
                <w:rFonts w:ascii="Calibri" w:hAnsi="Calibri"/>
                <w:color w:val="183331"/>
                <w:sz w:val="19"/>
              </w:rPr>
              <w:t>Runs on infrastructure controlled by the practice; no required cloud service</w:t>
            </w:r>
          </w:p>
        </w:tc>
      </w:tr>
    </w:tbl>
    <w:p>
      <w:pPr>
        <w:spacing w:after="60"/>
      </w:pPr>
    </w:p>
    <w:p>
      <w:pPr>
        <w:pStyle w:val="Heading2"/>
        <w:keepNext/>
      </w:pPr>
      <w:r>
        <w:rPr>
          <w:rFonts w:ascii="Calibri" w:hAnsi="Calibri"/>
          <w:b/>
          <w:color w:val="286D65"/>
        </w:rPr>
        <w:t>Appendix F — Repository Reference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173F3D"/>
            <w:tcMar>
              <w:top w:w="80" w:type="dxa"/>
              <w:start w:w="120" w:type="dxa"/>
              <w:bottom w:w="80" w:type="dxa"/>
              <w:end w:w="120" w:type="dxa"/>
            </w:tcMar>
            <w:vAlign w:val="center"/>
          </w:tcPr>
          <w:p>
            <w:pPr>
              <w:spacing w:after="0"/>
              <w:jc w:val="center"/>
            </w:pPr>
            <w:r>
              <w:rPr>
                <w:rFonts w:ascii="Calibri" w:hAnsi="Calibri"/>
                <w:b/>
                <w:color w:val="FFFFFF"/>
                <w:sz w:val="19"/>
              </w:rPr>
              <w:t>Area</w:t>
            </w:r>
          </w:p>
        </w:tc>
        <w:tc>
          <w:tcPr>
            <w:tcW w:type="dxa" w:w="6760"/>
            <w:shd w:fill="173F3D"/>
            <w:tcMar>
              <w:top w:w="80" w:type="dxa"/>
              <w:start w:w="120" w:type="dxa"/>
              <w:bottom w:w="80" w:type="dxa"/>
              <w:end w:w="120" w:type="dxa"/>
            </w:tcMar>
            <w:vAlign w:val="center"/>
          </w:tcPr>
          <w:p>
            <w:pPr>
              <w:spacing w:after="0"/>
              <w:jc w:val="center"/>
            </w:pPr>
            <w:r>
              <w:rPr>
                <w:rFonts w:ascii="Calibri" w:hAnsi="Calibri"/>
                <w:b/>
                <w:color w:val="FFFFFF"/>
                <w:sz w:val="19"/>
              </w:rPr>
              <w:t>Primary path</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9"/>
              </w:rPr>
              <w:t>API and workflows</w:t>
            </w:r>
          </w:p>
        </w:tc>
        <w:tc>
          <w:tcPr>
            <w:tcW w:type="dxa" w:w="6760"/>
            <w:tcMar>
              <w:top w:w="80" w:type="dxa"/>
              <w:start w:w="120" w:type="dxa"/>
              <w:bottom w:w="80" w:type="dxa"/>
              <w:end w:w="120" w:type="dxa"/>
            </w:tcMar>
            <w:vAlign w:val="center"/>
          </w:tcPr>
          <w:p>
            <w:pPr>
              <w:spacing w:after="0" w:line="264" w:lineRule="auto"/>
            </w:pPr>
            <w:r>
              <w:rPr>
                <w:rFonts w:ascii="Calibri" w:hAnsi="Calibri"/>
                <w:color w:val="183331"/>
                <w:sz w:val="19"/>
              </w:rPr>
              <w:t>backend/main.py</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9"/>
              </w:rPr>
              <w:t>Optimizer adapter</w:t>
            </w:r>
          </w:p>
        </w:tc>
        <w:tc>
          <w:tcPr>
            <w:tcW w:type="dxa" w:w="6760"/>
            <w:tcMar>
              <w:top w:w="80" w:type="dxa"/>
              <w:start w:w="120" w:type="dxa"/>
              <w:bottom w:w="80" w:type="dxa"/>
              <w:end w:w="120" w:type="dxa"/>
            </w:tcMar>
            <w:vAlign w:val="center"/>
          </w:tcPr>
          <w:p>
            <w:pPr>
              <w:spacing w:after="0" w:line="264" w:lineRule="auto"/>
            </w:pPr>
            <w:r>
              <w:rPr>
                <w:rFonts w:ascii="Calibri" w:hAnsi="Calibri"/>
                <w:color w:val="183331"/>
                <w:sz w:val="19"/>
              </w:rPr>
              <w:t>backend/scheduling.py</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9"/>
              </w:rPr>
              <w:t>Intake model wrapper</w:t>
            </w:r>
          </w:p>
        </w:tc>
        <w:tc>
          <w:tcPr>
            <w:tcW w:type="dxa" w:w="6760"/>
            <w:tcMar>
              <w:top w:w="80" w:type="dxa"/>
              <w:start w:w="120" w:type="dxa"/>
              <w:bottom w:w="80" w:type="dxa"/>
              <w:end w:w="120" w:type="dxa"/>
            </w:tcMar>
            <w:vAlign w:val="center"/>
          </w:tcPr>
          <w:p>
            <w:pPr>
              <w:spacing w:after="0" w:line="264" w:lineRule="auto"/>
            </w:pPr>
            <w:r>
              <w:rPr>
                <w:rFonts w:ascii="Calibri" w:hAnsi="Calibri"/>
                <w:color w:val="183331"/>
                <w:sz w:val="19"/>
              </w:rPr>
              <w:t>backend/intake.py</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9"/>
              </w:rPr>
              <w:t>Authentication</w:t>
            </w:r>
          </w:p>
        </w:tc>
        <w:tc>
          <w:tcPr>
            <w:tcW w:type="dxa" w:w="6760"/>
            <w:tcMar>
              <w:top w:w="80" w:type="dxa"/>
              <w:start w:w="120" w:type="dxa"/>
              <w:bottom w:w="80" w:type="dxa"/>
              <w:end w:w="120" w:type="dxa"/>
            </w:tcMar>
            <w:vAlign w:val="center"/>
          </w:tcPr>
          <w:p>
            <w:pPr>
              <w:spacing w:after="0" w:line="264" w:lineRule="auto"/>
            </w:pPr>
            <w:r>
              <w:rPr>
                <w:rFonts w:ascii="Calibri" w:hAnsi="Calibri"/>
                <w:color w:val="183331"/>
                <w:sz w:val="19"/>
              </w:rPr>
              <w:t>backend/auth.py</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9"/>
              </w:rPr>
              <w:t>Reference seed policy</w:t>
            </w:r>
          </w:p>
        </w:tc>
        <w:tc>
          <w:tcPr>
            <w:tcW w:type="dxa" w:w="6760"/>
            <w:tcMar>
              <w:top w:w="80" w:type="dxa"/>
              <w:start w:w="120" w:type="dxa"/>
              <w:bottom w:w="80" w:type="dxa"/>
              <w:end w:w="120" w:type="dxa"/>
            </w:tcMar>
            <w:vAlign w:val="center"/>
          </w:tcPr>
          <w:p>
            <w:pPr>
              <w:spacing w:after="0" w:line="264" w:lineRule="auto"/>
            </w:pPr>
            <w:r>
              <w:rPr>
                <w:rFonts w:ascii="Calibri" w:hAnsi="Calibri"/>
                <w:color w:val="183331"/>
                <w:sz w:val="19"/>
              </w:rPr>
              <w:t>backend/seed.py</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9"/>
              </w:rPr>
              <w:t>Optimizer core</w:t>
            </w:r>
          </w:p>
        </w:tc>
        <w:tc>
          <w:tcPr>
            <w:tcW w:type="dxa" w:w="6760"/>
            <w:tcMar>
              <w:top w:w="80" w:type="dxa"/>
              <w:start w:w="120" w:type="dxa"/>
              <w:bottom w:w="80" w:type="dxa"/>
              <w:end w:w="120" w:type="dxa"/>
            </w:tcMar>
            <w:vAlign w:val="center"/>
          </w:tcPr>
          <w:p>
            <w:pPr>
              <w:spacing w:after="0" w:line="264" w:lineRule="auto"/>
            </w:pPr>
            <w:r>
              <w:rPr>
                <w:rFonts w:ascii="Calibri" w:hAnsi="Calibri"/>
                <w:color w:val="183331"/>
                <w:sz w:val="19"/>
              </w:rPr>
              <w:t>optimizer/siligent_optimizer/engine.py</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9"/>
              </w:rPr>
              <w:t>Optimizer data types</w:t>
            </w:r>
          </w:p>
        </w:tc>
        <w:tc>
          <w:tcPr>
            <w:tcW w:type="dxa" w:w="6760"/>
            <w:tcMar>
              <w:top w:w="80" w:type="dxa"/>
              <w:start w:w="120" w:type="dxa"/>
              <w:bottom w:w="80" w:type="dxa"/>
              <w:end w:w="120" w:type="dxa"/>
            </w:tcMar>
            <w:vAlign w:val="center"/>
          </w:tcPr>
          <w:p>
            <w:pPr>
              <w:spacing w:after="0" w:line="264" w:lineRule="auto"/>
            </w:pPr>
            <w:r>
              <w:rPr>
                <w:rFonts w:ascii="Calibri" w:hAnsi="Calibri"/>
                <w:color w:val="183331"/>
                <w:sz w:val="19"/>
              </w:rPr>
              <w:t>optimizer/siligent_optimizer/models.py</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9"/>
              </w:rPr>
              <w:t>Database schema</w:t>
            </w:r>
          </w:p>
        </w:tc>
        <w:tc>
          <w:tcPr>
            <w:tcW w:type="dxa" w:w="6760"/>
            <w:tcMar>
              <w:top w:w="80" w:type="dxa"/>
              <w:start w:w="120" w:type="dxa"/>
              <w:bottom w:w="80" w:type="dxa"/>
              <w:end w:w="120" w:type="dxa"/>
            </w:tcMar>
            <w:vAlign w:val="center"/>
          </w:tcPr>
          <w:p>
            <w:pPr>
              <w:spacing w:after="0" w:line="264" w:lineRule="auto"/>
            </w:pPr>
            <w:r>
              <w:rPr>
                <w:rFonts w:ascii="Calibri" w:hAnsi="Calibri"/>
                <w:color w:val="183331"/>
                <w:sz w:val="19"/>
              </w:rPr>
              <w:t>database/migrations/0001_initial.sql through 0012_unlink_native_calibration.sql</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9"/>
              </w:rPr>
              <w:t>Database invariants</w:t>
            </w:r>
          </w:p>
        </w:tc>
        <w:tc>
          <w:tcPr>
            <w:tcW w:type="dxa" w:w="6760"/>
            <w:tcMar>
              <w:top w:w="80" w:type="dxa"/>
              <w:start w:w="120" w:type="dxa"/>
              <w:bottom w:w="80" w:type="dxa"/>
              <w:end w:w="120" w:type="dxa"/>
            </w:tcMar>
            <w:vAlign w:val="center"/>
          </w:tcPr>
          <w:p>
            <w:pPr>
              <w:spacing w:after="0" w:line="264" w:lineRule="auto"/>
            </w:pPr>
            <w:r>
              <w:rPr>
                <w:rFonts w:ascii="Calibri" w:hAnsi="Calibri"/>
                <w:color w:val="183331"/>
                <w:sz w:val="19"/>
              </w:rPr>
              <w:t>database/tests/invariants.sql</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9"/>
              </w:rPr>
              <w:t>UI</w:t>
            </w:r>
          </w:p>
        </w:tc>
        <w:tc>
          <w:tcPr>
            <w:tcW w:type="dxa" w:w="6760"/>
            <w:tcMar>
              <w:top w:w="80" w:type="dxa"/>
              <w:start w:w="120" w:type="dxa"/>
              <w:bottom w:w="80" w:type="dxa"/>
              <w:end w:w="120" w:type="dxa"/>
            </w:tcMar>
            <w:vAlign w:val="center"/>
          </w:tcPr>
          <w:p>
            <w:pPr>
              <w:spacing w:after="0" w:line="264" w:lineRule="auto"/>
            </w:pPr>
            <w:r>
              <w:rPr>
                <w:rFonts w:ascii="Calibri" w:hAnsi="Calibri"/>
                <w:color w:val="183331"/>
                <w:sz w:val="19"/>
              </w:rPr>
              <w:t>frontend/index.html and frontend/static/*</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9"/>
              </w:rPr>
              <w:t>Deployment</w:t>
            </w:r>
          </w:p>
        </w:tc>
        <w:tc>
          <w:tcPr>
            <w:tcW w:type="dxa" w:w="6760"/>
            <w:tcMar>
              <w:top w:w="80" w:type="dxa"/>
              <w:start w:w="120" w:type="dxa"/>
              <w:bottom w:w="80" w:type="dxa"/>
              <w:end w:w="120" w:type="dxa"/>
            </w:tcMar>
            <w:vAlign w:val="center"/>
          </w:tcPr>
          <w:p>
            <w:pPr>
              <w:spacing w:after="0" w:line="264" w:lineRule="auto"/>
            </w:pPr>
            <w:r>
              <w:rPr>
                <w:rFonts w:ascii="Calibri" w:hAnsi="Calibri"/>
                <w:color w:val="183331"/>
                <w:sz w:val="19"/>
              </w:rPr>
              <w:t>docker-compose.yml, build.sh, start.sh, stop.sh</w:t>
            </w:r>
          </w:p>
        </w:tc>
      </w:tr>
      <w:tr>
        <w:tc>
          <w:tcPr>
            <w:tcW w:type="dxa" w:w="2600"/>
            <w:tcMar>
              <w:top w:w="80" w:type="dxa"/>
              <w:start w:w="120" w:type="dxa"/>
              <w:bottom w:w="80" w:type="dxa"/>
              <w:end w:w="120" w:type="dxa"/>
            </w:tcMar>
            <w:vAlign w:val="center"/>
          </w:tcPr>
          <w:p>
            <w:pPr>
              <w:spacing w:after="0" w:line="264" w:lineRule="auto"/>
            </w:pPr>
            <w:r>
              <w:rPr>
                <w:rFonts w:ascii="Calibri" w:hAnsi="Calibri"/>
                <w:color w:val="183331"/>
                <w:sz w:val="19"/>
              </w:rPr>
              <w:t>Verification report</w:t>
            </w:r>
          </w:p>
        </w:tc>
        <w:tc>
          <w:tcPr>
            <w:tcW w:type="dxa" w:w="6760"/>
            <w:tcMar>
              <w:top w:w="80" w:type="dxa"/>
              <w:start w:w="120" w:type="dxa"/>
              <w:bottom w:w="80" w:type="dxa"/>
              <w:end w:w="120" w:type="dxa"/>
            </w:tcMar>
            <w:vAlign w:val="center"/>
          </w:tcPr>
          <w:p>
            <w:pPr>
              <w:spacing w:after="0" w:line="264" w:lineRule="auto"/>
            </w:pPr>
            <w:r>
              <w:rPr>
                <w:rFonts w:ascii="Calibri" w:hAnsi="Calibri"/>
                <w:color w:val="183331"/>
                <w:sz w:val="19"/>
              </w:rPr>
              <w:t>docs/test-reports/2026-08-23-production-redesign.md</w:t>
            </w:r>
          </w:p>
        </w:tc>
      </w:tr>
    </w:tbl>
    <w:p>
      <w:pPr>
        <w:spacing w:after="60"/>
      </w:pPr>
    </w:p>
    <w:p>
      <w:pPr>
        <w:keepLines w:val="0"/>
        <w:spacing w:before="0" w:after="0" w:line="300" w:lineRule="auto"/>
      </w:pPr>
      <w:r/>
    </w:p>
    <w:p>
      <w:pPr>
        <w:pStyle w:val="Heading1"/>
      </w:pPr>
      <w:r>
        <w:t>Simplified Request and Block Specification</w:t>
      </w:r>
    </w:p>
    <w:p>
      <w:r>
        <w:t>The interface uses three stages: patient and treatment, optional preferences, and opening selection. patient_always_available=true searches the rolling horizon; false requires both dates and daily times. Legacy callers that omit the flag but provide all four window fields retain custom-window behavior.</w:t>
      </w:r>
    </w:p>
    <w:p>
      <w:r>
        <w:t>Doctor procedure blocks may occur once or weekly through an inclusive date while preserving local wall-clock time. The API validates horizon, same-day duration, qualification, hours or shift override, leave, closure, room, equipment, appointments, and block conflicts. One failure rolls back the series; every committed occurrence is immutable and audited.</w:t>
      </w:r>
    </w:p>
    <w:p>
      <w:r>
        <w:t>Simulation requires request_id, patient_ref, and procedure_code. Defaults provide standard difficulty, routine priority, and rolling-horizon availability. Advanced columns remain supported; identifiers, free text, formulas, locked requests, and reserved-capacity overrides remain prohibited.</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color w:val="667875"/>
        <w:sz w:val="17"/>
      </w:rPr>
      <w:t xml:space="preserve">System Specification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Calibri" w:hAnsi="Calibri"/>
        <w:b/>
        <w:color w:val="667875"/>
        <w:sz w:val="17"/>
      </w:rPr>
      <w:t>SILIGENT DENTAL SCHEDULER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833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86D6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86D6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F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Siligent Dental Scheduler System Specification</dc:title>
  <dc:subject>Model, data, optimization, workflows, security, and operations</dc:subject>
  <dc:creator/>
  <cp:keywords>dental scheduling, optimization, on-premises, data architecture, workflow</cp:keywords>
  <dc:description>Generated from verified repository state on 2026-08-26.</dc:description>
  <cp:lastModifiedBy/>
  <cp:revision>1</cp:revision>
  <dcterms:created xsi:type="dcterms:W3CDTF">2013-12-23T23:15:00Z</dcterms:created>
  <dcterms:modified xsi:type="dcterms:W3CDTF">2013-12-23T23:15:00Z</dcterms:modified>
  <cp:category/>
</cp:coreProperties>
</file>