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160"/>
        <w:jc w:val="left"/>
      </w:pPr>
      <w:r>
        <w:rPr>
          <w:rFonts w:ascii="Aptos Display" w:hAnsi="Aptos Display"/>
          <w:b/>
          <w:i w:val="0"/>
          <w:color w:val="20344A"/>
          <w:sz w:val="60"/>
        </w:rPr>
        <w:t>AI Memory Bank</w:t>
      </w:r>
    </w:p>
    <w:p>
      <w:pPr>
        <w:spacing w:after="480"/>
      </w:pPr>
      <w:r>
        <w:rPr>
          <w:rFonts w:ascii="Aptos Display" w:hAnsi="Aptos Display"/>
          <w:b/>
          <w:i w:val="0"/>
          <w:color w:val="1C766C"/>
          <w:sz w:val="34"/>
        </w:rPr>
        <w:t>On-Premises Dental Appointment Scheduling</w:t>
      </w:r>
    </w:p>
    <w:p>
      <w:pPr>
        <w:spacing w:before="60" w:after="160" w:line="283" w:lineRule="auto"/>
        <w:ind w:left="173" w:right="173"/>
        <w:shd w:fill="EAF5F2"/>
        <w:pBdr>
          <w:left w:val="single" w:sz="18" w:space="6" w:color="1C766C"/>
        </w:pBdr>
      </w:pPr>
      <w:r>
        <w:rPr>
          <w:rFonts w:ascii="Aptos" w:hAnsi="Aptos"/>
          <w:b/>
          <w:i w:val="0"/>
          <w:color w:val="1C766C"/>
          <w:sz w:val="21"/>
        </w:rPr>
        <w:t xml:space="preserve">Purpose: </w:t>
      </w:r>
      <w:r>
        <w:rPr>
          <w:rFonts w:ascii="Aptos" w:hAnsi="Aptos"/>
          <w:b w:val="0"/>
          <w:i w:val="0"/>
          <w:color w:val="1E252B"/>
          <w:sz w:val="21"/>
        </w:rPr>
        <w:t>A reusable, organization-neutral knowledge base describing the model, data, decision logic, workflows, safeguards, and validation patterns for a dental scheduling assistant. It contains no patient records, company identity, internal repository details, credentials, private endpoints, organization-specific metrics, or implementation-status claims.</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shd w:fill="20344A"/>
            <w:vAlign w:val="center"/>
            <w:tcMar>
              <w:top w:w="90" w:type="dxa"/>
              <w:left w:w="120" w:type="dxa"/>
              <w:bottom w:w="90" w:type="dxa"/>
              <w:right w:w="120" w:type="dxa"/>
            </w:tcMar>
          </w:tcPr>
          <w:p>
            <w:pPr>
              <w:spacing w:after="0"/>
              <w:jc w:val="left"/>
            </w:pPr>
            <w:r>
              <w:rPr>
                <w:rFonts w:ascii="Aptos" w:hAnsi="Aptos"/>
                <w:b/>
                <w:i w:val="0"/>
                <w:color w:val="FFFFFF"/>
                <w:sz w:val="18"/>
              </w:rPr>
              <w:t>Memory-bank attribute</w:t>
            </w:r>
          </w:p>
        </w:tc>
        <w:tc>
          <w:tcPr>
            <w:tcW w:type="dxa" w:w="6960"/>
            <w:shd w:fill="20344A"/>
            <w:vAlign w:val="center"/>
            <w:tcMar>
              <w:top w:w="90" w:type="dxa"/>
              <w:left w:w="120" w:type="dxa"/>
              <w:bottom w:w="90" w:type="dxa"/>
              <w:right w:w="120" w:type="dxa"/>
            </w:tcMar>
          </w:tcPr>
          <w:p>
            <w:pPr>
              <w:spacing w:after="0"/>
              <w:jc w:val="center"/>
            </w:pPr>
            <w:r>
              <w:rPr>
                <w:rFonts w:ascii="Aptos" w:hAnsi="Aptos"/>
                <w:b/>
                <w:i w:val="0"/>
                <w:color w:val="FFFFFF"/>
                <w:sz w:val="18"/>
              </w:rPr>
              <w:t>Value</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Audience</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AI agents, product teams, clinical operations reviewers, privacy/security reviewers</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Scope</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Scheduling recommendations and controlled appointment lifecycle management</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Deployment posture</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Fully on premises; no runtime internet dependency</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Decision posture</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AI assists with intake; deterministic logic and database controls govern booking</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Privacy posture</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Minimum necessary information; no real patient examples in this reference</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Last revised</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2026-08-26</w:t>
            </w:r>
          </w:p>
        </w:tc>
      </w:tr>
    </w:tbl>
    <w:p>
      <w:pPr>
        <w:spacing w:after="60"/>
      </w:pPr>
    </w:p>
    <w:p>
      <w:pPr>
        <w:pStyle w:val="Heading1"/>
        <w:keepNext/>
      </w:pPr>
      <w:r>
        <w:rPr>
          <w:rFonts w:ascii="Aptos" w:hAnsi="Aptos"/>
          <w:b/>
          <w:i w:val="0"/>
          <w:color w:val="1C766C"/>
          <w:sz w:val="34"/>
        </w:rPr>
        <w:t>How to Use This Memory Bank</w:t>
      </w:r>
    </w:p>
    <w:p>
      <w:pPr>
        <w:spacing w:after="120" w:line="283" w:lineRule="auto"/>
      </w:pPr>
      <w:r>
        <w:rPr>
          <w:rFonts w:ascii="Aptos" w:hAnsi="Aptos"/>
          <w:b w:val="0"/>
          <w:i w:val="0"/>
          <w:color w:val="1E252B"/>
          <w:sz w:val="21"/>
        </w:rPr>
        <w:t>Use each numbered section as an independent retrieval unit. When an AI agent answers questions, it should distinguish invariant rules from configurable policy, identify missing local policy rather than invent it, and never treat the language model as the booking authority.</w:t>
      </w:r>
    </w:p>
    <w:p>
      <w:pPr>
        <w:pStyle w:val="ListBullet"/>
        <w:spacing w:after="80" w:line="276" w:lineRule="auto"/>
        <w:ind w:left="547" w:hanging="274"/>
      </w:pPr>
      <w:r>
        <w:rPr>
          <w:rFonts w:ascii="Aptos" w:hAnsi="Aptos"/>
          <w:b w:val="0"/>
          <w:i w:val="0"/>
          <w:color w:val="1E252B"/>
          <w:sz w:val="21"/>
        </w:rPr>
        <w:t>Invariant rules are safety properties that must always hold, such as no double-booking and no silent movement of a confirmed appointment.</w:t>
      </w:r>
    </w:p>
    <w:p>
      <w:pPr>
        <w:pStyle w:val="ListBullet"/>
        <w:spacing w:after="80" w:line="276" w:lineRule="auto"/>
        <w:ind w:left="547" w:hanging="274"/>
      </w:pPr>
      <w:r>
        <w:rPr>
          <w:rFonts w:ascii="Aptos" w:hAnsi="Aptos"/>
          <w:b w:val="0"/>
          <w:i w:val="0"/>
          <w:color w:val="1E252B"/>
          <w:sz w:val="21"/>
        </w:rPr>
        <w:t>Configurable policy includes clinic hours, procedure duration, provider qualifications, equipment needs, emergency reserve rules, and ranking weights.</w:t>
      </w:r>
    </w:p>
    <w:p>
      <w:pPr>
        <w:pStyle w:val="ListBullet"/>
        <w:spacing w:after="80" w:line="276" w:lineRule="auto"/>
        <w:ind w:left="547" w:hanging="274"/>
      </w:pPr>
      <w:r>
        <w:rPr>
          <w:rFonts w:ascii="Aptos" w:hAnsi="Aptos"/>
          <w:b w:val="0"/>
          <w:i w:val="0"/>
          <w:color w:val="1E252B"/>
          <w:sz w:val="21"/>
        </w:rPr>
        <w:t>Safety- and capacity-critical local policy must be approved by the deploying organization and should not be inferred from this generic reference. Historical operating data is optional and must not be treated as a startup dependency.</w:t>
      </w:r>
    </w:p>
    <w:p>
      <w:pPr>
        <w:pStyle w:val="ListBullet"/>
        <w:spacing w:after="80" w:line="276" w:lineRule="auto"/>
        <w:ind w:left="547" w:hanging="274"/>
      </w:pPr>
      <w:r>
        <w:rPr>
          <w:rFonts w:ascii="Aptos" w:hAnsi="Aptos"/>
          <w:b w:val="0"/>
          <w:i w:val="0"/>
          <w:color w:val="1E252B"/>
          <w:sz w:val="21"/>
        </w:rPr>
        <w:t>All examples are conceptual and contain no real person, organization, or production environment data.</w:t>
      </w:r>
    </w:p>
    <w:p>
      <w:pPr>
        <w:pStyle w:val="Heading2"/>
        <w:keepNext/>
      </w:pPr>
      <w:r>
        <w:rPr>
          <w:rFonts w:ascii="Aptos" w:hAnsi="Aptos"/>
          <w:b/>
          <w:i w:val="0"/>
          <w:color w:val="1C766C"/>
          <w:sz w:val="26"/>
        </w:rPr>
        <w:t>Coverage Map</w:t>
      </w:r>
    </w:p>
    <w:tbl>
      <w:tblPr>
        <w:tblStyle w:val="TableGrid"/>
        <w:tblW w:type="dxa" w:w="9360"/>
        <w:jc w:val="left"/>
        <w:tblLayout w:type="fixed"/>
        <w:tblLook w:firstColumn="1" w:firstRow="1" w:lastColumn="0" w:lastRow="0" w:noHBand="0" w:noVBand="1" w:val="04A0"/>
        <w:tblInd w:type="dxa" w:w="120"/>
      </w:tblPr>
      <w:tblGrid>
        <w:gridCol w:w="2450"/>
        <w:gridCol w:w="6910"/>
      </w:tblGrid>
      <w:tr>
        <w:trPr>
          <w:tblHeader w:val="true"/>
        </w:trPr>
        <w:tc>
          <w:tcPr>
            <w:tcW w:type="dxa" w:w="2450"/>
            <w:shd w:fill="20344A"/>
            <w:vAlign w:val="center"/>
            <w:tcMar>
              <w:top w:w="90" w:type="dxa"/>
              <w:left w:w="120" w:type="dxa"/>
              <w:bottom w:w="90" w:type="dxa"/>
              <w:right w:w="120" w:type="dxa"/>
            </w:tcMar>
          </w:tcPr>
          <w:p>
            <w:pPr>
              <w:spacing w:after="0"/>
              <w:jc w:val="center"/>
            </w:pPr>
            <w:r>
              <w:rPr>
                <w:rFonts w:ascii="Aptos" w:hAnsi="Aptos"/>
                <w:b/>
                <w:i w:val="0"/>
                <w:color w:val="FFFFFF"/>
                <w:sz w:val="17"/>
              </w:rPr>
              <w:t>Question</w:t>
            </w:r>
          </w:p>
        </w:tc>
        <w:tc>
          <w:tcPr>
            <w:tcW w:type="dxa" w:w="6910"/>
            <w:shd w:fill="20344A"/>
            <w:vAlign w:val="center"/>
            <w:tcMar>
              <w:top w:w="90" w:type="dxa"/>
              <w:left w:w="120" w:type="dxa"/>
              <w:bottom w:w="90" w:type="dxa"/>
              <w:right w:w="120" w:type="dxa"/>
            </w:tcMar>
          </w:tcPr>
          <w:p>
            <w:pPr>
              <w:spacing w:after="0"/>
              <w:jc w:val="left"/>
            </w:pPr>
            <w:r>
              <w:rPr>
                <w:rFonts w:ascii="Aptos" w:hAnsi="Aptos"/>
                <w:b/>
                <w:i w:val="0"/>
                <w:color w:val="FFFFFF"/>
                <w:sz w:val="17"/>
              </w:rPr>
              <w:t>Where the memory bank answers it</w:t>
            </w:r>
          </w:p>
        </w:tc>
      </w:tr>
      <w:tr>
        <w:tc>
          <w:tcPr>
            <w:tcW w:type="dxa" w:w="2450"/>
            <w:vAlign w:val="center"/>
            <w:tcMar>
              <w:top w:w="90" w:type="dxa"/>
              <w:left w:w="120" w:type="dxa"/>
              <w:bottom w:w="90" w:type="dxa"/>
              <w:right w:w="120" w:type="dxa"/>
            </w:tcMar>
          </w:tcPr>
          <w:p>
            <w:pPr>
              <w:spacing w:after="0" w:line="259" w:lineRule="auto"/>
            </w:pPr>
            <w:r>
              <w:rPr>
                <w:rFonts w:ascii="Aptos" w:hAnsi="Aptos"/>
                <w:b w:val="0"/>
                <w:i w:val="0"/>
                <w:color w:val="1E252B"/>
                <w:sz w:val="16"/>
              </w:rPr>
              <w:t>What is the model?</w:t>
            </w:r>
          </w:p>
        </w:tc>
        <w:tc>
          <w:tcPr>
            <w:tcW w:type="dxa" w:w="6910"/>
            <w:vAlign w:val="center"/>
            <w:tcMar>
              <w:top w:w="90" w:type="dxa"/>
              <w:left w:w="120" w:type="dxa"/>
              <w:bottom w:w="90" w:type="dxa"/>
              <w:right w:w="120" w:type="dxa"/>
            </w:tcMar>
          </w:tcPr>
          <w:p>
            <w:pPr>
              <w:spacing w:after="0" w:line="259" w:lineRule="auto"/>
            </w:pPr>
            <w:r>
              <w:rPr>
                <w:rFonts w:ascii="Aptos" w:hAnsi="Aptos"/>
                <w:b w:val="0"/>
                <w:i w:val="0"/>
                <w:color w:val="1E252B"/>
                <w:sz w:val="16"/>
              </w:rPr>
              <w:t>Sections 2–3: narrow local intake normalization, structured output, validation, failure behavior, and governance</w:t>
            </w:r>
          </w:p>
        </w:tc>
      </w:tr>
      <w:tr>
        <w:tc>
          <w:tcPr>
            <w:tcW w:type="dxa" w:w="2450"/>
            <w:vAlign w:val="center"/>
            <w:tcMar>
              <w:top w:w="90" w:type="dxa"/>
              <w:left w:w="120" w:type="dxa"/>
              <w:bottom w:w="90" w:type="dxa"/>
              <w:right w:w="120" w:type="dxa"/>
            </w:tcMar>
          </w:tcPr>
          <w:p>
            <w:pPr>
              <w:spacing w:after="0" w:line="259" w:lineRule="auto"/>
            </w:pPr>
            <w:r>
              <w:rPr>
                <w:rFonts w:ascii="Aptos" w:hAnsi="Aptos"/>
                <w:b w:val="0"/>
                <w:i w:val="0"/>
                <w:color w:val="1E252B"/>
                <w:sz w:val="16"/>
              </w:rPr>
              <w:t>What performs scheduling?</w:t>
            </w:r>
          </w:p>
        </w:tc>
        <w:tc>
          <w:tcPr>
            <w:tcW w:type="dxa" w:w="6910"/>
            <w:vAlign w:val="center"/>
            <w:tcMar>
              <w:top w:w="90" w:type="dxa"/>
              <w:left w:w="120" w:type="dxa"/>
              <w:bottom w:w="90" w:type="dxa"/>
              <w:right w:w="120" w:type="dxa"/>
            </w:tcMar>
          </w:tcPr>
          <w:p>
            <w:pPr>
              <w:spacing w:after="0" w:line="259" w:lineRule="auto"/>
            </w:pPr>
            <w:r>
              <w:rPr>
                <w:rFonts w:ascii="Aptos" w:hAnsi="Aptos"/>
                <w:b w:val="0"/>
                <w:i w:val="0"/>
                <w:color w:val="1E252B"/>
                <w:sz w:val="16"/>
              </w:rPr>
              <w:t>Section 4: deterministic constraint-and-ranking engine, decision variables, feasibility, scoring, and transaction safety</w:t>
            </w:r>
          </w:p>
        </w:tc>
      </w:tr>
      <w:tr>
        <w:tc>
          <w:tcPr>
            <w:tcW w:type="dxa" w:w="2450"/>
            <w:vAlign w:val="center"/>
            <w:tcMar>
              <w:top w:w="90" w:type="dxa"/>
              <w:left w:w="120" w:type="dxa"/>
              <w:bottom w:w="90" w:type="dxa"/>
              <w:right w:w="120" w:type="dxa"/>
            </w:tcMar>
          </w:tcPr>
          <w:p>
            <w:pPr>
              <w:spacing w:after="0" w:line="259" w:lineRule="auto"/>
            </w:pPr>
            <w:r>
              <w:rPr>
                <w:rFonts w:ascii="Aptos" w:hAnsi="Aptos"/>
                <w:b w:val="0"/>
                <w:i w:val="0"/>
                <w:color w:val="1E252B"/>
                <w:sz w:val="16"/>
              </w:rPr>
              <w:t>What data is required and how is it used?</w:t>
            </w:r>
          </w:p>
        </w:tc>
        <w:tc>
          <w:tcPr>
            <w:tcW w:type="dxa" w:w="6910"/>
            <w:vAlign w:val="center"/>
            <w:tcMar>
              <w:top w:w="90" w:type="dxa"/>
              <w:left w:w="120" w:type="dxa"/>
              <w:bottom w:w="90" w:type="dxa"/>
              <w:right w:w="120" w:type="dxa"/>
            </w:tcMar>
          </w:tcPr>
          <w:p>
            <w:pPr>
              <w:spacing w:after="0" w:line="259" w:lineRule="auto"/>
            </w:pPr>
            <w:r>
              <w:rPr>
                <w:rFonts w:ascii="Aptos" w:hAnsi="Aptos"/>
                <w:b w:val="0"/>
                <w:i w:val="0"/>
                <w:color w:val="1E252B"/>
                <w:sz w:val="16"/>
              </w:rPr>
              <w:t>Section 5: startup versus optional data, classification, conceptual entities, refinement, provenance, audit, retention, analytics, and measurement</w:t>
            </w:r>
          </w:p>
        </w:tc>
      </w:tr>
      <w:tr>
        <w:tc>
          <w:tcPr>
            <w:tcW w:type="dxa" w:w="2450"/>
            <w:vAlign w:val="center"/>
            <w:tcMar>
              <w:top w:w="90" w:type="dxa"/>
              <w:left w:w="120" w:type="dxa"/>
              <w:bottom w:w="90" w:type="dxa"/>
              <w:right w:w="120" w:type="dxa"/>
            </w:tcMar>
          </w:tcPr>
          <w:p>
            <w:pPr>
              <w:spacing w:after="0" w:line="259" w:lineRule="auto"/>
            </w:pPr>
            <w:r>
              <w:rPr>
                <w:rFonts w:ascii="Aptos" w:hAnsi="Aptos"/>
                <w:b w:val="0"/>
                <w:i w:val="0"/>
                <w:color w:val="1E252B"/>
                <w:sz w:val="16"/>
              </w:rPr>
              <w:t>What is the complete flow?</w:t>
            </w:r>
          </w:p>
        </w:tc>
        <w:tc>
          <w:tcPr>
            <w:tcW w:type="dxa" w:w="6910"/>
            <w:vAlign w:val="center"/>
            <w:tcMar>
              <w:top w:w="90" w:type="dxa"/>
              <w:left w:w="120" w:type="dxa"/>
              <w:bottom w:w="90" w:type="dxa"/>
              <w:right w:w="120" w:type="dxa"/>
            </w:tcMar>
          </w:tcPr>
          <w:p>
            <w:pPr>
              <w:spacing w:after="0" w:line="259" w:lineRule="auto"/>
            </w:pPr>
            <w:r>
              <w:rPr>
                <w:rFonts w:ascii="Aptos" w:hAnsi="Aptos"/>
                <w:b w:val="0"/>
                <w:i w:val="0"/>
                <w:color w:val="1E252B"/>
                <w:sz w:val="16"/>
              </w:rPr>
              <w:t>Section 6: request through confirmation, protected rescheduling, outcomes, waitlist, follow-up, emergency, calibration, and downtime</w:t>
            </w:r>
          </w:p>
        </w:tc>
      </w:tr>
      <w:tr>
        <w:tc>
          <w:tcPr>
            <w:tcW w:type="dxa" w:w="2450"/>
            <w:vAlign w:val="center"/>
            <w:tcMar>
              <w:top w:w="90" w:type="dxa"/>
              <w:left w:w="120" w:type="dxa"/>
              <w:bottom w:w="90" w:type="dxa"/>
              <w:right w:w="120" w:type="dxa"/>
            </w:tcMar>
          </w:tcPr>
          <w:p>
            <w:pPr>
              <w:spacing w:after="0" w:line="259" w:lineRule="auto"/>
            </w:pPr>
            <w:r>
              <w:rPr>
                <w:rFonts w:ascii="Aptos" w:hAnsi="Aptos"/>
                <w:b w:val="0"/>
                <w:i w:val="0"/>
                <w:color w:val="1E252B"/>
                <w:sz w:val="16"/>
              </w:rPr>
              <w:t>How do people use it safely?</w:t>
            </w:r>
          </w:p>
        </w:tc>
        <w:tc>
          <w:tcPr>
            <w:tcW w:type="dxa" w:w="6910"/>
            <w:vAlign w:val="center"/>
            <w:tcMar>
              <w:top w:w="90" w:type="dxa"/>
              <w:left w:w="120" w:type="dxa"/>
              <w:bottom w:w="90" w:type="dxa"/>
              <w:right w:w="120" w:type="dxa"/>
            </w:tcMar>
          </w:tcPr>
          <w:p>
            <w:pPr>
              <w:spacing w:after="0" w:line="259" w:lineRule="auto"/>
            </w:pPr>
            <w:r>
              <w:rPr>
                <w:rFonts w:ascii="Aptos" w:hAnsi="Aptos"/>
                <w:b w:val="0"/>
                <w:i w:val="0"/>
                <w:color w:val="1E252B"/>
                <w:sz w:val="16"/>
              </w:rPr>
              <w:t>Sections 7–9: UX, authorization, privacy, offline operation, observability, and failure behavior</w:t>
            </w:r>
          </w:p>
        </w:tc>
      </w:tr>
      <w:tr>
        <w:tc>
          <w:tcPr>
            <w:tcW w:type="dxa" w:w="2450"/>
            <w:vAlign w:val="center"/>
            <w:tcMar>
              <w:top w:w="90" w:type="dxa"/>
              <w:left w:w="120" w:type="dxa"/>
              <w:bottom w:w="90" w:type="dxa"/>
              <w:right w:w="120" w:type="dxa"/>
            </w:tcMar>
          </w:tcPr>
          <w:p>
            <w:pPr>
              <w:spacing w:after="0" w:line="259" w:lineRule="auto"/>
            </w:pPr>
            <w:r>
              <w:rPr>
                <w:rFonts w:ascii="Aptos" w:hAnsi="Aptos"/>
                <w:b w:val="0"/>
                <w:i w:val="0"/>
                <w:color w:val="1E252B"/>
                <w:sz w:val="16"/>
              </w:rPr>
              <w:t>How is it proven correct and successful?</w:t>
            </w:r>
          </w:p>
        </w:tc>
        <w:tc>
          <w:tcPr>
            <w:tcW w:type="dxa" w:w="6910"/>
            <w:vAlign w:val="center"/>
            <w:tcMar>
              <w:top w:w="90" w:type="dxa"/>
              <w:left w:w="120" w:type="dxa"/>
              <w:bottom w:w="90" w:type="dxa"/>
              <w:right w:w="120" w:type="dxa"/>
            </w:tcMar>
          </w:tcPr>
          <w:p>
            <w:pPr>
              <w:spacing w:after="0" w:line="259" w:lineRule="auto"/>
            </w:pPr>
            <w:r>
              <w:rPr>
                <w:rFonts w:ascii="Aptos" w:hAnsi="Aptos"/>
                <w:b w:val="0"/>
                <w:i w:val="0"/>
                <w:color w:val="1E252B"/>
                <w:sz w:val="16"/>
              </w:rPr>
              <w:t>Section 10: invariants, end-to-end scenarios, security, performance, time, retrieval tests, and success metrics</w:t>
            </w:r>
          </w:p>
        </w:tc>
      </w:tr>
      <w:tr>
        <w:tc>
          <w:tcPr>
            <w:tcW w:type="dxa" w:w="2450"/>
            <w:vAlign w:val="center"/>
            <w:tcMar>
              <w:top w:w="90" w:type="dxa"/>
              <w:left w:w="120" w:type="dxa"/>
              <w:bottom w:w="90" w:type="dxa"/>
              <w:right w:w="120" w:type="dxa"/>
            </w:tcMar>
          </w:tcPr>
          <w:p>
            <w:pPr>
              <w:spacing w:after="0" w:line="259" w:lineRule="auto"/>
            </w:pPr>
            <w:r>
              <w:rPr>
                <w:rFonts w:ascii="Aptos" w:hAnsi="Aptos"/>
                <w:b w:val="0"/>
                <w:i w:val="0"/>
                <w:color w:val="1E252B"/>
                <w:sz w:val="16"/>
              </w:rPr>
              <w:t>How should an AI remember it?</w:t>
            </w:r>
          </w:p>
        </w:tc>
        <w:tc>
          <w:tcPr>
            <w:tcW w:type="dxa" w:w="6910"/>
            <w:vAlign w:val="center"/>
            <w:tcMar>
              <w:top w:w="90" w:type="dxa"/>
              <w:left w:w="120" w:type="dxa"/>
              <w:bottom w:w="90" w:type="dxa"/>
              <w:right w:w="120" w:type="dxa"/>
            </w:tcMar>
          </w:tcPr>
          <w:p>
            <w:pPr>
              <w:spacing w:after="0" w:line="259" w:lineRule="auto"/>
            </w:pPr>
            <w:r>
              <w:rPr>
                <w:rFonts w:ascii="Aptos" w:hAnsi="Aptos"/>
                <w:b w:val="0"/>
                <w:i w:val="0"/>
                <w:color w:val="1E252B"/>
                <w:sz w:val="16"/>
              </w:rPr>
              <w:t>Sections 11–14: unresolved policy, retrieval rules, answer contract, memory governance, canonical statements, and glossary</w:t>
            </w:r>
          </w:p>
        </w:tc>
      </w:tr>
      <w:tr>
        <w:tc>
          <w:tcPr>
            <w:tcW w:type="dxa" w:w="2450"/>
            <w:vAlign w:val="center"/>
            <w:tcMar>
              <w:top w:w="90" w:type="dxa"/>
              <w:left w:w="120" w:type="dxa"/>
              <w:bottom w:w="90" w:type="dxa"/>
              <w:right w:w="120" w:type="dxa"/>
            </w:tcMar>
          </w:tcPr>
          <w:p>
            <w:pPr>
              <w:spacing w:after="0" w:line="259" w:lineRule="auto"/>
            </w:pPr>
            <w:r>
              <w:rPr>
                <w:rFonts w:ascii="Aptos" w:hAnsi="Aptos"/>
                <w:b w:val="0"/>
                <w:i w:val="0"/>
                <w:color w:val="1E252B"/>
                <w:sz w:val="16"/>
              </w:rPr>
              <w:t>What is the product specification?</w:t>
            </w:r>
          </w:p>
        </w:tc>
        <w:tc>
          <w:tcPr>
            <w:tcW w:type="dxa" w:w="6910"/>
            <w:vAlign w:val="center"/>
            <w:tcMar>
              <w:top w:w="90" w:type="dxa"/>
              <w:left w:w="120" w:type="dxa"/>
              <w:bottom w:w="90" w:type="dxa"/>
              <w:right w:w="120" w:type="dxa"/>
            </w:tcMar>
          </w:tcPr>
          <w:p>
            <w:pPr>
              <w:spacing w:after="0" w:line="259" w:lineRule="auto"/>
            </w:pPr>
            <w:r>
              <w:rPr>
                <w:rFonts w:ascii="Aptos" w:hAnsi="Aptos"/>
                <w:b w:val="0"/>
                <w:i w:val="0"/>
                <w:color w:val="1E252B"/>
                <w:sz w:val="16"/>
              </w:rPr>
              <w:t>Section 15: personas, functional requirements, screens, data and service contracts, business rules, quality attributes, and acceptance traceability</w:t>
            </w:r>
          </w:p>
        </w:tc>
      </w:tr>
    </w:tbl>
    <w:p>
      <w:pPr>
        <w:spacing w:after="60"/>
      </w:pPr>
    </w:p>
    <w:p>
      <w:pPr>
        <w:pStyle w:val="Heading1"/>
        <w:keepNext/>
      </w:pPr>
      <w:r>
        <w:rPr>
          <w:rFonts w:ascii="Aptos" w:hAnsi="Aptos"/>
          <w:b/>
          <w:i w:val="0"/>
          <w:color w:val="1C766C"/>
          <w:sz w:val="34"/>
        </w:rPr>
        <w:t>1. Core Intent and Non-Negotiable Rules</w:t>
      </w:r>
    </w:p>
    <w:p>
      <w:pPr>
        <w:spacing w:after="120" w:line="283" w:lineRule="auto"/>
      </w:pPr>
      <w:r>
        <w:rPr>
          <w:rFonts w:ascii="Aptos" w:hAnsi="Aptos"/>
          <w:b w:val="0"/>
          <w:i w:val="0"/>
          <w:color w:val="1E252B"/>
          <w:sz w:val="21"/>
        </w:rPr>
        <w:t>The system accepts a scheduling request, structures clinically relevant scheduling context, searches a rolling annual horizon, and returns feasible provider-and-timeslot options for human review. New patients and new requests may be added continuously without rebuilding the full schedule.</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20344A"/>
            <w:vAlign w:val="center"/>
            <w:tcMar>
              <w:top w:w="90" w:type="dxa"/>
              <w:left w:w="120" w:type="dxa"/>
              <w:bottom w:w="90" w:type="dxa"/>
              <w:right w:w="120" w:type="dxa"/>
            </w:tcMar>
          </w:tcPr>
          <w:p>
            <w:pPr>
              <w:spacing w:after="0"/>
              <w:jc w:val="center"/>
            </w:pPr>
            <w:r>
              <w:rPr>
                <w:rFonts w:ascii="Aptos" w:hAnsi="Aptos"/>
                <w:b/>
                <w:i w:val="0"/>
                <w:color w:val="FFFFFF"/>
                <w:sz w:val="18"/>
              </w:rPr>
              <w:t>Rule</w:t>
            </w:r>
          </w:p>
        </w:tc>
        <w:tc>
          <w:tcPr>
            <w:tcW w:type="dxa" w:w="6860"/>
            <w:shd w:fill="20344A"/>
            <w:vAlign w:val="center"/>
            <w:tcMar>
              <w:top w:w="90" w:type="dxa"/>
              <w:left w:w="120" w:type="dxa"/>
              <w:bottom w:w="90" w:type="dxa"/>
              <w:right w:w="120" w:type="dxa"/>
            </w:tcMar>
          </w:tcPr>
          <w:p>
            <w:pPr>
              <w:spacing w:after="0"/>
              <w:jc w:val="center"/>
            </w:pPr>
            <w:r>
              <w:rPr>
                <w:rFonts w:ascii="Aptos" w:hAnsi="Aptos"/>
                <w:b/>
                <w:i w:val="0"/>
                <w:color w:val="FFFFFF"/>
                <w:sz w:val="18"/>
              </w:rPr>
              <w:t>Meaning</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Operational out of the box</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Versioned reference defaults support scheduling before any local historical data exists; the deploying practice validates or edits them before real-patient use.</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Human-controlled booking</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Recommendations do not become appointments until an authorized user confirms one.</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Locked confirmed appointments</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A booked appointment remains fixed unless an authorized user explicitly approves an exact replacement.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No silent rescheduling</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Optimization may work around existing bookings but may not move them as a side effect.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Hard constraints first</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Provider qualification, hours, room, equipment, phase order, and collision rules cannot be traded for a better score.</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Local-only inference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Patient-related text never needs to leave the controlled on-premises environment.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Explainable output</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Each option identifies provider, start/end time, resource plan, and the factors that influenced rank.</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Transactional confirmation</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Feasibility is rechecked at booking time to prevent stale or concurrent recommendations from causing conflicts.</w:t>
            </w:r>
          </w:p>
        </w:tc>
      </w:tr>
    </w:tbl>
    <w:p>
      <w:pPr>
        <w:spacing w:after="60"/>
      </w:pPr>
    </w:p>
    <w:p>
      <w:pPr>
        <w:spacing w:before="60" w:after="160" w:line="283" w:lineRule="auto"/>
        <w:ind w:left="173" w:right="173"/>
        <w:shd w:fill="FFF6E3"/>
        <w:pBdr>
          <w:left w:val="single" w:sz="18" w:space="6" w:color="9A6500"/>
        </w:pBdr>
      </w:pPr>
      <w:r>
        <w:rPr>
          <w:rFonts w:ascii="Aptos" w:hAnsi="Aptos"/>
          <w:b/>
          <w:i w:val="0"/>
          <w:color w:val="9A6500"/>
          <w:sz w:val="21"/>
        </w:rPr>
        <w:t xml:space="preserve">Primary safety invariant: </w:t>
      </w:r>
      <w:r>
        <w:rPr>
          <w:rFonts w:ascii="Aptos" w:hAnsi="Aptos"/>
          <w:b w:val="0"/>
          <w:i w:val="0"/>
          <w:color w:val="1E252B"/>
          <w:sz w:val="21"/>
        </w:rPr>
        <w:t>A confirmed appointment can change only through a permissioned rescheduling transaction tied to the exact old and new values, the actor, the reason, and an audit record.</w:t>
      </w:r>
    </w:p>
    <w:p>
      <w:pPr>
        <w:pStyle w:val="Heading1"/>
        <w:keepNext/>
      </w:pPr>
      <w:r>
        <w:rPr>
          <w:rFonts w:ascii="Aptos" w:hAnsi="Aptos"/>
          <w:b/>
          <w:i w:val="0"/>
          <w:color w:val="1C766C"/>
          <w:sz w:val="34"/>
        </w:rPr>
        <w:t>2. Conceptual Architecture</w:t>
      </w:r>
    </w:p>
    <w:tbl>
      <w:tblPr>
        <w:tblStyle w:val="TableGrid"/>
        <w:tblW w:type="dxa" w:w="9360"/>
        <w:jc w:val="left"/>
        <w:tblLayout w:type="fixed"/>
        <w:tblLook w:firstColumn="1" w:firstRow="1" w:lastColumn="0" w:lastRow="0" w:noHBand="0" w:noVBand="1" w:val="04A0"/>
        <w:tblInd w:type="dxa" w:w="120"/>
      </w:tblPr>
      <w:tblGrid>
        <w:gridCol w:w="1800"/>
        <w:gridCol w:w="4100"/>
        <w:gridCol w:w="3460"/>
      </w:tblGrid>
      <w:tr>
        <w:trPr>
          <w:tblHeader w:val="true"/>
        </w:trPr>
        <w:tc>
          <w:tcPr>
            <w:tcW w:type="dxa" w:w="1800"/>
            <w:shd w:fill="20344A"/>
            <w:vAlign w:val="center"/>
            <w:tcMar>
              <w:top w:w="90" w:type="dxa"/>
              <w:left w:w="120" w:type="dxa"/>
              <w:bottom w:w="90" w:type="dxa"/>
              <w:right w:w="120" w:type="dxa"/>
            </w:tcMar>
          </w:tcPr>
          <w:p>
            <w:pPr>
              <w:spacing w:after="0"/>
              <w:jc w:val="center"/>
            </w:pPr>
            <w:r>
              <w:rPr>
                <w:rFonts w:ascii="Aptos" w:hAnsi="Aptos"/>
                <w:b/>
                <w:i w:val="0"/>
                <w:color w:val="FFFFFF"/>
                <w:sz w:val="17"/>
              </w:rPr>
              <w:t>Layer</w:t>
            </w:r>
          </w:p>
        </w:tc>
        <w:tc>
          <w:tcPr>
            <w:tcW w:type="dxa" w:w="4100"/>
            <w:shd w:fill="20344A"/>
            <w:vAlign w:val="center"/>
            <w:tcMar>
              <w:top w:w="90" w:type="dxa"/>
              <w:left w:w="120" w:type="dxa"/>
              <w:bottom w:w="90" w:type="dxa"/>
              <w:right w:w="120" w:type="dxa"/>
            </w:tcMar>
          </w:tcPr>
          <w:p>
            <w:pPr>
              <w:spacing w:after="0"/>
              <w:jc w:val="center"/>
            </w:pPr>
            <w:r>
              <w:rPr>
                <w:rFonts w:ascii="Aptos" w:hAnsi="Aptos"/>
                <w:b/>
                <w:i w:val="0"/>
                <w:color w:val="FFFFFF"/>
                <w:sz w:val="17"/>
              </w:rPr>
              <w:t>Responsibility</w:t>
            </w:r>
          </w:p>
        </w:tc>
        <w:tc>
          <w:tcPr>
            <w:tcW w:type="dxa" w:w="3460"/>
            <w:shd w:fill="20344A"/>
            <w:vAlign w:val="center"/>
            <w:tcMar>
              <w:top w:w="90" w:type="dxa"/>
              <w:left w:w="120" w:type="dxa"/>
              <w:bottom w:w="90" w:type="dxa"/>
              <w:right w:w="120" w:type="dxa"/>
            </w:tcMar>
          </w:tcPr>
          <w:p>
            <w:pPr>
              <w:spacing w:after="0"/>
              <w:jc w:val="center"/>
            </w:pPr>
            <w:r>
              <w:rPr>
                <w:rFonts w:ascii="Aptos" w:hAnsi="Aptos"/>
                <w:b/>
                <w:i w:val="0"/>
                <w:color w:val="FFFFFF"/>
                <w:sz w:val="17"/>
              </w:rPr>
              <w:t>Must not do</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User interface</w:t>
            </w:r>
          </w:p>
        </w:tc>
        <w:tc>
          <w:tcPr>
            <w:tcW w:type="dxa" w:w="4100"/>
            <w:vAlign w:val="center"/>
            <w:tcMar>
              <w:top w:w="90" w:type="dxa"/>
              <w:left w:w="120" w:type="dxa"/>
              <w:bottom w:w="90" w:type="dxa"/>
              <w:right w:w="120" w:type="dxa"/>
            </w:tcMar>
          </w:tcPr>
          <w:p>
            <w:pPr>
              <w:spacing w:after="0" w:line="259" w:lineRule="auto"/>
            </w:pPr>
            <w:r>
              <w:rPr>
                <w:rFonts w:ascii="Aptos" w:hAnsi="Aptos"/>
                <w:b w:val="0"/>
                <w:i w:val="0"/>
                <w:color w:val="1E252B"/>
                <w:sz w:val="16"/>
              </w:rPr>
              <w:t>Collect scheduling inputs, display options, request confirmations, and show operational status</w:t>
            </w:r>
          </w:p>
        </w:tc>
        <w:tc>
          <w:tcPr>
            <w:tcW w:type="dxa" w:w="3460"/>
            <w:vAlign w:val="center"/>
            <w:tcMar>
              <w:top w:w="90" w:type="dxa"/>
              <w:left w:w="120" w:type="dxa"/>
              <w:bottom w:w="90" w:type="dxa"/>
              <w:right w:w="120" w:type="dxa"/>
            </w:tcMar>
          </w:tcPr>
          <w:p>
            <w:pPr>
              <w:spacing w:after="0" w:line="259" w:lineRule="auto"/>
            </w:pPr>
            <w:r>
              <w:rPr>
                <w:rFonts w:ascii="Aptos" w:hAnsi="Aptos"/>
                <w:b w:val="0"/>
                <w:i w:val="0"/>
                <w:color w:val="1E252B"/>
                <w:sz w:val="16"/>
              </w:rPr>
              <w:t>Bypass server validation or imply that a recommendation is booked</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Application service</w:t>
            </w:r>
          </w:p>
        </w:tc>
        <w:tc>
          <w:tcPr>
            <w:tcW w:type="dxa" w:w="4100"/>
            <w:vAlign w:val="center"/>
            <w:tcMar>
              <w:top w:w="90" w:type="dxa"/>
              <w:left w:w="120" w:type="dxa"/>
              <w:bottom w:w="90" w:type="dxa"/>
              <w:right w:w="120" w:type="dxa"/>
            </w:tcMar>
          </w:tcPr>
          <w:p>
            <w:pPr>
              <w:spacing w:after="0" w:line="259" w:lineRule="auto"/>
            </w:pPr>
            <w:r>
              <w:rPr>
                <w:rFonts w:ascii="Aptos" w:hAnsi="Aptos"/>
                <w:b w:val="0"/>
                <w:i w:val="0"/>
                <w:color w:val="1E252B"/>
                <w:sz w:val="16"/>
              </w:rPr>
              <w:t>Authenticate, authorize, validate, coordinate workflows, and minimize data movement</w:t>
            </w:r>
          </w:p>
        </w:tc>
        <w:tc>
          <w:tcPr>
            <w:tcW w:type="dxa" w:w="3460"/>
            <w:vAlign w:val="center"/>
            <w:tcMar>
              <w:top w:w="90" w:type="dxa"/>
              <w:left w:w="120" w:type="dxa"/>
              <w:bottom w:w="90" w:type="dxa"/>
              <w:right w:w="120" w:type="dxa"/>
            </w:tcMar>
          </w:tcPr>
          <w:p>
            <w:pPr>
              <w:spacing w:after="0" w:line="259" w:lineRule="auto"/>
            </w:pPr>
            <w:r>
              <w:rPr>
                <w:rFonts w:ascii="Aptos" w:hAnsi="Aptos"/>
                <w:b w:val="0"/>
                <w:i w:val="0"/>
                <w:color w:val="1E252B"/>
                <w:sz w:val="16"/>
              </w:rPr>
              <w:t>Trust client-submitted resource plans without rechecking</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Local language model</w:t>
            </w:r>
          </w:p>
        </w:tc>
        <w:tc>
          <w:tcPr>
            <w:tcW w:type="dxa" w:w="4100"/>
            <w:vAlign w:val="center"/>
            <w:tcMar>
              <w:top w:w="90" w:type="dxa"/>
              <w:left w:w="120" w:type="dxa"/>
              <w:bottom w:w="90" w:type="dxa"/>
              <w:right w:w="120" w:type="dxa"/>
            </w:tcMar>
          </w:tcPr>
          <w:p>
            <w:pPr>
              <w:spacing w:after="0" w:line="259" w:lineRule="auto"/>
            </w:pPr>
            <w:r>
              <w:rPr>
                <w:rFonts w:ascii="Aptos" w:hAnsi="Aptos"/>
                <w:b w:val="0"/>
                <w:i w:val="0"/>
                <w:color w:val="1E252B"/>
                <w:sz w:val="16"/>
              </w:rPr>
              <w:t>Map free text to an approved scheduling vocabulary and confidence</w:t>
            </w:r>
          </w:p>
        </w:tc>
        <w:tc>
          <w:tcPr>
            <w:tcW w:type="dxa" w:w="3460"/>
            <w:vAlign w:val="center"/>
            <w:tcMar>
              <w:top w:w="90" w:type="dxa"/>
              <w:left w:w="120" w:type="dxa"/>
              <w:bottom w:w="90" w:type="dxa"/>
              <w:right w:w="120" w:type="dxa"/>
            </w:tcMar>
          </w:tcPr>
          <w:p>
            <w:pPr>
              <w:spacing w:after="0" w:line="259" w:lineRule="auto"/>
            </w:pPr>
            <w:r>
              <w:rPr>
                <w:rFonts w:ascii="Aptos" w:hAnsi="Aptos"/>
                <w:b w:val="0"/>
                <w:i w:val="0"/>
                <w:color w:val="1E252B"/>
                <w:sz w:val="16"/>
              </w:rPr>
              <w:t>Diagnose, prescribe, select a provider, or write appointments</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Rule normalizer</w:t>
            </w:r>
          </w:p>
        </w:tc>
        <w:tc>
          <w:tcPr>
            <w:tcW w:type="dxa" w:w="4100"/>
            <w:vAlign w:val="center"/>
            <w:tcMar>
              <w:top w:w="90" w:type="dxa"/>
              <w:left w:w="120" w:type="dxa"/>
              <w:bottom w:w="90" w:type="dxa"/>
              <w:right w:w="120" w:type="dxa"/>
            </w:tcMar>
          </w:tcPr>
          <w:p>
            <w:pPr>
              <w:spacing w:after="0" w:line="259" w:lineRule="auto"/>
            </w:pPr>
            <w:r>
              <w:rPr>
                <w:rFonts w:ascii="Aptos" w:hAnsi="Aptos"/>
                <w:b w:val="0"/>
                <w:i w:val="0"/>
                <w:color w:val="1E252B"/>
                <w:sz w:val="16"/>
              </w:rPr>
              <w:t>Apply deterministic keyword rules, allowlists, and priority policy</w:t>
            </w:r>
          </w:p>
        </w:tc>
        <w:tc>
          <w:tcPr>
            <w:tcW w:type="dxa" w:w="3460"/>
            <w:vAlign w:val="center"/>
            <w:tcMar>
              <w:top w:w="90" w:type="dxa"/>
              <w:left w:w="120" w:type="dxa"/>
              <w:bottom w:w="90" w:type="dxa"/>
              <w:right w:w="120" w:type="dxa"/>
            </w:tcMar>
          </w:tcPr>
          <w:p>
            <w:pPr>
              <w:spacing w:after="0" w:line="259" w:lineRule="auto"/>
            </w:pPr>
            <w:r>
              <w:rPr>
                <w:rFonts w:ascii="Aptos" w:hAnsi="Aptos"/>
                <w:b w:val="0"/>
                <w:i w:val="0"/>
                <w:color w:val="1E252B"/>
                <w:sz w:val="16"/>
              </w:rPr>
              <w:t>Accept unapproved labels</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Constraint optimizer</w:t>
            </w:r>
          </w:p>
        </w:tc>
        <w:tc>
          <w:tcPr>
            <w:tcW w:type="dxa" w:w="4100"/>
            <w:vAlign w:val="center"/>
            <w:tcMar>
              <w:top w:w="90" w:type="dxa"/>
              <w:left w:w="120" w:type="dxa"/>
              <w:bottom w:w="90" w:type="dxa"/>
              <w:right w:w="120" w:type="dxa"/>
            </w:tcMar>
          </w:tcPr>
          <w:p>
            <w:pPr>
              <w:spacing w:after="0" w:line="259" w:lineRule="auto"/>
            </w:pPr>
            <w:r>
              <w:rPr>
                <w:rFonts w:ascii="Aptos" w:hAnsi="Aptos"/>
                <w:b w:val="0"/>
                <w:i w:val="0"/>
                <w:color w:val="1E252B"/>
                <w:sz w:val="16"/>
              </w:rPr>
              <w:t>Generate and rank feasible candidates over the planning horizon</w:t>
            </w:r>
          </w:p>
        </w:tc>
        <w:tc>
          <w:tcPr>
            <w:tcW w:type="dxa" w:w="3460"/>
            <w:vAlign w:val="center"/>
            <w:tcMar>
              <w:top w:w="90" w:type="dxa"/>
              <w:left w:w="120" w:type="dxa"/>
              <w:bottom w:w="90" w:type="dxa"/>
              <w:right w:w="120" w:type="dxa"/>
            </w:tcMar>
          </w:tcPr>
          <w:p>
            <w:pPr>
              <w:spacing w:after="0" w:line="259" w:lineRule="auto"/>
            </w:pPr>
            <w:r>
              <w:rPr>
                <w:rFonts w:ascii="Aptos" w:hAnsi="Aptos"/>
                <w:b w:val="0"/>
                <w:i w:val="0"/>
                <w:color w:val="1E252B"/>
                <w:sz w:val="16"/>
              </w:rPr>
              <w:t>Move locked appointments or relax hard constraints</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Transactional datastore</w:t>
            </w:r>
          </w:p>
        </w:tc>
        <w:tc>
          <w:tcPr>
            <w:tcW w:type="dxa" w:w="4100"/>
            <w:vAlign w:val="center"/>
            <w:tcMar>
              <w:top w:w="90" w:type="dxa"/>
              <w:left w:w="120" w:type="dxa"/>
              <w:bottom w:w="90" w:type="dxa"/>
              <w:right w:w="120" w:type="dxa"/>
            </w:tcMar>
          </w:tcPr>
          <w:p>
            <w:pPr>
              <w:spacing w:after="0" w:line="259" w:lineRule="auto"/>
            </w:pPr>
            <w:r>
              <w:rPr>
                <w:rFonts w:ascii="Aptos" w:hAnsi="Aptos"/>
                <w:b w:val="0"/>
                <w:i w:val="0"/>
                <w:color w:val="1E252B"/>
                <w:sz w:val="16"/>
              </w:rPr>
              <w:t>Persist schedules, enforce collisions and state changes, and retain audit evidence</w:t>
            </w:r>
          </w:p>
        </w:tc>
        <w:tc>
          <w:tcPr>
            <w:tcW w:type="dxa" w:w="3460"/>
            <w:vAlign w:val="center"/>
            <w:tcMar>
              <w:top w:w="90" w:type="dxa"/>
              <w:left w:w="120" w:type="dxa"/>
              <w:bottom w:w="90" w:type="dxa"/>
              <w:right w:w="120" w:type="dxa"/>
            </w:tcMar>
          </w:tcPr>
          <w:p>
            <w:pPr>
              <w:spacing w:after="0" w:line="259" w:lineRule="auto"/>
            </w:pPr>
            <w:r>
              <w:rPr>
                <w:rFonts w:ascii="Aptos" w:hAnsi="Aptos"/>
                <w:b w:val="0"/>
                <w:i w:val="0"/>
                <w:color w:val="1E252B"/>
                <w:sz w:val="16"/>
              </w:rPr>
              <w:t>Allow contradictory active reservations</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Local inference runtime</w:t>
            </w:r>
          </w:p>
        </w:tc>
        <w:tc>
          <w:tcPr>
            <w:tcW w:type="dxa" w:w="4100"/>
            <w:vAlign w:val="center"/>
            <w:tcMar>
              <w:top w:w="90" w:type="dxa"/>
              <w:left w:w="120" w:type="dxa"/>
              <w:bottom w:w="90" w:type="dxa"/>
              <w:right w:w="120" w:type="dxa"/>
            </w:tcMar>
          </w:tcPr>
          <w:p>
            <w:pPr>
              <w:spacing w:after="0" w:line="259" w:lineRule="auto"/>
            </w:pPr>
            <w:r>
              <w:rPr>
                <w:rFonts w:ascii="Aptos" w:hAnsi="Aptos"/>
                <w:b w:val="0"/>
                <w:i w:val="0"/>
                <w:color w:val="1E252B"/>
                <w:sz w:val="16"/>
              </w:rPr>
              <w:t>Serve the approved model without an external network dependency</w:t>
            </w:r>
          </w:p>
        </w:tc>
        <w:tc>
          <w:tcPr>
            <w:tcW w:type="dxa" w:w="3460"/>
            <w:vAlign w:val="center"/>
            <w:tcMar>
              <w:top w:w="90" w:type="dxa"/>
              <w:left w:w="120" w:type="dxa"/>
              <w:bottom w:w="90" w:type="dxa"/>
              <w:right w:w="120" w:type="dxa"/>
            </w:tcMar>
          </w:tcPr>
          <w:p>
            <w:pPr>
              <w:spacing w:after="0" w:line="259" w:lineRule="auto"/>
            </w:pPr>
            <w:r>
              <w:rPr>
                <w:rFonts w:ascii="Aptos" w:hAnsi="Aptos"/>
                <w:b w:val="0"/>
                <w:i w:val="0"/>
                <w:color w:val="1E252B"/>
                <w:sz w:val="16"/>
              </w:rPr>
              <w:t>Download models or transmit telemetry during use</w:t>
            </w:r>
          </w:p>
        </w:tc>
      </w:tr>
    </w:tbl>
    <w:p>
      <w:pPr>
        <w:spacing w:after="60"/>
      </w:pPr>
    </w:p>
    <w:p>
      <w:pPr>
        <w:pStyle w:val="Heading2"/>
        <w:keepNext/>
      </w:pPr>
      <w:r>
        <w:rPr>
          <w:rFonts w:ascii="Aptos" w:hAnsi="Aptos"/>
          <w:b/>
          <w:i w:val="0"/>
          <w:color w:val="1C766C"/>
          <w:sz w:val="26"/>
        </w:rPr>
        <w:t>Decision Authority</w:t>
      </w:r>
    </w:p>
    <w:p>
      <w:pPr>
        <w:pStyle w:val="ListNumber"/>
        <w:spacing w:after="80" w:line="276" w:lineRule="auto"/>
        <w:ind w:left="547" w:hanging="274"/>
      </w:pPr>
      <w:r>
        <w:rPr>
          <w:rFonts w:ascii="Aptos" w:hAnsi="Aptos"/>
          <w:b w:val="0"/>
          <w:i w:val="0"/>
          <w:color w:val="1E252B"/>
          <w:sz w:val="21"/>
        </w:rPr>
        <w:t>The language model proposes normalized tags only.</w:t>
      </w:r>
    </w:p>
    <w:p>
      <w:pPr>
        <w:pStyle w:val="ListNumber"/>
        <w:spacing w:after="80" w:line="276" w:lineRule="auto"/>
        <w:ind w:left="547" w:hanging="274"/>
      </w:pPr>
      <w:r>
        <w:rPr>
          <w:rFonts w:ascii="Aptos" w:hAnsi="Aptos"/>
          <w:b w:val="0"/>
          <w:i w:val="0"/>
          <w:color w:val="1E252B"/>
          <w:sz w:val="21"/>
        </w:rPr>
        <w:t>Deterministic rules validate tags and calculate scheduling priority.</w:t>
      </w:r>
    </w:p>
    <w:p>
      <w:pPr>
        <w:pStyle w:val="ListNumber"/>
        <w:spacing w:after="80" w:line="276" w:lineRule="auto"/>
        <w:ind w:left="547" w:hanging="274"/>
      </w:pPr>
      <w:r>
        <w:rPr>
          <w:rFonts w:ascii="Aptos" w:hAnsi="Aptos"/>
          <w:b w:val="0"/>
          <w:i w:val="0"/>
          <w:color w:val="1E252B"/>
          <w:sz w:val="21"/>
        </w:rPr>
        <w:t>The optimizer proposes feasible candidates from a consistent data snapshot.</w:t>
      </w:r>
    </w:p>
    <w:p>
      <w:pPr>
        <w:pStyle w:val="ListNumber"/>
        <w:spacing w:after="80" w:line="276" w:lineRule="auto"/>
        <w:ind w:left="547" w:hanging="274"/>
      </w:pPr>
      <w:r>
        <w:rPr>
          <w:rFonts w:ascii="Aptos" w:hAnsi="Aptos"/>
          <w:b w:val="0"/>
          <w:i w:val="0"/>
          <w:color w:val="1E252B"/>
          <w:sz w:val="21"/>
        </w:rPr>
        <w:t>The database transaction is the final authority on whether a candidate can be booked.</w:t>
      </w:r>
    </w:p>
    <w:p>
      <w:pPr>
        <w:pStyle w:val="ListNumber"/>
        <w:spacing w:after="80" w:line="276" w:lineRule="auto"/>
        <w:ind w:left="547" w:hanging="274"/>
      </w:pPr>
      <w:r>
        <w:rPr>
          <w:rFonts w:ascii="Aptos" w:hAnsi="Aptos"/>
          <w:b w:val="0"/>
          <w:i w:val="0"/>
          <w:color w:val="1E252B"/>
          <w:sz w:val="21"/>
        </w:rPr>
        <w:t>An authorized human is the final authority for confirmation and rescheduling consent.</w:t>
      </w:r>
    </w:p>
    <w:p>
      <w:pPr>
        <w:pStyle w:val="Heading1"/>
        <w:keepNext/>
      </w:pPr>
      <w:r>
        <w:rPr>
          <w:rFonts w:ascii="Aptos" w:hAnsi="Aptos"/>
          <w:b/>
          <w:i w:val="0"/>
          <w:color w:val="1C766C"/>
          <w:sz w:val="34"/>
        </w:rPr>
        <w:t>3. The Local AI Model</w:t>
      </w:r>
    </w:p>
    <w:p>
      <w:pPr>
        <w:pStyle w:val="Heading2"/>
        <w:keepNext/>
      </w:pPr>
      <w:r>
        <w:rPr>
          <w:rFonts w:ascii="Aptos" w:hAnsi="Aptos"/>
          <w:b/>
          <w:i w:val="0"/>
          <w:color w:val="1C766C"/>
          <w:sz w:val="26"/>
        </w:rPr>
        <w:t>3.1 Model Class and Role</w:t>
      </w:r>
    </w:p>
    <w:p>
      <w:pPr>
        <w:spacing w:after="120" w:line="283" w:lineRule="auto"/>
      </w:pPr>
      <w:r>
        <w:rPr>
          <w:rFonts w:ascii="Aptos" w:hAnsi="Aptos"/>
          <w:b w:val="0"/>
          <w:i w:val="0"/>
          <w:color w:val="1E252B"/>
          <w:sz w:val="21"/>
        </w:rPr>
        <w:t>Use a locally hosted, pretrained instruction-following small language model whose artifact has been approved and pinned by the deployment owner. Its narrow role is intake normalization: turn unstructured condition/context text into a small set of approved scheduling tags and a confidence value. The exact model family and artifact are deployment choices, not assumptions embedded in this memory bank.</w:t>
      </w:r>
    </w:p>
    <w:p>
      <w:pPr>
        <w:pStyle w:val="Heading2"/>
        <w:keepNext/>
      </w:pPr>
      <w:r>
        <w:rPr>
          <w:rFonts w:ascii="Aptos" w:hAnsi="Aptos"/>
          <w:b/>
          <w:i w:val="0"/>
          <w:color w:val="1C766C"/>
          <w:sz w:val="26"/>
        </w:rPr>
        <w:t>3.2 Model Inputs and Outputs</w:t>
      </w:r>
    </w:p>
    <w:tbl>
      <w:tblPr>
        <w:tblStyle w:val="TableGrid"/>
        <w:tblW w:type="dxa" w:w="9360"/>
        <w:jc w:val="left"/>
        <w:tblLayout w:type="fixed"/>
        <w:tblLook w:firstColumn="1" w:firstRow="1" w:lastColumn="0" w:lastRow="0" w:noHBand="0" w:noVBand="1" w:val="04A0"/>
        <w:tblInd w:type="dxa" w:w="120"/>
      </w:tblPr>
      <w:tblGrid>
        <w:gridCol w:w="1400"/>
        <w:gridCol w:w="2500"/>
        <w:gridCol w:w="5460"/>
      </w:tblGrid>
      <w:tr>
        <w:trPr>
          <w:tblHeader w:val="true"/>
        </w:trPr>
        <w:tc>
          <w:tcPr>
            <w:tcW w:type="dxa" w:w="1400"/>
            <w:shd w:fill="20344A"/>
            <w:vAlign w:val="center"/>
            <w:tcMar>
              <w:top w:w="90" w:type="dxa"/>
              <w:left w:w="120" w:type="dxa"/>
              <w:bottom w:w="90" w:type="dxa"/>
              <w:right w:w="120" w:type="dxa"/>
            </w:tcMar>
          </w:tcPr>
          <w:p>
            <w:pPr>
              <w:spacing w:after="0"/>
              <w:jc w:val="center"/>
            </w:pPr>
            <w:r>
              <w:rPr>
                <w:rFonts w:ascii="Aptos" w:hAnsi="Aptos"/>
                <w:b/>
                <w:i w:val="0"/>
                <w:color w:val="FFFFFF"/>
                <w:sz w:val="18"/>
              </w:rPr>
              <w:t>Direction</w:t>
            </w:r>
          </w:p>
        </w:tc>
        <w:tc>
          <w:tcPr>
            <w:tcW w:type="dxa" w:w="2500"/>
            <w:shd w:fill="20344A"/>
            <w:vAlign w:val="center"/>
            <w:tcMar>
              <w:top w:w="90" w:type="dxa"/>
              <w:left w:w="120" w:type="dxa"/>
              <w:bottom w:w="90" w:type="dxa"/>
              <w:right w:w="120" w:type="dxa"/>
            </w:tcMar>
          </w:tcPr>
          <w:p>
            <w:pPr>
              <w:spacing w:after="0"/>
              <w:jc w:val="center"/>
            </w:pPr>
            <w:r>
              <w:rPr>
                <w:rFonts w:ascii="Aptos" w:hAnsi="Aptos"/>
                <w:b/>
                <w:i w:val="0"/>
                <w:color w:val="FFFFFF"/>
                <w:sz w:val="18"/>
              </w:rPr>
              <w:t>Field</w:t>
            </w:r>
          </w:p>
        </w:tc>
        <w:tc>
          <w:tcPr>
            <w:tcW w:type="dxa" w:w="5460"/>
            <w:shd w:fill="20344A"/>
            <w:vAlign w:val="center"/>
            <w:tcMar>
              <w:top w:w="90" w:type="dxa"/>
              <w:left w:w="120" w:type="dxa"/>
              <w:bottom w:w="90" w:type="dxa"/>
              <w:right w:w="120" w:type="dxa"/>
            </w:tcMar>
          </w:tcPr>
          <w:p>
            <w:pPr>
              <w:spacing w:after="0"/>
              <w:jc w:val="center"/>
            </w:pPr>
            <w:r>
              <w:rPr>
                <w:rFonts w:ascii="Aptos" w:hAnsi="Aptos"/>
                <w:b/>
                <w:i w:val="0"/>
                <w:color w:val="FFFFFF"/>
                <w:sz w:val="18"/>
              </w:rPr>
              <w:t>Guidance</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8"/>
              </w:rPr>
              <w:t>Input</w:t>
            </w:r>
          </w:p>
        </w:tc>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Condition/context text</w:t>
            </w:r>
          </w:p>
        </w:tc>
        <w:tc>
          <w:tcPr>
            <w:tcW w:type="dxa" w:w="5460"/>
            <w:vAlign w:val="center"/>
            <w:tcMar>
              <w:top w:w="90" w:type="dxa"/>
              <w:left w:w="120" w:type="dxa"/>
              <w:bottom w:w="90" w:type="dxa"/>
              <w:right w:w="120" w:type="dxa"/>
            </w:tcMar>
          </w:tcPr>
          <w:p>
            <w:pPr>
              <w:spacing w:after="0" w:line="259" w:lineRule="auto"/>
            </w:pPr>
            <w:r>
              <w:rPr>
                <w:rFonts w:ascii="Aptos" w:hAnsi="Aptos"/>
                <w:b w:val="0"/>
                <w:i w:val="0"/>
                <w:color w:val="1E252B"/>
                <w:sz w:val="18"/>
              </w:rPr>
              <w:t>Send only the minimum text necessary to identify scheduling implications.</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8"/>
              </w:rPr>
              <w:t>Input</w:t>
            </w:r>
          </w:p>
        </w:tc>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Approved tag vocabulary</w:t>
            </w:r>
          </w:p>
        </w:tc>
        <w:tc>
          <w:tcPr>
            <w:tcW w:type="dxa" w:w="5460"/>
            <w:vAlign w:val="center"/>
            <w:tcMar>
              <w:top w:w="90" w:type="dxa"/>
              <w:left w:w="120" w:type="dxa"/>
              <w:bottom w:w="90" w:type="dxa"/>
              <w:right w:w="120" w:type="dxa"/>
            </w:tcMar>
          </w:tcPr>
          <w:p>
            <w:pPr>
              <w:spacing w:after="0" w:line="259" w:lineRule="auto"/>
            </w:pPr>
            <w:r>
              <w:rPr>
                <w:rFonts w:ascii="Aptos" w:hAnsi="Aptos"/>
                <w:b w:val="0"/>
                <w:i w:val="0"/>
                <w:color w:val="1E252B"/>
                <w:sz w:val="18"/>
              </w:rPr>
              <w:t>Closed allowlist maintained under change control.</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8"/>
              </w:rPr>
              <w:t>Input</w:t>
            </w:r>
          </w:p>
        </w:tc>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Task instruction</w:t>
            </w:r>
          </w:p>
        </w:tc>
        <w:tc>
          <w:tcPr>
            <w:tcW w:type="dxa" w:w="5460"/>
            <w:vAlign w:val="center"/>
            <w:tcMar>
              <w:top w:w="90" w:type="dxa"/>
              <w:left w:w="120" w:type="dxa"/>
              <w:bottom w:w="90" w:type="dxa"/>
              <w:right w:w="120" w:type="dxa"/>
            </w:tcMar>
          </w:tcPr>
          <w:p>
            <w:pPr>
              <w:spacing w:after="0" w:line="259" w:lineRule="auto"/>
            </w:pPr>
            <w:r>
              <w:rPr>
                <w:rFonts w:ascii="Aptos" w:hAnsi="Aptos"/>
                <w:b w:val="0"/>
                <w:i w:val="0"/>
                <w:color w:val="1E252B"/>
                <w:sz w:val="18"/>
              </w:rPr>
              <w:t>Return structured data only; do not diagnose or recommend treatment.</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8"/>
              </w:rPr>
              <w:t>Output</w:t>
            </w:r>
          </w:p>
        </w:tc>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Normalized tags</w:t>
            </w:r>
          </w:p>
        </w:tc>
        <w:tc>
          <w:tcPr>
            <w:tcW w:type="dxa" w:w="5460"/>
            <w:vAlign w:val="center"/>
            <w:tcMar>
              <w:top w:w="90" w:type="dxa"/>
              <w:left w:w="120" w:type="dxa"/>
              <w:bottom w:w="90" w:type="dxa"/>
              <w:right w:w="120" w:type="dxa"/>
            </w:tcMar>
          </w:tcPr>
          <w:p>
            <w:pPr>
              <w:spacing w:after="0" w:line="259" w:lineRule="auto"/>
            </w:pPr>
            <w:r>
              <w:rPr>
                <w:rFonts w:ascii="Aptos" w:hAnsi="Aptos"/>
                <w:b w:val="0"/>
                <w:i w:val="0"/>
                <w:color w:val="1E252B"/>
                <w:sz w:val="18"/>
              </w:rPr>
              <w:t>Zero or more values from the approved allowlist; discard all others.</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8"/>
              </w:rPr>
              <w:t>Output</w:t>
            </w:r>
          </w:p>
        </w:tc>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Confidence</w:t>
            </w:r>
          </w:p>
        </w:tc>
        <w:tc>
          <w:tcPr>
            <w:tcW w:type="dxa" w:w="5460"/>
            <w:vAlign w:val="center"/>
            <w:tcMar>
              <w:top w:w="90" w:type="dxa"/>
              <w:left w:w="120" w:type="dxa"/>
              <w:bottom w:w="90" w:type="dxa"/>
              <w:right w:w="120" w:type="dxa"/>
            </w:tcMar>
          </w:tcPr>
          <w:p>
            <w:pPr>
              <w:spacing w:after="0" w:line="259" w:lineRule="auto"/>
            </w:pPr>
            <w:r>
              <w:rPr>
                <w:rFonts w:ascii="Aptos" w:hAnsi="Aptos"/>
                <w:b w:val="0"/>
                <w:i w:val="0"/>
                <w:color w:val="1E252B"/>
                <w:sz w:val="18"/>
              </w:rPr>
              <w:t>Numeric value clamped to the supported range.</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8"/>
              </w:rPr>
              <w:t>Output</w:t>
            </w:r>
          </w:p>
        </w:tc>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Optional rationale code</w:t>
            </w:r>
          </w:p>
        </w:tc>
        <w:tc>
          <w:tcPr>
            <w:tcW w:type="dxa" w:w="5460"/>
            <w:vAlign w:val="center"/>
            <w:tcMar>
              <w:top w:w="90" w:type="dxa"/>
              <w:left w:w="120" w:type="dxa"/>
              <w:bottom w:w="90" w:type="dxa"/>
              <w:right w:w="120" w:type="dxa"/>
            </w:tcMar>
          </w:tcPr>
          <w:p>
            <w:pPr>
              <w:spacing w:after="0" w:line="259" w:lineRule="auto"/>
            </w:pPr>
            <w:r>
              <w:rPr>
                <w:rFonts w:ascii="Aptos" w:hAnsi="Aptos"/>
                <w:b w:val="0"/>
                <w:i w:val="0"/>
                <w:color w:val="1E252B"/>
                <w:sz w:val="18"/>
              </w:rPr>
              <w:t>Short non-clinical reason suitable for staff review; avoid repeating sensitive text.</w:t>
            </w:r>
          </w:p>
        </w:tc>
      </w:tr>
    </w:tbl>
    <w:p>
      <w:pPr>
        <w:spacing w:after="60"/>
      </w:pPr>
    </w:p>
    <w:p>
      <w:pPr>
        <w:pStyle w:val="Heading2"/>
        <w:keepNext/>
      </w:pPr>
      <w:r>
        <w:rPr>
          <w:rFonts w:ascii="Aptos" w:hAnsi="Aptos"/>
          <w:b/>
          <w:i w:val="0"/>
          <w:color w:val="1C766C"/>
          <w:sz w:val="26"/>
        </w:rPr>
        <w:t>3.3 Example Scheduling Vocabulary</w:t>
      </w:r>
    </w:p>
    <w:p>
      <w:pPr>
        <w:spacing w:after="120" w:line="283" w:lineRule="auto"/>
      </w:pPr>
      <w:r>
        <w:rPr>
          <w:rFonts w:ascii="Aptos" w:hAnsi="Aptos"/>
          <w:b w:val="0"/>
          <w:i w:val="0"/>
          <w:color w:val="1E252B"/>
          <w:sz w:val="21"/>
        </w:rPr>
        <w:t>A deployment may use a compact vocabulary such as urgent symptoms, mobility/access support, anxiety accommodation, infection-control consideration, medical-complexity review, pediatric support, interpreter need, or extended-chair-time review. Terms must be approved by clinical and privacy owners and used only for scheduling support.</w:t>
      </w:r>
    </w:p>
    <w:p>
      <w:pPr>
        <w:spacing w:before="60" w:after="160" w:line="283" w:lineRule="auto"/>
        <w:ind w:left="173" w:right="173"/>
        <w:shd w:fill="FFF6E3"/>
        <w:pBdr>
          <w:left w:val="single" w:sz="18" w:space="6" w:color="9A6500"/>
        </w:pBdr>
      </w:pPr>
      <w:r>
        <w:rPr>
          <w:rFonts w:ascii="Aptos" w:hAnsi="Aptos"/>
          <w:b/>
          <w:i w:val="0"/>
          <w:color w:val="9A6500"/>
          <w:sz w:val="21"/>
        </w:rPr>
        <w:t xml:space="preserve">Clinical boundary: </w:t>
      </w:r>
      <w:r>
        <w:rPr>
          <w:rFonts w:ascii="Aptos" w:hAnsi="Aptos"/>
          <w:b w:val="0"/>
          <w:i w:val="0"/>
          <w:color w:val="1E252B"/>
          <w:sz w:val="21"/>
        </w:rPr>
        <w:t>The model does not establish a diagnosis, determine treatment, override triage policy, or decide that care is safe. Uncertain or high-risk context is routed to qualified staff.</w:t>
      </w:r>
    </w:p>
    <w:p>
      <w:pPr>
        <w:pStyle w:val="Heading2"/>
        <w:keepNext/>
      </w:pPr>
      <w:r>
        <w:rPr>
          <w:rFonts w:ascii="Aptos" w:hAnsi="Aptos"/>
          <w:b/>
          <w:i w:val="0"/>
          <w:color w:val="1C766C"/>
          <w:sz w:val="26"/>
        </w:rPr>
        <w:t>3.4 Deterministic Validation and Fallback</w:t>
      </w:r>
    </w:p>
    <w:p>
      <w:pPr>
        <w:pStyle w:val="ListBullet"/>
        <w:spacing w:after="80" w:line="276" w:lineRule="auto"/>
        <w:ind w:left="547" w:hanging="274"/>
      </w:pPr>
      <w:r>
        <w:rPr>
          <w:rFonts w:ascii="Aptos" w:hAnsi="Aptos"/>
          <w:b w:val="0"/>
          <w:i w:val="0"/>
          <w:color w:val="1E252B"/>
          <w:sz w:val="21"/>
        </w:rPr>
        <w:t>Parse structured output defensively; reject malformed content.</w:t>
      </w:r>
    </w:p>
    <w:p>
      <w:pPr>
        <w:pStyle w:val="ListBullet"/>
        <w:spacing w:after="80" w:line="276" w:lineRule="auto"/>
        <w:ind w:left="547" w:hanging="274"/>
      </w:pPr>
      <w:r>
        <w:rPr>
          <w:rFonts w:ascii="Aptos" w:hAnsi="Aptos"/>
          <w:b w:val="0"/>
          <w:i w:val="0"/>
          <w:color w:val="1E252B"/>
          <w:sz w:val="21"/>
        </w:rPr>
        <w:t>Discard tags outside the allowlist and normalize duplicates.</w:t>
      </w:r>
    </w:p>
    <w:p>
      <w:pPr>
        <w:pStyle w:val="ListBullet"/>
        <w:spacing w:after="80" w:line="276" w:lineRule="auto"/>
        <w:ind w:left="547" w:hanging="274"/>
      </w:pPr>
      <w:r>
        <w:rPr>
          <w:rFonts w:ascii="Aptos" w:hAnsi="Aptos"/>
          <w:b w:val="0"/>
          <w:i w:val="0"/>
          <w:color w:val="1E252B"/>
          <w:sz w:val="21"/>
        </w:rPr>
        <w:t>Clamp confidence to the supported numeric range.</w:t>
      </w:r>
    </w:p>
    <w:p>
      <w:pPr>
        <w:pStyle w:val="ListBullet"/>
        <w:spacing w:after="80" w:line="276" w:lineRule="auto"/>
        <w:ind w:left="547" w:hanging="274"/>
      </w:pPr>
      <w:r>
        <w:rPr>
          <w:rFonts w:ascii="Aptos" w:hAnsi="Aptos"/>
          <w:b w:val="0"/>
          <w:i w:val="0"/>
          <w:color w:val="1E252B"/>
          <w:sz w:val="21"/>
        </w:rPr>
        <w:t>Combine validated model tags with deterministic keyword/rule results according to an approved policy.</w:t>
      </w:r>
    </w:p>
    <w:p>
      <w:pPr>
        <w:pStyle w:val="ListBullet"/>
        <w:spacing w:after="80" w:line="276" w:lineRule="auto"/>
        <w:ind w:left="547" w:hanging="274"/>
      </w:pPr>
      <w:r>
        <w:rPr>
          <w:rFonts w:ascii="Aptos" w:hAnsi="Aptos"/>
          <w:b w:val="0"/>
          <w:i w:val="0"/>
          <w:color w:val="1E252B"/>
          <w:sz w:val="21"/>
        </w:rPr>
        <w:t>If the model is disabled, unavailable, slow, or invalid, continue with deterministic rules and require human review when appropriate.</w:t>
      </w:r>
    </w:p>
    <w:p>
      <w:pPr>
        <w:pStyle w:val="ListBullet"/>
        <w:spacing w:after="80" w:line="276" w:lineRule="auto"/>
        <w:ind w:left="547" w:hanging="274"/>
      </w:pPr>
      <w:r>
        <w:rPr>
          <w:rFonts w:ascii="Aptos" w:hAnsi="Aptos"/>
          <w:b w:val="0"/>
          <w:i w:val="0"/>
          <w:color w:val="1E252B"/>
          <w:sz w:val="21"/>
        </w:rPr>
        <w:t>Never log raw condition text merely for model debugging.</w:t>
      </w:r>
    </w:p>
    <w:p>
      <w:pPr>
        <w:pStyle w:val="Heading2"/>
        <w:keepNext/>
      </w:pPr>
      <w:r>
        <w:rPr>
          <w:rFonts w:ascii="Aptos" w:hAnsi="Aptos"/>
          <w:b/>
          <w:i w:val="0"/>
          <w:color w:val="1C766C"/>
          <w:sz w:val="26"/>
        </w:rPr>
        <w:t>3.5 Model Validation</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8"/>
              </w:rPr>
              <w:t>Test area</w:t>
            </w:r>
          </w:p>
        </w:tc>
        <w:tc>
          <w:tcPr>
            <w:tcW w:type="dxa" w:w="7160"/>
            <w:shd w:fill="20344A"/>
            <w:vAlign w:val="center"/>
            <w:tcMar>
              <w:top w:w="90" w:type="dxa"/>
              <w:left w:w="120" w:type="dxa"/>
              <w:bottom w:w="90" w:type="dxa"/>
              <w:right w:w="120" w:type="dxa"/>
            </w:tcMar>
          </w:tcPr>
          <w:p>
            <w:pPr>
              <w:spacing w:after="0"/>
              <w:jc w:val="left"/>
            </w:pPr>
            <w:r>
              <w:rPr>
                <w:rFonts w:ascii="Aptos" w:hAnsi="Aptos"/>
                <w:b/>
                <w:i w:val="0"/>
                <w:color w:val="FFFFFF"/>
                <w:sz w:val="18"/>
              </w:rPr>
              <w:t>Evidence to collect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Tag accuracy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Representative de-identified cases reviewed against clinician-approved expected tags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Unsupported output</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Rate of invalid, invented, or out-of-allowlist values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Safety boundary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Tests proving the model cannot diagnose, book, move, or cancel appointments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Low confidence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Defined review behavior and clear user-visible state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Fallback</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Successful scheduling when inference is unavailable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Privacy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No outbound traffic, telemetry, prompt retention, or PHI-bearing diagnostic logs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Change control</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Artifact digest, license, provenance, evaluation results, approval, rollback plan</w:t>
            </w:r>
          </w:p>
        </w:tc>
      </w:tr>
    </w:tbl>
    <w:p>
      <w:pPr>
        <w:spacing w:after="60"/>
      </w:pPr>
    </w:p>
    <w:p>
      <w:pPr>
        <w:pStyle w:val="Heading1"/>
        <w:keepNext/>
      </w:pPr>
      <w:r>
        <w:rPr>
          <w:rFonts w:ascii="Aptos" w:hAnsi="Aptos"/>
          <w:b/>
          <w:i w:val="0"/>
          <w:color w:val="1C766C"/>
          <w:sz w:val="34"/>
        </w:rPr>
        <w:t>4. The Scheduling Optimizer</w:t>
      </w:r>
    </w:p>
    <w:p>
      <w:pPr>
        <w:pStyle w:val="Heading2"/>
        <w:keepNext/>
      </w:pPr>
      <w:r>
        <w:rPr>
          <w:rFonts w:ascii="Aptos" w:hAnsi="Aptos"/>
          <w:b/>
          <w:i w:val="0"/>
          <w:color w:val="1C766C"/>
          <w:sz w:val="26"/>
        </w:rPr>
        <w:t>4.1 Nature of the Optimizer</w:t>
      </w:r>
    </w:p>
    <w:p>
      <w:pPr>
        <w:spacing w:after="120" w:line="283" w:lineRule="auto"/>
      </w:pPr>
      <w:r>
        <w:rPr>
          <w:rFonts w:ascii="Aptos" w:hAnsi="Aptos"/>
          <w:b w:val="0"/>
          <w:i w:val="0"/>
          <w:color w:val="1E252B"/>
          <w:sz w:val="21"/>
        </w:rPr>
        <w:t>The scheduler is a deterministic constraint-and-ranking engine, not a trained prediction model. It loads a consistent schedule snapshot, enumerates candidate starts, constructs ordered treatment phases, assigns qualified resources, rejects infeasible plans, scores the remainder, removes duplicates, and returns a small ranked set.</w:t>
      </w:r>
    </w:p>
    <w:p>
      <w:pPr>
        <w:pStyle w:val="Heading2"/>
        <w:keepNext/>
      </w:pPr>
      <w:r>
        <w:rPr>
          <w:rFonts w:ascii="Aptos" w:hAnsi="Aptos"/>
          <w:b/>
          <w:i w:val="0"/>
          <w:color w:val="1C766C"/>
          <w:sz w:val="26"/>
        </w:rPr>
        <w:t>4.2 Inputs</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shd w:fill="20344A"/>
            <w:vAlign w:val="center"/>
            <w:tcMar>
              <w:top w:w="90" w:type="dxa"/>
              <w:left w:w="120" w:type="dxa"/>
              <w:bottom w:w="90" w:type="dxa"/>
              <w:right w:w="120" w:type="dxa"/>
            </w:tcMar>
          </w:tcPr>
          <w:p>
            <w:pPr>
              <w:spacing w:after="0"/>
              <w:jc w:val="center"/>
            </w:pPr>
            <w:r>
              <w:rPr>
                <w:rFonts w:ascii="Aptos" w:hAnsi="Aptos"/>
                <w:b/>
                <w:i w:val="0"/>
                <w:color w:val="FFFFFF"/>
                <w:sz w:val="18"/>
              </w:rPr>
              <w:t>Input group</w:t>
            </w:r>
          </w:p>
        </w:tc>
        <w:tc>
          <w:tcPr>
            <w:tcW w:type="dxa" w:w="6960"/>
            <w:shd w:fill="20344A"/>
            <w:vAlign w:val="center"/>
            <w:tcMar>
              <w:top w:w="90" w:type="dxa"/>
              <w:left w:w="120" w:type="dxa"/>
              <w:bottom w:w="90" w:type="dxa"/>
              <w:right w:w="120" w:type="dxa"/>
            </w:tcMar>
          </w:tcPr>
          <w:p>
            <w:pPr>
              <w:spacing w:after="0"/>
              <w:jc w:val="center"/>
            </w:pPr>
            <w:r>
              <w:rPr>
                <w:rFonts w:ascii="Aptos" w:hAnsi="Aptos"/>
                <w:b/>
                <w:i w:val="0"/>
                <w:color w:val="FFFFFF"/>
                <w:sz w:val="18"/>
              </w:rPr>
              <w:t>Examples</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Request</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Procedure, date window, acceptable daily hours, priority, complexity, preferred provider, accommodation tags</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Procedure policy</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Duration class, ordered phases, provider role per phase, room/equipment needs, qualification requirements</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Provider availability</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Working hours, shifts, approved leave, qualifications and effective dates</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Facility capacity</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Rooms, room capabilities, equipment types and units, closures</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Existing commitments</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Confirmed appointments, phase-level resource reservations, equipment reservations, protected blocks</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8"/>
              </w:rPr>
              <w:t>Operational policy</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8"/>
              </w:rPr>
              <w:t>Planning horizon, time grid, emergency reserve, targets, fairness and preference weights</w:t>
            </w:r>
          </w:p>
        </w:tc>
      </w:tr>
    </w:tbl>
    <w:p>
      <w:pPr>
        <w:spacing w:after="60"/>
      </w:pPr>
    </w:p>
    <w:p>
      <w:pPr>
        <w:pStyle w:val="Heading2"/>
        <w:keepNext/>
      </w:pPr>
      <w:r>
        <w:rPr>
          <w:rFonts w:ascii="Aptos" w:hAnsi="Aptos"/>
          <w:b/>
          <w:i w:val="0"/>
          <w:color w:val="1C766C"/>
          <w:sz w:val="26"/>
        </w:rPr>
        <w:t>4.3 Decision Variables</w:t>
      </w:r>
    </w:p>
    <w:p>
      <w:pPr>
        <w:pStyle w:val="ListBullet"/>
        <w:spacing w:after="80" w:line="276" w:lineRule="auto"/>
        <w:ind w:left="547" w:hanging="274"/>
      </w:pPr>
      <w:r>
        <w:rPr>
          <w:rFonts w:ascii="Aptos" w:hAnsi="Aptos"/>
          <w:b w:val="0"/>
          <w:i w:val="0"/>
          <w:color w:val="1E252B"/>
          <w:sz w:val="21"/>
        </w:rPr>
        <w:t>Appointment start and end time within the allowed window.</w:t>
      </w:r>
    </w:p>
    <w:p>
      <w:pPr>
        <w:pStyle w:val="ListBullet"/>
        <w:spacing w:after="80" w:line="276" w:lineRule="auto"/>
        <w:ind w:left="547" w:hanging="274"/>
      </w:pPr>
      <w:r>
        <w:rPr>
          <w:rFonts w:ascii="Aptos" w:hAnsi="Aptos"/>
          <w:b w:val="0"/>
          <w:i w:val="0"/>
          <w:color w:val="1E252B"/>
          <w:sz w:val="21"/>
        </w:rPr>
        <w:t>Primary clinician and any supporting providers for each treatment phase.</w:t>
      </w:r>
    </w:p>
    <w:p>
      <w:pPr>
        <w:pStyle w:val="ListBullet"/>
        <w:spacing w:after="80" w:line="276" w:lineRule="auto"/>
        <w:ind w:left="547" w:hanging="274"/>
      </w:pPr>
      <w:r>
        <w:rPr>
          <w:rFonts w:ascii="Aptos" w:hAnsi="Aptos"/>
          <w:b w:val="0"/>
          <w:i w:val="0"/>
          <w:color w:val="1E252B"/>
          <w:sz w:val="21"/>
        </w:rPr>
        <w:t>Room assignment and phase occupancy.</w:t>
      </w:r>
    </w:p>
    <w:p>
      <w:pPr>
        <w:pStyle w:val="ListBullet"/>
        <w:spacing w:after="80" w:line="276" w:lineRule="auto"/>
        <w:ind w:left="547" w:hanging="274"/>
      </w:pPr>
      <w:r>
        <w:rPr>
          <w:rFonts w:ascii="Aptos" w:hAnsi="Aptos"/>
          <w:b w:val="0"/>
          <w:i w:val="0"/>
          <w:color w:val="1E252B"/>
          <w:sz w:val="21"/>
        </w:rPr>
        <w:t>Specific equipment unit reservations where unit-level capacity matters.</w:t>
      </w:r>
    </w:p>
    <w:p>
      <w:pPr>
        <w:pStyle w:val="ListBullet"/>
        <w:spacing w:after="80" w:line="276" w:lineRule="auto"/>
        <w:ind w:left="547" w:hanging="274"/>
      </w:pPr>
      <w:r>
        <w:rPr>
          <w:rFonts w:ascii="Aptos" w:hAnsi="Aptos"/>
          <w:b w:val="0"/>
          <w:i w:val="0"/>
          <w:color w:val="1E252B"/>
          <w:sz w:val="21"/>
        </w:rPr>
        <w:t>Optional placement in a reserved capacity block when policy permits.</w:t>
      </w:r>
    </w:p>
    <w:p>
      <w:pPr>
        <w:pStyle w:val="Heading2"/>
        <w:keepNext/>
      </w:pPr>
      <w:r>
        <w:rPr>
          <w:rFonts w:ascii="Aptos" w:hAnsi="Aptos"/>
          <w:b/>
          <w:i w:val="0"/>
          <w:color w:val="1C766C"/>
          <w:sz w:val="26"/>
        </w:rPr>
        <w:t>4.4 Hard Constraints</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20344A"/>
            <w:vAlign w:val="center"/>
            <w:tcMar>
              <w:top w:w="90" w:type="dxa"/>
              <w:left w:w="120" w:type="dxa"/>
              <w:bottom w:w="90" w:type="dxa"/>
              <w:right w:w="120" w:type="dxa"/>
            </w:tcMar>
          </w:tcPr>
          <w:p>
            <w:pPr>
              <w:spacing w:after="0"/>
              <w:jc w:val="center"/>
            </w:pPr>
            <w:r>
              <w:rPr>
                <w:rFonts w:ascii="Aptos" w:hAnsi="Aptos"/>
                <w:b/>
                <w:i w:val="0"/>
                <w:color w:val="FFFFFF"/>
                <w:sz w:val="17"/>
              </w:rPr>
              <w:t>Constraint</w:t>
            </w:r>
          </w:p>
        </w:tc>
        <w:tc>
          <w:tcPr>
            <w:tcW w:type="dxa" w:w="706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Required behavior</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Planning horizon</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Start time is within the configured rolling horizon and requested date range.</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Daily window</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All phases fit inside the patient's acceptable daily time range.</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Operating calendar</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No phase occurs outside facility hours or during a full closure.</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Provider availability</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Assigned staff are working, not on leave, and not committed elsewhere.</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Qualification</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The primary clinician holds the required procedure qualification on the service date.</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Phase order</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Procedure phases remain ordered and use the required role for each phase.</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Room compatibility</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The selected room supports the procedure and is free for the required occupancy.</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Equipment capacity</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Every required equipment unit is compatible and free for the required interval.</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 collision</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The same patient cannot hold overlapping active appointments or phases.</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Resource collision</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No active provider, room, or exclusive equipment reservation overlaps another active reservation.</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Turnover and buffers</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Setup, cleanup, sterilization, recovery, and policy buffers consume the appropriate room or staff resource.</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Supervision capacity</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A clinician may supervise only the approved number of simultaneous active visits, even when their own phases do not overlap.</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Rota and cover</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Dated overrides replace recurring shifts and identify only approved coverage for an absent provider.</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Protected capacity</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Reserved or emergency blocks are used only under approved policy.</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Linked-visit timing</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Multi-visit procedures respect minimum and maximum lead times between related visits.</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Locked bookings</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Existing confirmed appointments are fixed unless explicitly excluded within an authorized reschedule preview.</w:t>
            </w:r>
          </w:p>
        </w:tc>
      </w:tr>
    </w:tbl>
    <w:p>
      <w:pPr>
        <w:spacing w:after="60"/>
      </w:pPr>
    </w:p>
    <w:p>
      <w:pPr>
        <w:pStyle w:val="Heading2"/>
        <w:keepNext/>
      </w:pPr>
      <w:r>
        <w:rPr>
          <w:rFonts w:ascii="Aptos" w:hAnsi="Aptos"/>
          <w:b/>
          <w:i w:val="0"/>
          <w:color w:val="1C766C"/>
          <w:sz w:val="26"/>
        </w:rPr>
        <w:t>4.5 Soft Objectives</w:t>
      </w:r>
    </w:p>
    <w:p>
      <w:pPr>
        <w:spacing w:after="120" w:line="283" w:lineRule="auto"/>
      </w:pPr>
      <w:r>
        <w:rPr>
          <w:rFonts w:ascii="Aptos" w:hAnsi="Aptos"/>
          <w:b w:val="0"/>
          <w:i w:val="0"/>
          <w:color w:val="1E252B"/>
          <w:sz w:val="21"/>
        </w:rPr>
        <w:t>After hard-constraint filtering, rank feasible candidates using configurable, documented factors. The precise weights belong to deployment policy and should not be copied from another organization.</w:t>
      </w:r>
    </w:p>
    <w:p>
      <w:pPr>
        <w:pStyle w:val="ListBullet"/>
        <w:spacing w:after="80" w:line="276" w:lineRule="auto"/>
        <w:ind w:left="547" w:hanging="274"/>
      </w:pPr>
      <w:r>
        <w:rPr>
          <w:rFonts w:ascii="Aptos" w:hAnsi="Aptos"/>
          <w:b w:val="0"/>
          <w:i w:val="0"/>
          <w:color w:val="1E252B"/>
          <w:sz w:val="21"/>
        </w:rPr>
        <w:t>Sooner clinically appropriate access, especially for urgent requests.</w:t>
      </w:r>
    </w:p>
    <w:p>
      <w:pPr>
        <w:pStyle w:val="ListBullet"/>
        <w:spacing w:after="80" w:line="276" w:lineRule="auto"/>
        <w:ind w:left="547" w:hanging="274"/>
      </w:pPr>
      <w:r>
        <w:rPr>
          <w:rFonts w:ascii="Aptos" w:hAnsi="Aptos"/>
          <w:b w:val="0"/>
          <w:i w:val="0"/>
          <w:color w:val="1E252B"/>
          <w:sz w:val="21"/>
        </w:rPr>
        <w:t>Respect for a requested or continuity-of-care provider.</w:t>
      </w:r>
    </w:p>
    <w:p>
      <w:pPr>
        <w:pStyle w:val="ListBullet"/>
        <w:spacing w:after="80" w:line="276" w:lineRule="auto"/>
        <w:ind w:left="547" w:hanging="274"/>
      </w:pPr>
      <w:r>
        <w:rPr>
          <w:rFonts w:ascii="Aptos" w:hAnsi="Aptos"/>
          <w:b w:val="0"/>
          <w:i w:val="0"/>
          <w:color w:val="1E252B"/>
          <w:sz w:val="21"/>
        </w:rPr>
        <w:t>Balanced provider workload and fair distribution of undesirable times.</w:t>
      </w:r>
    </w:p>
    <w:p>
      <w:pPr>
        <w:pStyle w:val="ListBullet"/>
        <w:spacing w:after="80" w:line="276" w:lineRule="auto"/>
        <w:ind w:left="547" w:hanging="274"/>
      </w:pPr>
      <w:r>
        <w:rPr>
          <w:rFonts w:ascii="Aptos" w:hAnsi="Aptos"/>
          <w:b w:val="0"/>
          <w:i w:val="0"/>
          <w:color w:val="1E252B"/>
          <w:sz w:val="21"/>
        </w:rPr>
        <w:t>Efficient room and equipment use without creating fragmented gaps.</w:t>
      </w:r>
    </w:p>
    <w:p>
      <w:pPr>
        <w:pStyle w:val="ListBullet"/>
        <w:spacing w:after="80" w:line="276" w:lineRule="auto"/>
        <w:ind w:left="547" w:hanging="274"/>
      </w:pPr>
      <w:r>
        <w:rPr>
          <w:rFonts w:ascii="Aptos" w:hAnsi="Aptos"/>
          <w:b w:val="0"/>
          <w:i w:val="0"/>
          <w:color w:val="1E252B"/>
          <w:sz w:val="21"/>
        </w:rPr>
        <w:t>Alignment with approved daily or weekly capacity targets.</w:t>
      </w:r>
    </w:p>
    <w:p>
      <w:pPr>
        <w:pStyle w:val="ListBullet"/>
        <w:spacing w:after="80" w:line="276" w:lineRule="auto"/>
        <w:ind w:left="547" w:hanging="274"/>
      </w:pPr>
      <w:r>
        <w:rPr>
          <w:rFonts w:ascii="Aptos" w:hAnsi="Aptos"/>
          <w:b w:val="0"/>
          <w:i w:val="0"/>
          <w:color w:val="1E252B"/>
          <w:sz w:val="21"/>
        </w:rPr>
        <w:t>Alignment with approved production targets and role-based credit policy, without displacing safety or access constraints.</w:t>
      </w:r>
    </w:p>
    <w:p>
      <w:pPr>
        <w:pStyle w:val="ListBullet"/>
        <w:spacing w:after="80" w:line="276" w:lineRule="auto"/>
        <w:ind w:left="547" w:hanging="274"/>
      </w:pPr>
      <w:r>
        <w:rPr>
          <w:rFonts w:ascii="Aptos" w:hAnsi="Aptos"/>
          <w:b w:val="0"/>
          <w:i w:val="0"/>
          <w:color w:val="1E252B"/>
          <w:sz w:val="21"/>
        </w:rPr>
        <w:t>Preservation of emergency reserve unless the request qualifies for it.</w:t>
      </w:r>
    </w:p>
    <w:p>
      <w:pPr>
        <w:pStyle w:val="ListBullet"/>
        <w:spacing w:after="80" w:line="276" w:lineRule="auto"/>
        <w:ind w:left="547" w:hanging="274"/>
      </w:pPr>
      <w:r>
        <w:rPr>
          <w:rFonts w:ascii="Aptos" w:hAnsi="Aptos"/>
          <w:b w:val="0"/>
          <w:i w:val="0"/>
          <w:color w:val="1E252B"/>
          <w:sz w:val="21"/>
        </w:rPr>
        <w:t>Lower operational complexity and fewer handoffs where clinically appropriate.</w:t>
      </w:r>
    </w:p>
    <w:p>
      <w:pPr>
        <w:pStyle w:val="Heading2"/>
        <w:keepNext/>
      </w:pPr>
      <w:r>
        <w:rPr>
          <w:rFonts w:ascii="Aptos" w:hAnsi="Aptos"/>
          <w:b/>
          <w:i w:val="0"/>
          <w:color w:val="1C766C"/>
          <w:sz w:val="26"/>
        </w:rPr>
        <w:t>4.6 Candidate Generation</w:t>
      </w:r>
    </w:p>
    <w:p>
      <w:pPr>
        <w:pStyle w:val="ListNumber"/>
        <w:spacing w:after="80" w:line="276" w:lineRule="auto"/>
        <w:ind w:left="547" w:hanging="274"/>
      </w:pPr>
      <w:r>
        <w:rPr>
          <w:rFonts w:ascii="Aptos" w:hAnsi="Aptos"/>
          <w:b w:val="0"/>
          <w:i w:val="0"/>
          <w:color w:val="1E252B"/>
          <w:sz w:val="21"/>
        </w:rPr>
        <w:t>Normalize the request and determine the appropriate duration and phase template.</w:t>
      </w:r>
    </w:p>
    <w:p>
      <w:pPr>
        <w:pStyle w:val="ListNumber"/>
        <w:spacing w:after="80" w:line="276" w:lineRule="auto"/>
        <w:ind w:left="547" w:hanging="274"/>
      </w:pPr>
      <w:r>
        <w:rPr>
          <w:rFonts w:ascii="Aptos" w:hAnsi="Aptos"/>
          <w:b w:val="0"/>
          <w:i w:val="0"/>
          <w:color w:val="1E252B"/>
          <w:sz w:val="21"/>
        </w:rPr>
        <w:t>Create a consistent snapshot of calendars, qualifications, resources, active bookings, and policy.</w:t>
      </w:r>
    </w:p>
    <w:p>
      <w:pPr>
        <w:pStyle w:val="ListNumber"/>
        <w:spacing w:after="80" w:line="276" w:lineRule="auto"/>
        <w:ind w:left="547" w:hanging="274"/>
      </w:pPr>
      <w:r>
        <w:rPr>
          <w:rFonts w:ascii="Aptos" w:hAnsi="Aptos"/>
          <w:b w:val="0"/>
          <w:i w:val="0"/>
          <w:color w:val="1E252B"/>
          <w:sz w:val="21"/>
        </w:rPr>
        <w:t>Enumerate candidate start times on the configured scheduling grid across the requested window.</w:t>
      </w:r>
    </w:p>
    <w:p>
      <w:pPr>
        <w:pStyle w:val="ListNumber"/>
        <w:spacing w:after="80" w:line="276" w:lineRule="auto"/>
        <w:ind w:left="547" w:hanging="274"/>
      </w:pPr>
      <w:r>
        <w:rPr>
          <w:rFonts w:ascii="Aptos" w:hAnsi="Aptos"/>
          <w:b w:val="0"/>
          <w:i w:val="0"/>
          <w:color w:val="1E252B"/>
          <w:sz w:val="21"/>
        </w:rPr>
        <w:t>For each start, build ordered phases and attempt provider, room, and equipment assignments.</w:t>
      </w:r>
    </w:p>
    <w:p>
      <w:pPr>
        <w:pStyle w:val="ListNumber"/>
        <w:spacing w:after="80" w:line="276" w:lineRule="auto"/>
        <w:ind w:left="547" w:hanging="274"/>
      </w:pPr>
      <w:r>
        <w:rPr>
          <w:rFonts w:ascii="Aptos" w:hAnsi="Aptos"/>
          <w:b w:val="0"/>
          <w:i w:val="0"/>
          <w:color w:val="1E252B"/>
          <w:sz w:val="21"/>
        </w:rPr>
        <w:t>Reject the candidate immediately when any hard constraint fails.</w:t>
      </w:r>
    </w:p>
    <w:p>
      <w:pPr>
        <w:pStyle w:val="ListNumber"/>
        <w:spacing w:after="80" w:line="276" w:lineRule="auto"/>
        <w:ind w:left="547" w:hanging="274"/>
      </w:pPr>
      <w:r>
        <w:rPr>
          <w:rFonts w:ascii="Aptos" w:hAnsi="Aptos"/>
          <w:b w:val="0"/>
          <w:i w:val="0"/>
          <w:color w:val="1E252B"/>
          <w:sz w:val="21"/>
        </w:rPr>
        <w:t>Calculate soft-objective components for every feasible candidate.</w:t>
      </w:r>
    </w:p>
    <w:p>
      <w:pPr>
        <w:pStyle w:val="ListNumber"/>
        <w:spacing w:after="80" w:line="276" w:lineRule="auto"/>
        <w:ind w:left="547" w:hanging="274"/>
      </w:pPr>
      <w:r>
        <w:rPr>
          <w:rFonts w:ascii="Aptos" w:hAnsi="Aptos"/>
          <w:b w:val="0"/>
          <w:i w:val="0"/>
          <w:color w:val="1E252B"/>
          <w:sz w:val="21"/>
        </w:rPr>
        <w:t>Sort deterministically, remove equivalent candidates, and return a small reviewable set.</w:t>
      </w:r>
    </w:p>
    <w:p>
      <w:pPr>
        <w:pStyle w:val="ListNumber"/>
        <w:spacing w:after="80" w:line="276" w:lineRule="auto"/>
        <w:ind w:left="547" w:hanging="274"/>
      </w:pPr>
      <w:r>
        <w:rPr>
          <w:rFonts w:ascii="Aptos" w:hAnsi="Aptos"/>
          <w:b w:val="0"/>
          <w:i w:val="0"/>
          <w:color w:val="1E252B"/>
          <w:sz w:val="21"/>
        </w:rPr>
        <w:t>Store a short-lived recommendation snapshot so confirmation can reference exactly what the user reviewed.</w:t>
      </w:r>
    </w:p>
    <w:p>
      <w:pPr>
        <w:pStyle w:val="Heading2"/>
        <w:keepNext/>
      </w:pPr>
      <w:r>
        <w:rPr>
          <w:rFonts w:ascii="Aptos" w:hAnsi="Aptos"/>
          <w:b/>
          <w:i w:val="0"/>
          <w:color w:val="1C766C"/>
          <w:sz w:val="26"/>
        </w:rPr>
        <w:t>4.7 Incremental Annual Scheduling</w:t>
      </w:r>
    </w:p>
    <w:p>
      <w:pPr>
        <w:spacing w:after="120" w:line="283" w:lineRule="auto"/>
      </w:pPr>
      <w:r>
        <w:rPr>
          <w:rFonts w:ascii="Aptos" w:hAnsi="Aptos"/>
          <w:b w:val="0"/>
          <w:i w:val="0"/>
          <w:color w:val="1E252B"/>
          <w:sz w:val="21"/>
        </w:rPr>
        <w:t>A rolling annual schedule is a search horizon, not a requirement to pre-create every appointment slot. Availability is derived from recurring hours, exceptions, shifts, leave, closures, resources, and current bookings. Each new request searches the current horizon and adds only the selected appointment. The horizon advances with time, and future policy changes are versioned by effective date.</w:t>
      </w:r>
    </w:p>
    <w:p>
      <w:pPr>
        <w:pStyle w:val="Heading2"/>
        <w:keepNext/>
      </w:pPr>
      <w:r>
        <w:rPr>
          <w:rFonts w:ascii="Aptos" w:hAnsi="Aptos"/>
          <w:b/>
          <w:i w:val="0"/>
          <w:color w:val="1C766C"/>
          <w:sz w:val="26"/>
        </w:rPr>
        <w:t>4.8 Concurrency and Stale Recommendations</w:t>
      </w:r>
    </w:p>
    <w:p>
      <w:pPr>
        <w:spacing w:after="120" w:line="283" w:lineRule="auto"/>
      </w:pPr>
      <w:r>
        <w:rPr>
          <w:rFonts w:ascii="Aptos" w:hAnsi="Aptos"/>
          <w:b w:val="0"/>
          <w:i w:val="0"/>
          <w:color w:val="1E252B"/>
          <w:sz w:val="21"/>
        </w:rPr>
        <w:t>A recommendation can become stale after another user books a conflicting resource. Confirmation must therefore run in a database transaction, lock or otherwise protect the relevant recommendation, revalidate qualifications and resource availability, create all reservations, consume the recommendation, and commit audit evidence atomically. If revalidation fails, return a conflict and generate fresh options.</w:t>
      </w:r>
    </w:p>
    <w:p>
      <w:pPr>
        <w:pStyle w:val="Heading2"/>
        <w:keepNext/>
      </w:pPr>
      <w:r>
        <w:rPr>
          <w:rFonts w:ascii="Aptos" w:hAnsi="Aptos"/>
          <w:b/>
          <w:i w:val="0"/>
          <w:color w:val="1C766C"/>
          <w:sz w:val="26"/>
        </w:rPr>
        <w:t>4.9 Explanations and No-Feasible-Slot Results</w:t>
      </w:r>
    </w:p>
    <w:p>
      <w:pPr>
        <w:spacing w:after="120" w:line="283" w:lineRule="auto"/>
      </w:pPr>
      <w:r>
        <w:rPr>
          <w:rFonts w:ascii="Aptos" w:hAnsi="Aptos"/>
          <w:b w:val="0"/>
          <w:i w:val="0"/>
          <w:color w:val="1E252B"/>
          <w:sz w:val="21"/>
        </w:rPr>
        <w:t>Explanations must be derived from deterministic policy and constraint evaluation, not generated from hidden language-model reasoning. A feasible recommendation should expose its rank factors in plain language. An unsuccessful search should expose a safe taxonomy of binding constraint categories, the searched window, and policy-compliant next actions.</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20344A"/>
            <w:vAlign w:val="center"/>
            <w:tcMar>
              <w:top w:w="90" w:type="dxa"/>
              <w:left w:w="120" w:type="dxa"/>
              <w:bottom w:w="90" w:type="dxa"/>
              <w:right w:w="120" w:type="dxa"/>
            </w:tcMar>
          </w:tcPr>
          <w:p>
            <w:pPr>
              <w:spacing w:after="0"/>
              <w:jc w:val="center"/>
            </w:pPr>
            <w:r>
              <w:rPr>
                <w:rFonts w:ascii="Aptos" w:hAnsi="Aptos"/>
                <w:b/>
                <w:i w:val="0"/>
                <w:color w:val="FFFFFF"/>
                <w:sz w:val="17"/>
              </w:rPr>
              <w:t>Result type</w:t>
            </w:r>
          </w:p>
        </w:tc>
        <w:tc>
          <w:tcPr>
            <w:tcW w:type="dxa" w:w="7260"/>
            <w:shd w:fill="20344A"/>
            <w:vAlign w:val="center"/>
            <w:tcMar>
              <w:top w:w="90" w:type="dxa"/>
              <w:left w:w="120" w:type="dxa"/>
              <w:bottom w:w="90" w:type="dxa"/>
              <w:right w:w="120" w:type="dxa"/>
            </w:tcMar>
          </w:tcPr>
          <w:p>
            <w:pPr>
              <w:spacing w:after="0"/>
              <w:jc w:val="left"/>
            </w:pPr>
            <w:r>
              <w:rPr>
                <w:rFonts w:ascii="Aptos" w:hAnsi="Aptos"/>
                <w:b/>
                <w:i w:val="0"/>
                <w:color w:val="FFFFFF"/>
                <w:sz w:val="17"/>
              </w:rPr>
              <w:t>Minimum explanation</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Feasible candidate</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Provider, local date/time and timezone, duration, phase/resource summary, preference match, major ranking factors, policy version, expiry</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No feasible slot</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Search window, blocking categories such as provider, room, equipment, patient window, protected capacity, or linked-visit timing</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Stale candidate</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The schedule changed after recommendation; no booking occurred; generate fresh options</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Policy conflict</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Identify the policy category and route changes to an authorized policy owner; do not weaken the rule automatically</w:t>
            </w:r>
          </w:p>
        </w:tc>
      </w:tr>
    </w:tbl>
    <w:p>
      <w:pPr>
        <w:spacing w:after="60"/>
      </w:pPr>
    </w:p>
    <w:p>
      <w:pPr>
        <w:pStyle w:val="Heading2"/>
        <w:keepNext/>
      </w:pPr>
      <w:r>
        <w:rPr>
          <w:rFonts w:ascii="Aptos" w:hAnsi="Aptos"/>
          <w:b/>
          <w:i w:val="0"/>
          <w:color w:val="1C766C"/>
          <w:sz w:val="26"/>
        </w:rPr>
        <w:t>4.10 Determinism, Bounds, and Reproducibility</w:t>
      </w:r>
    </w:p>
    <w:p>
      <w:pPr>
        <w:pStyle w:val="ListBullet"/>
        <w:spacing w:after="80" w:line="276" w:lineRule="auto"/>
        <w:ind w:left="547" w:hanging="274"/>
      </w:pPr>
      <w:r>
        <w:rPr>
          <w:rFonts w:ascii="Aptos" w:hAnsi="Aptos"/>
          <w:b w:val="0"/>
          <w:i w:val="0"/>
          <w:color w:val="1E252B"/>
          <w:sz w:val="21"/>
        </w:rPr>
        <w:t>Use a documented time-grid policy and deterministic tie-break order so equivalent inputs return stable ordering.</w:t>
      </w:r>
    </w:p>
    <w:p>
      <w:pPr>
        <w:pStyle w:val="ListBullet"/>
        <w:spacing w:after="80" w:line="276" w:lineRule="auto"/>
        <w:ind w:left="547" w:hanging="274"/>
      </w:pPr>
      <w:r>
        <w:rPr>
          <w:rFonts w:ascii="Aptos" w:hAnsi="Aptos"/>
          <w:b w:val="0"/>
          <w:i w:val="0"/>
          <w:color w:val="1E252B"/>
          <w:sz w:val="21"/>
        </w:rPr>
        <w:t>Bound search by horizon, candidate count, and execution budget; a timeout returns no automatic booking and a safe retry path.</w:t>
      </w:r>
    </w:p>
    <w:p>
      <w:pPr>
        <w:pStyle w:val="ListBullet"/>
        <w:spacing w:after="80" w:line="276" w:lineRule="auto"/>
        <w:ind w:left="547" w:hanging="274"/>
      </w:pPr>
      <w:r>
        <w:rPr>
          <w:rFonts w:ascii="Aptos" w:hAnsi="Aptos"/>
          <w:b w:val="0"/>
          <w:i w:val="0"/>
          <w:color w:val="1E252B"/>
          <w:sz w:val="21"/>
        </w:rPr>
        <w:t>Record snapshot identity, optimizer version, policy version, and normalized request inputs for reproducible review without copying unnecessary PHI.</w:t>
      </w:r>
    </w:p>
    <w:p>
      <w:pPr>
        <w:pStyle w:val="ListBullet"/>
        <w:spacing w:after="80" w:line="276" w:lineRule="auto"/>
        <w:ind w:left="547" w:hanging="274"/>
      </w:pPr>
      <w:r>
        <w:rPr>
          <w:rFonts w:ascii="Aptos" w:hAnsi="Aptos"/>
          <w:b w:val="0"/>
          <w:i w:val="0"/>
          <w:color w:val="1E252B"/>
          <w:sz w:val="21"/>
        </w:rPr>
        <w:t>Incremental scheduling handles arriving requests. Any future batch optimizer must preserve confirmed appointments and require separate authorization for hypothetical movement.</w:t>
      </w:r>
    </w:p>
    <w:p>
      <w:pPr>
        <w:pStyle w:val="ListBullet"/>
        <w:spacing w:after="80" w:line="276" w:lineRule="auto"/>
        <w:ind w:left="547" w:hanging="274"/>
      </w:pPr>
      <w:r>
        <w:rPr>
          <w:rFonts w:ascii="Aptos" w:hAnsi="Aptos"/>
          <w:b w:val="0"/>
          <w:i w:val="0"/>
          <w:color w:val="1E252B"/>
          <w:sz w:val="21"/>
        </w:rPr>
        <w:t>Do not interpret a score as a probability, clinical recommendation, or guarantee; it is only a relative rank among feasible candidates in one snapshot.</w:t>
      </w:r>
    </w:p>
    <w:p>
      <w:pPr>
        <w:pStyle w:val="Heading1"/>
        <w:keepNext/>
      </w:pPr>
      <w:r>
        <w:rPr>
          <w:rFonts w:ascii="Aptos" w:hAnsi="Aptos"/>
          <w:b/>
          <w:i w:val="0"/>
          <w:color w:val="1C766C"/>
          <w:sz w:val="34"/>
        </w:rPr>
        <w:t>5. Data Knowledge Model</w:t>
      </w:r>
    </w:p>
    <w:p>
      <w:pPr>
        <w:pStyle w:val="Heading2"/>
        <w:keepNext/>
      </w:pPr>
      <w:r>
        <w:rPr>
          <w:rFonts w:ascii="Aptos" w:hAnsi="Aptos"/>
          <w:b/>
          <w:i w:val="0"/>
          <w:color w:val="1C766C"/>
          <w:sz w:val="26"/>
        </w:rPr>
        <w:t>5.1 Data Principles</w:t>
      </w:r>
    </w:p>
    <w:p>
      <w:pPr>
        <w:pStyle w:val="ListBullet"/>
        <w:spacing w:after="80" w:line="276" w:lineRule="auto"/>
        <w:ind w:left="547" w:hanging="274"/>
      </w:pPr>
      <w:r>
        <w:rPr>
          <w:rFonts w:ascii="Aptos" w:hAnsi="Aptos"/>
          <w:b w:val="0"/>
          <w:i w:val="0"/>
          <w:color w:val="1E252B"/>
          <w:sz w:val="21"/>
        </w:rPr>
        <w:t>Collect the minimum necessary data for scheduling and operational follow-up.</w:t>
      </w:r>
    </w:p>
    <w:p>
      <w:pPr>
        <w:pStyle w:val="ListBullet"/>
        <w:spacing w:after="80" w:line="276" w:lineRule="auto"/>
        <w:ind w:left="547" w:hanging="274"/>
      </w:pPr>
      <w:r>
        <w:rPr>
          <w:rFonts w:ascii="Aptos" w:hAnsi="Aptos"/>
          <w:b w:val="0"/>
          <w:i w:val="0"/>
          <w:color w:val="1E252B"/>
          <w:sz w:val="21"/>
        </w:rPr>
        <w:t>Separate identity data from scheduling policy and reusable clinical-operational templates.</w:t>
      </w:r>
    </w:p>
    <w:p>
      <w:pPr>
        <w:pStyle w:val="ListBullet"/>
        <w:spacing w:after="80" w:line="276" w:lineRule="auto"/>
        <w:ind w:left="547" w:hanging="274"/>
      </w:pPr>
      <w:r>
        <w:rPr>
          <w:rFonts w:ascii="Aptos" w:hAnsi="Aptos"/>
          <w:b w:val="0"/>
          <w:i w:val="0"/>
          <w:color w:val="1E252B"/>
          <w:sz w:val="21"/>
        </w:rPr>
        <w:t>Store normalized tags in addition to, not as an uncontrolled replacement for, source context.</w:t>
      </w:r>
    </w:p>
    <w:p>
      <w:pPr>
        <w:pStyle w:val="ListBullet"/>
        <w:spacing w:after="80" w:line="276" w:lineRule="auto"/>
        <w:ind w:left="547" w:hanging="274"/>
      </w:pPr>
      <w:r>
        <w:rPr>
          <w:rFonts w:ascii="Aptos" w:hAnsi="Aptos"/>
          <w:b w:val="0"/>
          <w:i w:val="0"/>
          <w:color w:val="1E252B"/>
          <w:sz w:val="21"/>
        </w:rPr>
        <w:t>Use effective dates for policies, qualifications, and availability that change over time.</w:t>
      </w:r>
    </w:p>
    <w:p>
      <w:pPr>
        <w:pStyle w:val="ListBullet"/>
        <w:spacing w:after="80" w:line="276" w:lineRule="auto"/>
        <w:ind w:left="547" w:hanging="274"/>
      </w:pPr>
      <w:r>
        <w:rPr>
          <w:rFonts w:ascii="Aptos" w:hAnsi="Aptos"/>
          <w:b w:val="0"/>
          <w:i w:val="0"/>
          <w:color w:val="1E252B"/>
          <w:sz w:val="21"/>
        </w:rPr>
        <w:t>Record exact resource reservations at phase level so collision rules are enforceable.</w:t>
      </w:r>
    </w:p>
    <w:p>
      <w:pPr>
        <w:pStyle w:val="ListBullet"/>
        <w:spacing w:after="80" w:line="276" w:lineRule="auto"/>
        <w:ind w:left="547" w:hanging="274"/>
      </w:pPr>
      <w:r>
        <w:rPr>
          <w:rFonts w:ascii="Aptos" w:hAnsi="Aptos"/>
          <w:b w:val="0"/>
          <w:i w:val="0"/>
          <w:color w:val="1E252B"/>
          <w:sz w:val="21"/>
        </w:rPr>
        <w:t>Use append-only history and audit evidence for security-relevant actions.</w:t>
      </w:r>
    </w:p>
    <w:p>
      <w:pPr>
        <w:pStyle w:val="ListBullet"/>
        <w:spacing w:after="80" w:line="276" w:lineRule="auto"/>
        <w:ind w:left="547" w:hanging="274"/>
      </w:pPr>
      <w:r>
        <w:rPr>
          <w:rFonts w:ascii="Aptos" w:hAnsi="Aptos"/>
          <w:b w:val="0"/>
          <w:i w:val="0"/>
          <w:color w:val="1E252B"/>
          <w:sz w:val="21"/>
        </w:rPr>
        <w:t>Do not place credentials, secrets, or raw model prompts containing PHI in the knowledge base.</w:t>
      </w:r>
    </w:p>
    <w:p>
      <w:pPr>
        <w:pStyle w:val="Heading2"/>
        <w:keepNext/>
      </w:pPr>
      <w:r>
        <w:rPr>
          <w:rFonts w:ascii="Aptos" w:hAnsi="Aptos"/>
          <w:b/>
          <w:i w:val="0"/>
          <w:color w:val="1C766C"/>
          <w:sz w:val="26"/>
        </w:rPr>
        <w:t>5.2 Data Classification</w:t>
      </w:r>
    </w:p>
    <w:tbl>
      <w:tblPr>
        <w:tblStyle w:val="TableGrid"/>
        <w:tblW w:type="dxa" w:w="9360"/>
        <w:jc w:val="left"/>
        <w:tblLayout w:type="fixed"/>
        <w:tblLook w:firstColumn="1" w:firstRow="1" w:lastColumn="0" w:lastRow="0" w:noHBand="0" w:noVBand="1" w:val="04A0"/>
        <w:tblInd w:type="dxa" w:w="120"/>
      </w:tblPr>
      <w:tblGrid>
        <w:gridCol w:w="2000"/>
        <w:gridCol w:w="3200"/>
        <w:gridCol w:w="4160"/>
      </w:tblGrid>
      <w:tr>
        <w:trPr>
          <w:tblHeader w:val="true"/>
        </w:trPr>
        <w:tc>
          <w:tcPr>
            <w:tcW w:type="dxa" w:w="2000"/>
            <w:shd w:fill="20344A"/>
            <w:vAlign w:val="center"/>
            <w:tcMar>
              <w:top w:w="90" w:type="dxa"/>
              <w:left w:w="120" w:type="dxa"/>
              <w:bottom w:w="90" w:type="dxa"/>
              <w:right w:w="120" w:type="dxa"/>
            </w:tcMar>
          </w:tcPr>
          <w:p>
            <w:pPr>
              <w:spacing w:after="0"/>
              <w:jc w:val="center"/>
            </w:pPr>
            <w:r>
              <w:rPr>
                <w:rFonts w:ascii="Aptos" w:hAnsi="Aptos"/>
                <w:b/>
                <w:i w:val="0"/>
                <w:color w:val="FFFFFF"/>
                <w:sz w:val="17"/>
              </w:rPr>
              <w:t>Class</w:t>
            </w:r>
          </w:p>
        </w:tc>
        <w:tc>
          <w:tcPr>
            <w:tcW w:type="dxa" w:w="3200"/>
            <w:shd w:fill="20344A"/>
            <w:vAlign w:val="center"/>
            <w:tcMar>
              <w:top w:w="90" w:type="dxa"/>
              <w:left w:w="120" w:type="dxa"/>
              <w:bottom w:w="90" w:type="dxa"/>
              <w:right w:w="120" w:type="dxa"/>
            </w:tcMar>
          </w:tcPr>
          <w:p>
            <w:pPr>
              <w:spacing w:after="0"/>
              <w:jc w:val="center"/>
            </w:pPr>
            <w:r>
              <w:rPr>
                <w:rFonts w:ascii="Aptos" w:hAnsi="Aptos"/>
                <w:b/>
                <w:i w:val="0"/>
                <w:color w:val="FFFFFF"/>
                <w:sz w:val="17"/>
              </w:rPr>
              <w:t>Examples</w:t>
            </w:r>
          </w:p>
        </w:tc>
        <w:tc>
          <w:tcPr>
            <w:tcW w:type="dxa" w:w="4160"/>
            <w:shd w:fill="20344A"/>
            <w:vAlign w:val="center"/>
            <w:tcMar>
              <w:top w:w="90" w:type="dxa"/>
              <w:left w:w="120" w:type="dxa"/>
              <w:bottom w:w="90" w:type="dxa"/>
              <w:right w:w="120" w:type="dxa"/>
            </w:tcMar>
          </w:tcPr>
          <w:p>
            <w:pPr>
              <w:spacing w:after="0"/>
              <w:jc w:val="center"/>
            </w:pPr>
            <w:r>
              <w:rPr>
                <w:rFonts w:ascii="Aptos" w:hAnsi="Aptos"/>
                <w:b/>
                <w:i w:val="0"/>
                <w:color w:val="FFFFFF"/>
                <w:sz w:val="17"/>
              </w:rPr>
              <w:t>Handling</w:t>
            </w:r>
          </w:p>
        </w:tc>
      </w:tr>
      <w:tr>
        <w:tc>
          <w:tcPr>
            <w:tcW w:type="dxa" w:w="20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Patient-identifying</w:t>
            </w:r>
          </w:p>
        </w:tc>
        <w:tc>
          <w:tcPr>
            <w:tcW w:type="dxa" w:w="3200"/>
            <w:vAlign w:val="center"/>
            <w:tcMar>
              <w:top w:w="90" w:type="dxa"/>
              <w:left w:w="120" w:type="dxa"/>
              <w:bottom w:w="90" w:type="dxa"/>
              <w:right w:w="120" w:type="dxa"/>
            </w:tcMar>
          </w:tcPr>
          <w:p>
            <w:pPr>
              <w:spacing w:after="0" w:line="259" w:lineRule="auto"/>
            </w:pPr>
            <w:r>
              <w:rPr>
                <w:rFonts w:ascii="Aptos" w:hAnsi="Aptos"/>
                <w:b w:val="0"/>
                <w:i w:val="0"/>
                <w:color w:val="1E252B"/>
                <w:sz w:val="16"/>
              </w:rPr>
              <w:t>Name, record identifier, contact details</w:t>
            </w:r>
          </w:p>
        </w:tc>
        <w:tc>
          <w:tcPr>
            <w:tcW w:type="dxa" w:w="4160"/>
            <w:vAlign w:val="center"/>
            <w:tcMar>
              <w:top w:w="90" w:type="dxa"/>
              <w:left w:w="120" w:type="dxa"/>
              <w:bottom w:w="90" w:type="dxa"/>
              <w:right w:w="120" w:type="dxa"/>
            </w:tcMar>
          </w:tcPr>
          <w:p>
            <w:pPr>
              <w:spacing w:after="0" w:line="259" w:lineRule="auto"/>
            </w:pPr>
            <w:r>
              <w:rPr>
                <w:rFonts w:ascii="Aptos" w:hAnsi="Aptos"/>
                <w:b w:val="0"/>
                <w:i w:val="0"/>
                <w:color w:val="1E252B"/>
                <w:sz w:val="16"/>
              </w:rPr>
              <w:t>Restrict by role; encrypt; minimize display and export</w:t>
            </w:r>
          </w:p>
        </w:tc>
      </w:tr>
      <w:tr>
        <w:tc>
          <w:tcPr>
            <w:tcW w:type="dxa" w:w="2000"/>
            <w:vAlign w:val="center"/>
            <w:tcMar>
              <w:top w:w="90" w:type="dxa"/>
              <w:left w:w="120" w:type="dxa"/>
              <w:bottom w:w="90" w:type="dxa"/>
              <w:right w:w="120" w:type="dxa"/>
            </w:tcMar>
          </w:tcPr>
          <w:p>
            <w:pPr>
              <w:spacing w:after="0" w:line="259" w:lineRule="auto"/>
            </w:pPr>
            <w:r>
              <w:rPr>
                <w:rFonts w:ascii="Aptos" w:hAnsi="Aptos"/>
                <w:b w:val="0"/>
                <w:i w:val="0"/>
                <w:color w:val="1E252B"/>
                <w:sz w:val="16"/>
              </w:rPr>
              <w:t>Sensitive scheduling context</w:t>
            </w:r>
          </w:p>
        </w:tc>
        <w:tc>
          <w:tcPr>
            <w:tcW w:type="dxa" w:w="3200"/>
            <w:vAlign w:val="center"/>
            <w:tcMar>
              <w:top w:w="90" w:type="dxa"/>
              <w:left w:w="120" w:type="dxa"/>
              <w:bottom w:w="90" w:type="dxa"/>
              <w:right w:w="120" w:type="dxa"/>
            </w:tcMar>
          </w:tcPr>
          <w:p>
            <w:pPr>
              <w:spacing w:after="0" w:line="259" w:lineRule="auto"/>
            </w:pPr>
            <w:r>
              <w:rPr>
                <w:rFonts w:ascii="Aptos" w:hAnsi="Aptos"/>
                <w:b w:val="0"/>
                <w:i w:val="0"/>
                <w:color w:val="1E252B"/>
                <w:sz w:val="16"/>
              </w:rPr>
              <w:t>Condition summary, accommodations, contact notes</w:t>
            </w:r>
          </w:p>
        </w:tc>
        <w:tc>
          <w:tcPr>
            <w:tcW w:type="dxa" w:w="4160"/>
            <w:vAlign w:val="center"/>
            <w:tcMar>
              <w:top w:w="90" w:type="dxa"/>
              <w:left w:w="120" w:type="dxa"/>
              <w:bottom w:w="90" w:type="dxa"/>
              <w:right w:w="120" w:type="dxa"/>
            </w:tcMar>
          </w:tcPr>
          <w:p>
            <w:pPr>
              <w:spacing w:after="0" w:line="259" w:lineRule="auto"/>
            </w:pPr>
            <w:r>
              <w:rPr>
                <w:rFonts w:ascii="Aptos" w:hAnsi="Aptos"/>
                <w:b w:val="0"/>
                <w:i w:val="0"/>
                <w:color w:val="1E252B"/>
                <w:sz w:val="16"/>
              </w:rPr>
              <w:t>Minimum necessary; controlled access; avoid diagnostic logging</w:t>
            </w:r>
          </w:p>
        </w:tc>
      </w:tr>
      <w:tr>
        <w:tc>
          <w:tcPr>
            <w:tcW w:type="dxa" w:w="2000"/>
            <w:vAlign w:val="center"/>
            <w:tcMar>
              <w:top w:w="90" w:type="dxa"/>
              <w:left w:w="120" w:type="dxa"/>
              <w:bottom w:w="90" w:type="dxa"/>
              <w:right w:w="120" w:type="dxa"/>
            </w:tcMar>
          </w:tcPr>
          <w:p>
            <w:pPr>
              <w:spacing w:after="0" w:line="259" w:lineRule="auto"/>
            </w:pPr>
            <w:r>
              <w:rPr>
                <w:rFonts w:ascii="Aptos" w:hAnsi="Aptos"/>
                <w:b w:val="0"/>
                <w:i w:val="0"/>
                <w:color w:val="1E252B"/>
                <w:sz w:val="16"/>
              </w:rPr>
              <w:t>Operational</w:t>
            </w:r>
          </w:p>
        </w:tc>
        <w:tc>
          <w:tcPr>
            <w:tcW w:type="dxa" w:w="3200"/>
            <w:vAlign w:val="center"/>
            <w:tcMar>
              <w:top w:w="90" w:type="dxa"/>
              <w:left w:w="120" w:type="dxa"/>
              <w:bottom w:w="90" w:type="dxa"/>
              <w:right w:w="120" w:type="dxa"/>
            </w:tcMar>
          </w:tcPr>
          <w:p>
            <w:pPr>
              <w:spacing w:after="0" w:line="259" w:lineRule="auto"/>
            </w:pPr>
            <w:r>
              <w:rPr>
                <w:rFonts w:ascii="Aptos" w:hAnsi="Aptos"/>
                <w:b w:val="0"/>
                <w:i w:val="0"/>
                <w:color w:val="1E252B"/>
                <w:sz w:val="16"/>
              </w:rPr>
              <w:t>Hours, shifts, rooms, equipment, procedure templates</w:t>
            </w:r>
          </w:p>
        </w:tc>
        <w:tc>
          <w:tcPr>
            <w:tcW w:type="dxa" w:w="4160"/>
            <w:vAlign w:val="center"/>
            <w:tcMar>
              <w:top w:w="90" w:type="dxa"/>
              <w:left w:w="120" w:type="dxa"/>
              <w:bottom w:w="90" w:type="dxa"/>
              <w:right w:w="120" w:type="dxa"/>
            </w:tcMar>
          </w:tcPr>
          <w:p>
            <w:pPr>
              <w:spacing w:after="0" w:line="259" w:lineRule="auto"/>
            </w:pPr>
            <w:r>
              <w:rPr>
                <w:rFonts w:ascii="Aptos" w:hAnsi="Aptos"/>
                <w:b w:val="0"/>
                <w:i w:val="0"/>
                <w:color w:val="1E252B"/>
                <w:sz w:val="16"/>
              </w:rPr>
              <w:t>Change control and audit; usually not patient-identifying</w:t>
            </w:r>
          </w:p>
        </w:tc>
      </w:tr>
      <w:tr>
        <w:tc>
          <w:tcPr>
            <w:tcW w:type="dxa" w:w="2000"/>
            <w:vAlign w:val="center"/>
            <w:tcMar>
              <w:top w:w="90" w:type="dxa"/>
              <w:left w:w="120" w:type="dxa"/>
              <w:bottom w:w="90" w:type="dxa"/>
              <w:right w:w="120" w:type="dxa"/>
            </w:tcMar>
          </w:tcPr>
          <w:p>
            <w:pPr>
              <w:spacing w:after="0" w:line="259" w:lineRule="auto"/>
            </w:pPr>
            <w:r>
              <w:rPr>
                <w:rFonts w:ascii="Aptos" w:hAnsi="Aptos"/>
                <w:b w:val="0"/>
                <w:i w:val="0"/>
                <w:color w:val="1E252B"/>
                <w:sz w:val="16"/>
              </w:rPr>
              <w:t>Security</w:t>
            </w:r>
          </w:p>
        </w:tc>
        <w:tc>
          <w:tcPr>
            <w:tcW w:type="dxa" w:w="3200"/>
            <w:vAlign w:val="center"/>
            <w:tcMar>
              <w:top w:w="90" w:type="dxa"/>
              <w:left w:w="120" w:type="dxa"/>
              <w:bottom w:w="90" w:type="dxa"/>
              <w:right w:w="120" w:type="dxa"/>
            </w:tcMar>
          </w:tcPr>
          <w:p>
            <w:pPr>
              <w:spacing w:after="0" w:line="259" w:lineRule="auto"/>
            </w:pPr>
            <w:r>
              <w:rPr>
                <w:rFonts w:ascii="Aptos" w:hAnsi="Aptos"/>
                <w:b w:val="0"/>
                <w:i w:val="0"/>
                <w:color w:val="1E252B"/>
                <w:sz w:val="16"/>
              </w:rPr>
              <w:t>User identity, sessions, permissions, audit events</w:t>
            </w:r>
          </w:p>
        </w:tc>
        <w:tc>
          <w:tcPr>
            <w:tcW w:type="dxa" w:w="4160"/>
            <w:vAlign w:val="center"/>
            <w:tcMar>
              <w:top w:w="90" w:type="dxa"/>
              <w:left w:w="120" w:type="dxa"/>
              <w:bottom w:w="90" w:type="dxa"/>
              <w:right w:w="120" w:type="dxa"/>
            </w:tcMar>
          </w:tcPr>
          <w:p>
            <w:pPr>
              <w:spacing w:after="0" w:line="259" w:lineRule="auto"/>
            </w:pPr>
            <w:r>
              <w:rPr>
                <w:rFonts w:ascii="Aptos" w:hAnsi="Aptos"/>
                <w:b w:val="0"/>
                <w:i w:val="0"/>
                <w:color w:val="1E252B"/>
                <w:sz w:val="16"/>
              </w:rPr>
              <w:t>Protect integrity; restrict administration; monitor anomalies</w:t>
            </w:r>
          </w:p>
        </w:tc>
      </w:tr>
      <w:tr>
        <w:tc>
          <w:tcPr>
            <w:tcW w:type="dxa" w:w="2000"/>
            <w:vAlign w:val="center"/>
            <w:tcMar>
              <w:top w:w="90" w:type="dxa"/>
              <w:left w:w="120" w:type="dxa"/>
              <w:bottom w:w="90" w:type="dxa"/>
              <w:right w:w="120" w:type="dxa"/>
            </w:tcMar>
          </w:tcPr>
          <w:p>
            <w:pPr>
              <w:spacing w:after="0" w:line="259" w:lineRule="auto"/>
            </w:pPr>
            <w:r>
              <w:rPr>
                <w:rFonts w:ascii="Aptos" w:hAnsi="Aptos"/>
                <w:b w:val="0"/>
                <w:i w:val="0"/>
                <w:color w:val="1E252B"/>
                <w:sz w:val="16"/>
              </w:rPr>
              <w:t>Derived analytics</w:t>
            </w:r>
          </w:p>
        </w:tc>
        <w:tc>
          <w:tcPr>
            <w:tcW w:type="dxa" w:w="3200"/>
            <w:vAlign w:val="center"/>
            <w:tcMar>
              <w:top w:w="90" w:type="dxa"/>
              <w:left w:w="120" w:type="dxa"/>
              <w:bottom w:w="90" w:type="dxa"/>
              <w:right w:w="120" w:type="dxa"/>
            </w:tcMar>
          </w:tcPr>
          <w:p>
            <w:pPr>
              <w:spacing w:after="0" w:line="259" w:lineRule="auto"/>
            </w:pPr>
            <w:r>
              <w:rPr>
                <w:rFonts w:ascii="Aptos" w:hAnsi="Aptos"/>
                <w:b w:val="0"/>
                <w:i w:val="0"/>
                <w:color w:val="1E252B"/>
                <w:sz w:val="16"/>
              </w:rPr>
              <w:t>Wait time, utilization, completion rates</w:t>
            </w:r>
          </w:p>
        </w:tc>
        <w:tc>
          <w:tcPr>
            <w:tcW w:type="dxa" w:w="4160"/>
            <w:vAlign w:val="center"/>
            <w:tcMar>
              <w:top w:w="90" w:type="dxa"/>
              <w:left w:w="120" w:type="dxa"/>
              <w:bottom w:w="90" w:type="dxa"/>
              <w:right w:w="120" w:type="dxa"/>
            </w:tcMar>
          </w:tcPr>
          <w:p>
            <w:pPr>
              <w:spacing w:after="0" w:line="259" w:lineRule="auto"/>
            </w:pPr>
            <w:r>
              <w:rPr>
                <w:rFonts w:ascii="Aptos" w:hAnsi="Aptos"/>
                <w:b w:val="0"/>
                <w:i w:val="0"/>
                <w:color w:val="1E252B"/>
                <w:sz w:val="16"/>
              </w:rPr>
              <w:t>Aggregate where possible; suppress small or identifiable groups</w:t>
            </w:r>
          </w:p>
        </w:tc>
      </w:tr>
    </w:tbl>
    <w:p>
      <w:pPr>
        <w:spacing w:after="60"/>
      </w:pPr>
    </w:p>
    <w:p>
      <w:pPr>
        <w:pStyle w:val="Heading2"/>
        <w:keepNext/>
      </w:pPr>
      <w:r>
        <w:rPr>
          <w:rFonts w:ascii="Aptos" w:hAnsi="Aptos"/>
          <w:b/>
          <w:i w:val="0"/>
          <w:color w:val="1C766C"/>
          <w:sz w:val="26"/>
        </w:rPr>
        <w:t>5.3 Conceptual Entities</w:t>
      </w:r>
    </w:p>
    <w:tbl>
      <w:tblPr>
        <w:tblStyle w:val="TableGrid"/>
        <w:tblW w:type="dxa" w:w="9360"/>
        <w:jc w:val="left"/>
        <w:tblLayout w:type="fixed"/>
        <w:tblLook w:firstColumn="1" w:firstRow="1" w:lastColumn="0" w:lastRow="0" w:noHBand="0" w:noVBand="1" w:val="04A0"/>
        <w:tblInd w:type="dxa" w:w="120"/>
      </w:tblPr>
      <w:tblGrid>
        <w:gridCol w:w="1900"/>
        <w:gridCol w:w="3700"/>
        <w:gridCol w:w="3760"/>
      </w:tblGrid>
      <w:tr>
        <w:trPr>
          <w:tblHeader w:val="true"/>
        </w:trPr>
        <w:tc>
          <w:tcPr>
            <w:tcW w:type="dxa" w:w="1900"/>
            <w:shd w:fill="20344A"/>
            <w:vAlign w:val="center"/>
            <w:tcMar>
              <w:top w:w="90" w:type="dxa"/>
              <w:left w:w="120" w:type="dxa"/>
              <w:bottom w:w="90" w:type="dxa"/>
              <w:right w:w="120" w:type="dxa"/>
            </w:tcMar>
          </w:tcPr>
          <w:p>
            <w:pPr>
              <w:spacing w:after="0"/>
              <w:jc w:val="center"/>
            </w:pPr>
            <w:r>
              <w:rPr>
                <w:rFonts w:ascii="Aptos" w:hAnsi="Aptos"/>
                <w:b/>
                <w:i w:val="0"/>
                <w:color w:val="FFFFFF"/>
                <w:sz w:val="17"/>
              </w:rPr>
              <w:t>Entity</w:t>
            </w:r>
          </w:p>
        </w:tc>
        <w:tc>
          <w:tcPr>
            <w:tcW w:type="dxa" w:w="3700"/>
            <w:shd w:fill="20344A"/>
            <w:vAlign w:val="center"/>
            <w:tcMar>
              <w:top w:w="90" w:type="dxa"/>
              <w:left w:w="120" w:type="dxa"/>
              <w:bottom w:w="90" w:type="dxa"/>
              <w:right w:w="120" w:type="dxa"/>
            </w:tcMar>
          </w:tcPr>
          <w:p>
            <w:pPr>
              <w:spacing w:after="0"/>
              <w:jc w:val="center"/>
            </w:pPr>
            <w:r>
              <w:rPr>
                <w:rFonts w:ascii="Aptos" w:hAnsi="Aptos"/>
                <w:b/>
                <w:i w:val="0"/>
                <w:color w:val="FFFFFF"/>
                <w:sz w:val="17"/>
              </w:rPr>
              <w:t>Purpose</w:t>
            </w:r>
          </w:p>
        </w:tc>
        <w:tc>
          <w:tcPr>
            <w:tcW w:type="dxa" w:w="3760"/>
            <w:shd w:fill="20344A"/>
            <w:vAlign w:val="center"/>
            <w:tcMar>
              <w:top w:w="90" w:type="dxa"/>
              <w:left w:w="120" w:type="dxa"/>
              <w:bottom w:w="90" w:type="dxa"/>
              <w:right w:w="120" w:type="dxa"/>
            </w:tcMar>
          </w:tcPr>
          <w:p>
            <w:pPr>
              <w:spacing w:after="0"/>
              <w:jc w:val="center"/>
            </w:pPr>
            <w:r>
              <w:rPr>
                <w:rFonts w:ascii="Aptos" w:hAnsi="Aptos"/>
                <w:b/>
                <w:i w:val="0"/>
                <w:color w:val="FFFFFF"/>
                <w:sz w:val="17"/>
              </w:rPr>
              <w:t>Key relationships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Scheduling identity and allowed contact context</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Owns requests, appointments, and waitlist entries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User and role</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Authentication and authorization</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Creates actions and audit evidence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Provider</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Schedulable clinician or support staff</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Has role, qualifications, shifts, leave, targets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Procedure</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Bookable service definition</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Has duration policy, phase template, resource requirements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Qualification</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Effective-dated permission to perform a procedure</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Joins provider and procedure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Facility calendar</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Operating hours and exceptions</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Limits all resource activity</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Shift or rota override</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Dated change to recurring availability and approved cover</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Supersedes the normal pattern for one date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Room</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Physical treatment space and capabilities</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Reserved by appointment phases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Equipment</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Capacity-limited type and specific units</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by procedure and reserved by phase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 availability</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Allowed dates, days, and local-time windows</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Constrains one scheduling request</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Protected block</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Emergency, administrative, or other reserved capacity</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May be released or consumed only by policy</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Scheduling request</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 intent and acceptable window</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Produces recommendation snapshots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Recommendation</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Short-lived feasible candidate reviewed by a user</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May be consumed into one appointment</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Appointment</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Confirmed or historical visit</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Owns phases, resources, status history, and links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Appointment phase</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Ordered time interval with assigned role/provider/room</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Enables fine-grained collision checks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Equipment reservation</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Unit-level allocation over a time interval</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Linked to appointment and phase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Reschedule permission</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Explicit authorization for an exact change</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Single-use, time-limited, actor/reason bound</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Waitlist entry</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Patient-authorized search for earlier or special follow-up access</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May generate requests and contact history</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Contact attempt</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Operational record of an offer or outreach</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Linked to waitlist entry; minimal notes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Appointment link</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Relationship between source and follow-up visits</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Carries minimum/maximum lead-time policy</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Production credit</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Configurable operational value assigned by role</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Supports targets and analytics; never overrides hard constraints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Duration observation</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De-identified scheduled-versus-observed timing from completed visits or optional imports</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May feed staged calibration recommendations; never required for baseline scheduling</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Status history</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Append-only appointment state transitions</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Linked to appointment and actor</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Audit event</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Security-relevant evidence</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Captures actor, action, object, time, and minimal metadata</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Policy version</w:t>
            </w:r>
          </w:p>
        </w:tc>
        <w:tc>
          <w:tcPr>
            <w:tcW w:type="dxa" w:w="3700"/>
            <w:vAlign w:val="center"/>
            <w:tcMar>
              <w:top w:w="90" w:type="dxa"/>
              <w:left w:w="120" w:type="dxa"/>
              <w:bottom w:w="90" w:type="dxa"/>
              <w:right w:w="120" w:type="dxa"/>
            </w:tcMar>
          </w:tcPr>
          <w:p>
            <w:pPr>
              <w:spacing w:after="0" w:line="259" w:lineRule="auto"/>
            </w:pPr>
            <w:r>
              <w:rPr>
                <w:rFonts w:ascii="Aptos" w:hAnsi="Aptos"/>
                <w:b w:val="0"/>
                <w:i w:val="0"/>
                <w:color w:val="1E252B"/>
                <w:sz w:val="16"/>
              </w:rPr>
              <w:t>Approved effective configuration</w:t>
            </w:r>
          </w:p>
        </w:tc>
        <w:tc>
          <w:tcPr>
            <w:tcW w:type="dxa" w:w="3760"/>
            <w:vAlign w:val="center"/>
            <w:tcMar>
              <w:top w:w="90" w:type="dxa"/>
              <w:left w:w="120" w:type="dxa"/>
              <w:bottom w:w="90" w:type="dxa"/>
              <w:right w:w="120" w:type="dxa"/>
            </w:tcMar>
          </w:tcPr>
          <w:p>
            <w:pPr>
              <w:spacing w:after="0" w:line="259" w:lineRule="auto"/>
            </w:pPr>
            <w:r>
              <w:rPr>
                <w:rFonts w:ascii="Aptos" w:hAnsi="Aptos"/>
                <w:b w:val="0"/>
                <w:i w:val="0"/>
                <w:color w:val="1E252B"/>
                <w:sz w:val="16"/>
              </w:rPr>
              <w:t>Referenced by recommendations and changes where needed</w:t>
            </w:r>
          </w:p>
        </w:tc>
      </w:tr>
    </w:tbl>
    <w:p>
      <w:pPr>
        <w:spacing w:after="60"/>
      </w:pPr>
    </w:p>
    <w:p>
      <w:pPr>
        <w:pStyle w:val="Heading2"/>
        <w:keepNext/>
      </w:pPr>
      <w:r>
        <w:rPr>
          <w:rFonts w:ascii="Aptos" w:hAnsi="Aptos"/>
          <w:b/>
          <w:i w:val="0"/>
          <w:color w:val="1C766C"/>
          <w:sz w:val="26"/>
        </w:rPr>
        <w:t>5.4 Important State Rules</w:t>
      </w:r>
    </w:p>
    <w:tbl>
      <w:tblPr>
        <w:tblStyle w:val="TableGrid"/>
        <w:tblW w:type="dxa" w:w="9360"/>
        <w:jc w:val="left"/>
        <w:tblLayout w:type="fixed"/>
        <w:tblLook w:firstColumn="1" w:firstRow="1" w:lastColumn="0" w:lastRow="0" w:noHBand="0" w:noVBand="1" w:val="04A0"/>
        <w:tblInd w:type="dxa" w:w="120"/>
      </w:tblPr>
      <w:tblGrid>
        <w:gridCol w:w="1900"/>
        <w:gridCol w:w="3000"/>
        <w:gridCol w:w="4460"/>
      </w:tblGrid>
      <w:tr>
        <w:trPr>
          <w:tblHeader w:val="true"/>
        </w:trPr>
        <w:tc>
          <w:tcPr>
            <w:tcW w:type="dxa" w:w="1900"/>
            <w:shd w:fill="20344A"/>
            <w:vAlign w:val="center"/>
            <w:tcMar>
              <w:top w:w="90" w:type="dxa"/>
              <w:left w:w="120" w:type="dxa"/>
              <w:bottom w:w="90" w:type="dxa"/>
              <w:right w:w="120" w:type="dxa"/>
            </w:tcMar>
          </w:tcPr>
          <w:p>
            <w:pPr>
              <w:spacing w:after="0"/>
              <w:jc w:val="center"/>
            </w:pPr>
            <w:r>
              <w:rPr>
                <w:rFonts w:ascii="Aptos" w:hAnsi="Aptos"/>
                <w:b/>
                <w:i w:val="0"/>
                <w:color w:val="FFFFFF"/>
                <w:sz w:val="18"/>
              </w:rPr>
              <w:t>Object</w:t>
            </w:r>
          </w:p>
        </w:tc>
        <w:tc>
          <w:tcPr>
            <w:tcW w:type="dxa" w:w="3000"/>
            <w:shd w:fill="20344A"/>
            <w:vAlign w:val="center"/>
            <w:tcMar>
              <w:top w:w="90" w:type="dxa"/>
              <w:left w:w="120" w:type="dxa"/>
              <w:bottom w:w="90" w:type="dxa"/>
              <w:right w:w="120" w:type="dxa"/>
            </w:tcMar>
          </w:tcPr>
          <w:p>
            <w:pPr>
              <w:spacing w:after="0"/>
              <w:jc w:val="center"/>
            </w:pPr>
            <w:r>
              <w:rPr>
                <w:rFonts w:ascii="Aptos" w:hAnsi="Aptos"/>
                <w:b/>
                <w:i w:val="0"/>
                <w:color w:val="FFFFFF"/>
                <w:sz w:val="18"/>
              </w:rPr>
              <w:t>Typical states</w:t>
            </w:r>
          </w:p>
        </w:tc>
        <w:tc>
          <w:tcPr>
            <w:tcW w:type="dxa" w:w="4460"/>
            <w:shd w:fill="20344A"/>
            <w:vAlign w:val="center"/>
            <w:tcMar>
              <w:top w:w="90" w:type="dxa"/>
              <w:left w:w="120" w:type="dxa"/>
              <w:bottom w:w="90" w:type="dxa"/>
              <w:right w:w="120" w:type="dxa"/>
            </w:tcMar>
          </w:tcPr>
          <w:p>
            <w:pPr>
              <w:spacing w:after="0"/>
              <w:jc w:val="center"/>
            </w:pPr>
            <w:r>
              <w:rPr>
                <w:rFonts w:ascii="Aptos" w:hAnsi="Aptos"/>
                <w:b/>
                <w:i w:val="0"/>
                <w:color w:val="FFFFFF"/>
                <w:sz w:val="18"/>
              </w:rPr>
              <w:t>Critical rule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8"/>
              </w:rPr>
              <w:t>Scheduling request</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8"/>
              </w:rPr>
              <w:t>open, recommended, scheduled, withdrawn, expired</w:t>
            </w:r>
          </w:p>
        </w:tc>
        <w:tc>
          <w:tcPr>
            <w:tcW w:type="dxa" w:w="4460"/>
            <w:vAlign w:val="center"/>
            <w:tcMar>
              <w:top w:w="90" w:type="dxa"/>
              <w:left w:w="120" w:type="dxa"/>
              <w:bottom w:w="90" w:type="dxa"/>
              <w:right w:w="120" w:type="dxa"/>
            </w:tcMar>
          </w:tcPr>
          <w:p>
            <w:pPr>
              <w:spacing w:after="0" w:line="259" w:lineRule="auto"/>
            </w:pPr>
            <w:r>
              <w:rPr>
                <w:rFonts w:ascii="Aptos" w:hAnsi="Aptos"/>
                <w:b w:val="0"/>
                <w:i w:val="0"/>
                <w:color w:val="1E252B"/>
                <w:sz w:val="18"/>
              </w:rPr>
              <w:t>Scheduling occurs only after explicit confirmation</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8"/>
              </w:rPr>
              <w:t>Recommendation</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8"/>
              </w:rPr>
              <w:t>active, consumed, expired, invalidated</w:t>
            </w:r>
          </w:p>
        </w:tc>
        <w:tc>
          <w:tcPr>
            <w:tcW w:type="dxa" w:w="4460"/>
            <w:vAlign w:val="center"/>
            <w:tcMar>
              <w:top w:w="90" w:type="dxa"/>
              <w:left w:w="120" w:type="dxa"/>
              <w:bottom w:w="90" w:type="dxa"/>
              <w:right w:w="120" w:type="dxa"/>
            </w:tcMar>
          </w:tcPr>
          <w:p>
            <w:pPr>
              <w:spacing w:after="0" w:line="259" w:lineRule="auto"/>
            </w:pPr>
            <w:r>
              <w:rPr>
                <w:rFonts w:ascii="Aptos" w:hAnsi="Aptos"/>
                <w:b w:val="0"/>
                <w:i w:val="0"/>
                <w:color w:val="1E252B"/>
                <w:sz w:val="18"/>
              </w:rPr>
              <w:t>Short-lived and single use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8"/>
              </w:rPr>
              <w:t>Appointment</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8"/>
              </w:rPr>
              <w:t>held, confirmed, cancelled, completed, no-show</w:t>
            </w:r>
          </w:p>
        </w:tc>
        <w:tc>
          <w:tcPr>
            <w:tcW w:type="dxa" w:w="4460"/>
            <w:vAlign w:val="center"/>
            <w:tcMar>
              <w:top w:w="90" w:type="dxa"/>
              <w:left w:w="120" w:type="dxa"/>
              <w:bottom w:w="90" w:type="dxa"/>
              <w:right w:w="120" w:type="dxa"/>
            </w:tcMar>
          </w:tcPr>
          <w:p>
            <w:pPr>
              <w:spacing w:after="0" w:line="259" w:lineRule="auto"/>
            </w:pPr>
            <w:r>
              <w:rPr>
                <w:rFonts w:ascii="Aptos" w:hAnsi="Aptos"/>
                <w:b w:val="0"/>
                <w:i w:val="0"/>
                <w:color w:val="1E252B"/>
                <w:sz w:val="18"/>
              </w:rPr>
              <w:t>Only active held/confirmed states reserve capacity according to approved hold policy</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8"/>
              </w:rPr>
              <w:t>Arrival workflow</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8"/>
              </w:rPr>
              <w:t>not-arrived, checked-in, seated, completed</w:t>
            </w:r>
          </w:p>
        </w:tc>
        <w:tc>
          <w:tcPr>
            <w:tcW w:type="dxa" w:w="4460"/>
            <w:vAlign w:val="center"/>
            <w:tcMar>
              <w:top w:w="90" w:type="dxa"/>
              <w:left w:w="120" w:type="dxa"/>
              <w:bottom w:w="90" w:type="dxa"/>
              <w:right w:w="120" w:type="dxa"/>
            </w:tcMar>
          </w:tcPr>
          <w:p>
            <w:pPr>
              <w:spacing w:after="0" w:line="259" w:lineRule="auto"/>
            </w:pPr>
            <w:r>
              <w:rPr>
                <w:rFonts w:ascii="Aptos" w:hAnsi="Aptos"/>
                <w:b w:val="0"/>
                <w:i w:val="0"/>
                <w:color w:val="1E252B"/>
                <w:sz w:val="18"/>
              </w:rPr>
              <w:t>Operational timestamps do not rewrite the appointment's scheduled interval</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8"/>
              </w:rPr>
              <w:t>Waitlist entry</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8"/>
              </w:rPr>
              <w:t>active, offered, scheduled, declined, expired</w:t>
            </w:r>
          </w:p>
        </w:tc>
        <w:tc>
          <w:tcPr>
            <w:tcW w:type="dxa" w:w="4460"/>
            <w:vAlign w:val="center"/>
            <w:tcMar>
              <w:top w:w="90" w:type="dxa"/>
              <w:left w:w="120" w:type="dxa"/>
              <w:bottom w:w="90" w:type="dxa"/>
              <w:right w:w="120" w:type="dxa"/>
            </w:tcMar>
          </w:tcPr>
          <w:p>
            <w:pPr>
              <w:spacing w:after="0" w:line="259" w:lineRule="auto"/>
            </w:pPr>
            <w:r>
              <w:rPr>
                <w:rFonts w:ascii="Aptos" w:hAnsi="Aptos"/>
                <w:b w:val="0"/>
                <w:i w:val="0"/>
                <w:color w:val="1E252B"/>
                <w:sz w:val="18"/>
              </w:rPr>
              <w:t>An offer is not a booking</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8"/>
              </w:rPr>
              <w:t>Reschedule permission</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8"/>
              </w:rPr>
              <w:t>issued, consumed, expired</w:t>
            </w:r>
          </w:p>
        </w:tc>
        <w:tc>
          <w:tcPr>
            <w:tcW w:type="dxa" w:w="4460"/>
            <w:vAlign w:val="center"/>
            <w:tcMar>
              <w:top w:w="90" w:type="dxa"/>
              <w:left w:w="120" w:type="dxa"/>
              <w:bottom w:w="90" w:type="dxa"/>
              <w:right w:w="120" w:type="dxa"/>
            </w:tcMar>
          </w:tcPr>
          <w:p>
            <w:pPr>
              <w:spacing w:after="0" w:line="259" w:lineRule="auto"/>
            </w:pPr>
            <w:r>
              <w:rPr>
                <w:rFonts w:ascii="Aptos" w:hAnsi="Aptos"/>
                <w:b w:val="0"/>
                <w:i w:val="0"/>
                <w:color w:val="1E252B"/>
                <w:sz w:val="18"/>
              </w:rPr>
              <w:t>Must match exact old/new values and be used once</w:t>
            </w:r>
          </w:p>
        </w:tc>
      </w:tr>
    </w:tbl>
    <w:p>
      <w:pPr>
        <w:spacing w:after="60"/>
      </w:pPr>
    </w:p>
    <w:p>
      <w:pPr>
        <w:pStyle w:val="Heading2"/>
        <w:keepNext/>
      </w:pPr>
      <w:r>
        <w:rPr>
          <w:rFonts w:ascii="Aptos" w:hAnsi="Aptos"/>
          <w:b/>
          <w:i w:val="0"/>
          <w:color w:val="1C766C"/>
          <w:sz w:val="26"/>
        </w:rPr>
        <w:t>5.5 Retention and De-Identification</w:t>
      </w:r>
    </w:p>
    <w:p>
      <w:pPr>
        <w:spacing w:after="120" w:line="283" w:lineRule="auto"/>
      </w:pPr>
      <w:r>
        <w:rPr>
          <w:rFonts w:ascii="Aptos" w:hAnsi="Aptos"/>
          <w:b w:val="0"/>
          <w:i w:val="0"/>
          <w:color w:val="1E252B"/>
          <w:sz w:val="21"/>
        </w:rPr>
        <w:t>Retention periods must come from applicable law, professional requirements, contractual obligations, and approved organizational policy. The system should support legal hold, defensible deletion, encrypted backup, restore testing, and media destruction. AI training or evaluation datasets should be de-identified and separately approved; removing direct identifiers alone may not make a dataset safe.</w:t>
      </w:r>
    </w:p>
    <w:p>
      <w:pPr>
        <w:pStyle w:val="Heading2"/>
        <w:keepNext/>
      </w:pPr>
      <w:r>
        <w:rPr>
          <w:rFonts w:ascii="Aptos" w:hAnsi="Aptos"/>
          <w:b/>
          <w:i w:val="0"/>
          <w:color w:val="1C766C"/>
          <w:sz w:val="26"/>
        </w:rPr>
        <w:t>5.6 Time, Timezone, and Daylight-Saving Semantics</w:t>
      </w:r>
    </w:p>
    <w:p>
      <w:pPr>
        <w:pStyle w:val="ListBullet"/>
        <w:spacing w:after="80" w:line="276" w:lineRule="auto"/>
        <w:ind w:left="547" w:hanging="274"/>
      </w:pPr>
      <w:r>
        <w:rPr>
          <w:rFonts w:ascii="Aptos" w:hAnsi="Aptos"/>
          <w:b w:val="0"/>
          <w:i w:val="0"/>
          <w:color w:val="1E252B"/>
          <w:sz w:val="21"/>
        </w:rPr>
        <w:t>Persist instants in UTC and retain the originating facility timezone needed to reconstruct local scheduling intent.</w:t>
      </w:r>
    </w:p>
    <w:p>
      <w:pPr>
        <w:pStyle w:val="ListBullet"/>
        <w:spacing w:after="80" w:line="276" w:lineRule="auto"/>
        <w:ind w:left="547" w:hanging="274"/>
      </w:pPr>
      <w:r>
        <w:rPr>
          <w:rFonts w:ascii="Aptos" w:hAnsi="Aptos"/>
          <w:b w:val="0"/>
          <w:i w:val="0"/>
          <w:color w:val="1E252B"/>
          <w:sz w:val="21"/>
        </w:rPr>
        <w:t>Evaluate hours, date windows, holidays, leave, protected blocks, and the rolling horizon in the facility's local timezone.</w:t>
      </w:r>
    </w:p>
    <w:p>
      <w:pPr>
        <w:pStyle w:val="ListBullet"/>
        <w:spacing w:after="80" w:line="276" w:lineRule="auto"/>
        <w:ind w:left="547" w:hanging="274"/>
      </w:pPr>
      <w:r>
        <w:rPr>
          <w:rFonts w:ascii="Aptos" w:hAnsi="Aptos"/>
          <w:b w:val="0"/>
          <w:i w:val="0"/>
          <w:color w:val="1E252B"/>
          <w:sz w:val="21"/>
        </w:rPr>
        <w:t>Reject nonexistent local times during a spring-forward transition and disambiguate repeated local times during a fall-back transition.</w:t>
      </w:r>
    </w:p>
    <w:p>
      <w:pPr>
        <w:pStyle w:val="ListBullet"/>
        <w:spacing w:after="80" w:line="276" w:lineRule="auto"/>
        <w:ind w:left="547" w:hanging="274"/>
      </w:pPr>
      <w:r>
        <w:rPr>
          <w:rFonts w:ascii="Aptos" w:hAnsi="Aptos"/>
          <w:b w:val="0"/>
          <w:i w:val="0"/>
          <w:color w:val="1E252B"/>
          <w:sz w:val="21"/>
        </w:rPr>
        <w:t>Use half-open intervals—start inclusive, end exclusive—for collision logic so adjacent appointments may touch without overlapping.</w:t>
      </w:r>
    </w:p>
    <w:p>
      <w:pPr>
        <w:pStyle w:val="ListBullet"/>
        <w:spacing w:after="80" w:line="276" w:lineRule="auto"/>
        <w:ind w:left="547" w:hanging="274"/>
      </w:pPr>
      <w:r>
        <w:rPr>
          <w:rFonts w:ascii="Aptos" w:hAnsi="Aptos"/>
          <w:b w:val="0"/>
          <w:i w:val="0"/>
          <w:color w:val="1E252B"/>
          <w:sz w:val="21"/>
        </w:rPr>
        <w:t>Use an approved internal time source; clock drift must not invalidate audit ordering, recommendation expiry, or reschedule permission expiry.</w:t>
      </w:r>
    </w:p>
    <w:p>
      <w:pPr>
        <w:pStyle w:val="Heading2"/>
        <w:keepNext/>
      </w:pPr>
      <w:r>
        <w:rPr>
          <w:rFonts w:ascii="Aptos" w:hAnsi="Aptos"/>
          <w:b/>
          <w:i w:val="0"/>
          <w:color w:val="1C766C"/>
          <w:sz w:val="26"/>
        </w:rPr>
        <w:t>5.7 Data Integrity, Idempotency, and Provenance</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7"/>
              </w:rPr>
              <w:t>Concern</w:t>
            </w:r>
          </w:p>
        </w:tc>
        <w:tc>
          <w:tcPr>
            <w:tcW w:type="dxa" w:w="716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Required pattern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Duplicate submission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Use a scoped idempotency key for create/confirm/status actions so retries do not create duplicate appointments or events.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Optimistic change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Use a version value on protected records; reject changes based on an older version.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Referential integrity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An active phase or equipment reservation cannot outlive or contradict its appointment.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Policy provenance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Record the effective procedure, priority, duration, resource, and ranking policy version used for a recommendation.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Model provenance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Record model and prompt/schema versions plus validation outcome; do not retain raw prompts by default.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Source provenance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Distinguish human-entered, rule-derived, model-proposed, imported, and system-derived values.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Correction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Append a new history or audit record; do not rewrite prior evidence.</w:t>
            </w:r>
          </w:p>
        </w:tc>
      </w:tr>
    </w:tbl>
    <w:p>
      <w:pPr>
        <w:spacing w:after="60"/>
      </w:pPr>
    </w:p>
    <w:p>
      <w:pPr>
        <w:pStyle w:val="Heading2"/>
        <w:keepNext/>
      </w:pPr>
      <w:r>
        <w:rPr>
          <w:rFonts w:ascii="Aptos" w:hAnsi="Aptos"/>
          <w:b/>
          <w:i w:val="0"/>
          <w:color w:val="1C766C"/>
          <w:sz w:val="26"/>
        </w:rPr>
        <w:t>5.8 Audit Event Contract</w:t>
      </w:r>
    </w:p>
    <w:p>
      <w:pPr>
        <w:spacing w:after="120" w:line="283" w:lineRule="auto"/>
      </w:pPr>
      <w:r>
        <w:rPr>
          <w:rFonts w:ascii="Aptos" w:hAnsi="Aptos"/>
          <w:b w:val="0"/>
          <w:i w:val="0"/>
          <w:color w:val="1E252B"/>
          <w:sz w:val="21"/>
        </w:rPr>
        <w:t>A security-relevant event should contain event identifier, UTC timestamp, actor identifier and role, action, object type and opaque object identifier, outcome, request or correlation identifier, workstation/session context as approved, policy/version references, and minimal structured change metadata. It should exclude patient names, condition text, full prompts, credentials, tokens, and unrelated appointment details.</w:t>
      </w:r>
    </w:p>
    <w:p>
      <w:pPr>
        <w:pStyle w:val="ListBullet"/>
        <w:spacing w:after="80" w:line="276" w:lineRule="auto"/>
        <w:ind w:left="547" w:hanging="274"/>
      </w:pPr>
      <w:r>
        <w:rPr>
          <w:rFonts w:ascii="Aptos" w:hAnsi="Aptos"/>
          <w:b w:val="0"/>
          <w:i w:val="0"/>
          <w:color w:val="1E252B"/>
          <w:sz w:val="21"/>
        </w:rPr>
        <w:t>Record authentication results; user, role, and policy changes; patient-record access; recommendation generation; holds and confirmations; outcomes; reschedule preview/permission/execution; export/print; backup/restore; and security-control failures.</w:t>
      </w:r>
    </w:p>
    <w:p>
      <w:pPr>
        <w:pStyle w:val="ListBullet"/>
        <w:spacing w:after="80" w:line="276" w:lineRule="auto"/>
        <w:ind w:left="547" w:hanging="274"/>
      </w:pPr>
      <w:r>
        <w:rPr>
          <w:rFonts w:ascii="Aptos" w:hAnsi="Aptos"/>
          <w:b w:val="0"/>
          <w:i w:val="0"/>
          <w:color w:val="1E252B"/>
          <w:sz w:val="21"/>
        </w:rPr>
        <w:t>Protect audit records from ordinary update or deletion, monitor write failures, and verify integrity according to approved policy.</w:t>
      </w:r>
    </w:p>
    <w:p>
      <w:pPr>
        <w:pStyle w:val="Heading2"/>
        <w:keepNext/>
      </w:pPr>
      <w:r>
        <w:rPr>
          <w:rFonts w:ascii="Aptos" w:hAnsi="Aptos"/>
          <w:b/>
          <w:i w:val="0"/>
          <w:color w:val="1C766C"/>
          <w:sz w:val="26"/>
        </w:rPr>
        <w:t>5.9 Analytics Definitions</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7"/>
              </w:rPr>
              <w:t>Metric</w:t>
            </w:r>
          </w:p>
        </w:tc>
        <w:tc>
          <w:tcPr>
            <w:tcW w:type="dxa" w:w="7160"/>
            <w:shd w:fill="20344A"/>
            <w:vAlign w:val="center"/>
            <w:tcMar>
              <w:top w:w="90" w:type="dxa"/>
              <w:left w:w="120" w:type="dxa"/>
              <w:bottom w:w="90" w:type="dxa"/>
              <w:right w:w="120" w:type="dxa"/>
            </w:tcMar>
          </w:tcPr>
          <w:p>
            <w:pPr>
              <w:spacing w:after="0"/>
              <w:jc w:val="left"/>
            </w:pPr>
            <w:r>
              <w:rPr>
                <w:rFonts w:ascii="Aptos" w:hAnsi="Aptos"/>
                <w:b/>
                <w:i w:val="0"/>
                <w:color w:val="FFFFFF"/>
                <w:sz w:val="17"/>
              </w:rPr>
              <w:t>Generic definition and caution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Access time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Elapsed time from request creation to scheduled start; report by priority and avoid cross-priority comparisons without context.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Chair utilization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Active patient occupancy divided by available room time after approved closures; publish the exact denominator.</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Provider utilization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Assigned provider-phase time divided by provider-available time; distinguish supervision from direct work.</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 wait</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Seated or service-start timestamp minus check-in timestamp; define which timestamp is authoritative.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Observed chair time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Completion minus seating or service start; exclude invalid or incomplete timestamps.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Production progress</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Approved value credited by role relative to an approved target; not a clinical outcome and never a hard constraint.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No-show/cancellation rate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Outcome count divided by eligible scheduled visits for a stated period; avoid using protected attributes for punitive ranking.</w:t>
            </w:r>
          </w:p>
        </w:tc>
      </w:tr>
    </w:tbl>
    <w:p>
      <w:pPr>
        <w:spacing w:after="60"/>
      </w:pPr>
    </w:p>
    <w:p>
      <w:pPr>
        <w:pStyle w:val="Heading2"/>
        <w:keepNext/>
      </w:pPr>
      <w:r>
        <w:rPr>
          <w:rFonts w:ascii="Aptos" w:hAnsi="Aptos"/>
          <w:b/>
          <w:i w:val="0"/>
          <w:color w:val="1C766C"/>
          <w:sz w:val="26"/>
        </w:rPr>
        <w:t>5.10 Data Use and Refinement Boundaries</w:t>
      </w:r>
    </w:p>
    <w:tbl>
      <w:tblPr>
        <w:tblStyle w:val="TableGrid"/>
        <w:tblW w:type="dxa" w:w="9360"/>
        <w:jc w:val="left"/>
        <w:tblLayout w:type="fixed"/>
        <w:tblLook w:firstColumn="1" w:firstRow="1" w:lastColumn="0" w:lastRow="0" w:noHBand="0" w:noVBand="1" w:val="04A0"/>
        <w:tblInd w:type="dxa" w:w="120"/>
      </w:tblPr>
      <w:tblGrid>
        <w:gridCol w:w="1600"/>
        <w:gridCol w:w="3060"/>
        <w:gridCol w:w="2230"/>
        <w:gridCol w:w="2470"/>
      </w:tblGrid>
      <w:tr>
        <w:trPr>
          <w:tblHeader w:val="true"/>
        </w:trPr>
        <w:tc>
          <w:tcPr>
            <w:tcW w:type="dxa" w:w="1600"/>
            <w:shd w:fill="20344A"/>
            <w:vAlign w:val="center"/>
            <w:tcMar>
              <w:top w:w="90" w:type="dxa"/>
              <w:left w:w="120" w:type="dxa"/>
              <w:bottom w:w="90" w:type="dxa"/>
              <w:right w:w="120" w:type="dxa"/>
            </w:tcMar>
          </w:tcPr>
          <w:p>
            <w:pPr>
              <w:spacing w:after="0"/>
              <w:jc w:val="center"/>
            </w:pPr>
            <w:r>
              <w:rPr>
                <w:rFonts w:ascii="Aptos" w:hAnsi="Aptos"/>
                <w:b/>
                <w:i w:val="0"/>
                <w:color w:val="FFFFFF"/>
                <w:sz w:val="17"/>
              </w:rPr>
              <w:t>Data class</w:t>
            </w:r>
          </w:p>
        </w:tc>
        <w:tc>
          <w:tcPr>
            <w:tcW w:type="dxa" w:w="3060"/>
            <w:shd w:fill="20344A"/>
            <w:vAlign w:val="center"/>
            <w:tcMar>
              <w:top w:w="90" w:type="dxa"/>
              <w:left w:w="120" w:type="dxa"/>
              <w:bottom w:w="90" w:type="dxa"/>
              <w:right w:w="120" w:type="dxa"/>
            </w:tcMar>
          </w:tcPr>
          <w:p>
            <w:pPr>
              <w:spacing w:after="0"/>
              <w:jc w:val="center"/>
            </w:pPr>
            <w:r>
              <w:rPr>
                <w:rFonts w:ascii="Aptos" w:hAnsi="Aptos"/>
                <w:b/>
                <w:i w:val="0"/>
                <w:color w:val="FFFFFF"/>
                <w:sz w:val="17"/>
              </w:rPr>
              <w:t>Permitted purpose</w:t>
            </w:r>
          </w:p>
        </w:tc>
        <w:tc>
          <w:tcPr>
            <w:tcW w:type="dxa" w:w="2230"/>
            <w:shd w:fill="20344A"/>
            <w:vAlign w:val="center"/>
            <w:tcMar>
              <w:top w:w="90" w:type="dxa"/>
              <w:left w:w="120" w:type="dxa"/>
              <w:bottom w:w="90" w:type="dxa"/>
              <w:right w:w="120" w:type="dxa"/>
            </w:tcMar>
          </w:tcPr>
          <w:p>
            <w:pPr>
              <w:spacing w:after="0"/>
              <w:jc w:val="left"/>
            </w:pPr>
            <w:r>
              <w:rPr>
                <w:rFonts w:ascii="Aptos" w:hAnsi="Aptos"/>
                <w:b/>
                <w:i w:val="0"/>
                <w:color w:val="FFFFFF"/>
                <w:sz w:val="17"/>
              </w:rPr>
              <w:t>Startup dependency</w:t>
            </w:r>
          </w:p>
        </w:tc>
        <w:tc>
          <w:tcPr>
            <w:tcW w:type="dxa" w:w="2470"/>
            <w:shd w:fill="20344A"/>
            <w:vAlign w:val="center"/>
            <w:tcMar>
              <w:top w:w="90" w:type="dxa"/>
              <w:left w:w="120" w:type="dxa"/>
              <w:bottom w:w="90" w:type="dxa"/>
              <w:right w:w="120" w:type="dxa"/>
            </w:tcMar>
          </w:tcPr>
          <w:p>
            <w:pPr>
              <w:spacing w:after="0"/>
              <w:jc w:val="center"/>
            </w:pPr>
            <w:r>
              <w:rPr>
                <w:rFonts w:ascii="Aptos" w:hAnsi="Aptos"/>
                <w:b/>
                <w:i w:val="0"/>
                <w:color w:val="FFFFFF"/>
                <w:sz w:val="17"/>
              </w:rPr>
              <w:t>Prohibited use</w:t>
            </w:r>
          </w:p>
        </w:tc>
      </w:tr>
      <w:tr>
        <w:tc>
          <w:tcPr>
            <w:tcW w:type="dxa" w:w="1600"/>
            <w:vAlign w:val="center"/>
            <w:tcMar>
              <w:top w:w="90" w:type="dxa"/>
              <w:left w:w="120" w:type="dxa"/>
              <w:bottom w:w="90" w:type="dxa"/>
              <w:right w:w="120" w:type="dxa"/>
            </w:tcMar>
          </w:tcPr>
          <w:p>
            <w:pPr>
              <w:spacing w:after="0" w:line="259" w:lineRule="auto"/>
            </w:pPr>
            <w:r>
              <w:rPr>
                <w:rFonts w:ascii="Aptos" w:hAnsi="Aptos"/>
                <w:b w:val="0"/>
                <w:i w:val="0"/>
                <w:color w:val="1E252B"/>
                <w:sz w:val="16"/>
              </w:rPr>
              <w:t>Approved configuration</w:t>
            </w:r>
          </w:p>
        </w:tc>
        <w:tc>
          <w:tcPr>
            <w:tcW w:type="dxa" w:w="3060"/>
            <w:vAlign w:val="center"/>
            <w:tcMar>
              <w:top w:w="90" w:type="dxa"/>
              <w:left w:w="120" w:type="dxa"/>
              <w:bottom w:w="90" w:type="dxa"/>
              <w:right w:w="120" w:type="dxa"/>
            </w:tcMar>
          </w:tcPr>
          <w:p>
            <w:pPr>
              <w:spacing w:after="0" w:line="259" w:lineRule="auto"/>
            </w:pPr>
            <w:r>
              <w:rPr>
                <w:rFonts w:ascii="Aptos" w:hAnsi="Aptos"/>
                <w:b w:val="0"/>
                <w:i w:val="0"/>
                <w:color w:val="1E252B"/>
                <w:sz w:val="16"/>
              </w:rPr>
              <w:t>Define procedures, resources, capacity, hard constraints, and ranking policy</w:t>
            </w:r>
          </w:p>
        </w:tc>
        <w:tc>
          <w:tcPr>
            <w:tcW w:type="dxa" w:w="2230"/>
            <w:vAlign w:val="center"/>
            <w:tcMar>
              <w:top w:w="90" w:type="dxa"/>
              <w:left w:w="120" w:type="dxa"/>
              <w:bottom w:w="90" w:type="dxa"/>
              <w:right w:w="120" w:type="dxa"/>
            </w:tcMar>
          </w:tcPr>
          <w:p>
            <w:pPr>
              <w:spacing w:after="0" w:line="259" w:lineRule="auto"/>
            </w:pPr>
            <w:r>
              <w:rPr>
                <w:rFonts w:ascii="Aptos" w:hAnsi="Aptos"/>
                <w:b w:val="0"/>
                <w:i w:val="0"/>
                <w:color w:val="1E252B"/>
                <w:sz w:val="16"/>
              </w:rPr>
              <w:t>Reference defaults permit startup; local validation is required before real-patient use</w:t>
            </w:r>
          </w:p>
        </w:tc>
        <w:tc>
          <w:tcPr>
            <w:tcW w:type="dxa" w:w="2470"/>
            <w:vAlign w:val="center"/>
            <w:tcMar>
              <w:top w:w="90" w:type="dxa"/>
              <w:left w:w="120" w:type="dxa"/>
              <w:bottom w:w="90" w:type="dxa"/>
              <w:right w:w="120" w:type="dxa"/>
            </w:tcMar>
          </w:tcPr>
          <w:p>
            <w:pPr>
              <w:spacing w:after="0" w:line="259" w:lineRule="auto"/>
            </w:pPr>
            <w:r>
              <w:rPr>
                <w:rFonts w:ascii="Aptos" w:hAnsi="Aptos"/>
                <w:b w:val="0"/>
                <w:i w:val="0"/>
                <w:color w:val="1E252B"/>
                <w:sz w:val="16"/>
              </w:rPr>
              <w:t>Do not infer unapproved clinical policy from small samples</w:t>
            </w:r>
          </w:p>
        </w:tc>
      </w:tr>
      <w:tr>
        <w:tc>
          <w:tcPr>
            <w:tcW w:type="dxa" w:w="1600"/>
            <w:vAlign w:val="center"/>
            <w:tcMar>
              <w:top w:w="90" w:type="dxa"/>
              <w:left w:w="120" w:type="dxa"/>
              <w:bottom w:w="90" w:type="dxa"/>
              <w:right w:w="120" w:type="dxa"/>
            </w:tcMar>
          </w:tcPr>
          <w:p>
            <w:pPr>
              <w:spacing w:after="0" w:line="259" w:lineRule="auto"/>
            </w:pPr>
            <w:r>
              <w:rPr>
                <w:rFonts w:ascii="Aptos" w:hAnsi="Aptos"/>
                <w:b w:val="0"/>
                <w:i w:val="0"/>
                <w:color w:val="1E252B"/>
                <w:sz w:val="16"/>
              </w:rPr>
              <w:t>Current request</w:t>
            </w:r>
          </w:p>
        </w:tc>
        <w:tc>
          <w:tcPr>
            <w:tcW w:type="dxa" w:w="3060"/>
            <w:vAlign w:val="center"/>
            <w:tcMar>
              <w:top w:w="90" w:type="dxa"/>
              <w:left w:w="120" w:type="dxa"/>
              <w:bottom w:w="90" w:type="dxa"/>
              <w:right w:w="120" w:type="dxa"/>
            </w:tcMar>
          </w:tcPr>
          <w:p>
            <w:pPr>
              <w:spacing w:after="0" w:line="259" w:lineRule="auto"/>
            </w:pPr>
            <w:r>
              <w:rPr>
                <w:rFonts w:ascii="Aptos" w:hAnsi="Aptos"/>
                <w:b w:val="0"/>
                <w:i w:val="0"/>
                <w:color w:val="1E252B"/>
                <w:sz w:val="16"/>
              </w:rPr>
              <w:t>Identify the patient, procedure, scheduling context, availability, and preferences needed for the workflow</w:t>
            </w:r>
          </w:p>
        </w:tc>
        <w:tc>
          <w:tcPr>
            <w:tcW w:type="dxa" w:w="223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for the individual request</w:t>
            </w:r>
          </w:p>
        </w:tc>
        <w:tc>
          <w:tcPr>
            <w:tcW w:type="dxa" w:w="2470"/>
            <w:vAlign w:val="center"/>
            <w:tcMar>
              <w:top w:w="90" w:type="dxa"/>
              <w:left w:w="120" w:type="dxa"/>
              <w:bottom w:w="90" w:type="dxa"/>
              <w:right w:w="120" w:type="dxa"/>
            </w:tcMar>
          </w:tcPr>
          <w:p>
            <w:pPr>
              <w:spacing w:after="0" w:line="259" w:lineRule="auto"/>
            </w:pPr>
            <w:r>
              <w:rPr>
                <w:rFonts w:ascii="Aptos" w:hAnsi="Aptos"/>
                <w:b w:val="0"/>
                <w:i w:val="0"/>
                <w:color w:val="1E252B"/>
                <w:sz w:val="16"/>
              </w:rPr>
              <w:t>Do not collect unrelated clinical narrative</w:t>
            </w:r>
          </w:p>
        </w:tc>
      </w:tr>
      <w:tr>
        <w:tc>
          <w:tcPr>
            <w:tcW w:type="dxa" w:w="1600"/>
            <w:vAlign w:val="center"/>
            <w:tcMar>
              <w:top w:w="90" w:type="dxa"/>
              <w:left w:w="120" w:type="dxa"/>
              <w:bottom w:w="90" w:type="dxa"/>
              <w:right w:w="120" w:type="dxa"/>
            </w:tcMar>
          </w:tcPr>
          <w:p>
            <w:pPr>
              <w:spacing w:after="0" w:line="259" w:lineRule="auto"/>
            </w:pPr>
            <w:r>
              <w:rPr>
                <w:rFonts w:ascii="Aptos" w:hAnsi="Aptos"/>
                <w:b w:val="0"/>
                <w:i w:val="0"/>
                <w:color w:val="1E252B"/>
                <w:sz w:val="16"/>
              </w:rPr>
              <w:t>Current calendar and resources</w:t>
            </w:r>
          </w:p>
        </w:tc>
        <w:tc>
          <w:tcPr>
            <w:tcW w:type="dxa" w:w="3060"/>
            <w:vAlign w:val="center"/>
            <w:tcMar>
              <w:top w:w="90" w:type="dxa"/>
              <w:left w:w="120" w:type="dxa"/>
              <w:bottom w:w="90" w:type="dxa"/>
              <w:right w:w="120" w:type="dxa"/>
            </w:tcMar>
          </w:tcPr>
          <w:p>
            <w:pPr>
              <w:spacing w:after="0" w:line="259" w:lineRule="auto"/>
            </w:pPr>
            <w:r>
              <w:rPr>
                <w:rFonts w:ascii="Aptos" w:hAnsi="Aptos"/>
                <w:b w:val="0"/>
                <w:i w:val="0"/>
                <w:color w:val="1E252B"/>
                <w:sz w:val="16"/>
              </w:rPr>
              <w:t>Prevent collisions, preserve locked visits, and calculate current feasibility</w:t>
            </w:r>
          </w:p>
        </w:tc>
        <w:tc>
          <w:tcPr>
            <w:tcW w:type="dxa" w:w="2230"/>
            <w:vAlign w:val="center"/>
            <w:tcMar>
              <w:top w:w="90" w:type="dxa"/>
              <w:left w:w="120" w:type="dxa"/>
              <w:bottom w:w="90" w:type="dxa"/>
              <w:right w:w="120" w:type="dxa"/>
            </w:tcMar>
          </w:tcPr>
          <w:p>
            <w:pPr>
              <w:spacing w:after="0" w:line="259" w:lineRule="auto"/>
            </w:pPr>
            <w:r>
              <w:rPr>
                <w:rFonts w:ascii="Aptos" w:hAnsi="Aptos"/>
                <w:b w:val="0"/>
                <w:i w:val="0"/>
                <w:color w:val="1E252B"/>
                <w:sz w:val="16"/>
              </w:rPr>
              <w:t>Created and maintained by normal operation</w:t>
            </w:r>
          </w:p>
        </w:tc>
        <w:tc>
          <w:tcPr>
            <w:tcW w:type="dxa" w:w="2470"/>
            <w:vAlign w:val="center"/>
            <w:tcMar>
              <w:top w:w="90" w:type="dxa"/>
              <w:left w:w="120" w:type="dxa"/>
              <w:bottom w:w="90" w:type="dxa"/>
              <w:right w:w="120" w:type="dxa"/>
            </w:tcMar>
          </w:tcPr>
          <w:p>
            <w:pPr>
              <w:spacing w:after="0" w:line="259" w:lineRule="auto"/>
            </w:pPr>
            <w:r>
              <w:rPr>
                <w:rFonts w:ascii="Aptos" w:hAnsi="Aptos"/>
                <w:b w:val="0"/>
                <w:i w:val="0"/>
                <w:color w:val="1E252B"/>
                <w:sz w:val="16"/>
              </w:rPr>
              <w:t>Do not silently move confirmed visits</w:t>
            </w:r>
          </w:p>
        </w:tc>
      </w:tr>
      <w:tr>
        <w:tc>
          <w:tcPr>
            <w:tcW w:type="dxa" w:w="1600"/>
            <w:vAlign w:val="center"/>
            <w:tcMar>
              <w:top w:w="90" w:type="dxa"/>
              <w:left w:w="120" w:type="dxa"/>
              <w:bottom w:w="90" w:type="dxa"/>
              <w:right w:w="120" w:type="dxa"/>
            </w:tcMar>
          </w:tcPr>
          <w:p>
            <w:pPr>
              <w:spacing w:after="0" w:line="259" w:lineRule="auto"/>
            </w:pPr>
            <w:r>
              <w:rPr>
                <w:rFonts w:ascii="Aptos" w:hAnsi="Aptos"/>
                <w:b w:val="0"/>
                <w:i w:val="0"/>
                <w:color w:val="1E252B"/>
                <w:sz w:val="16"/>
              </w:rPr>
              <w:t>Local intake text</w:t>
            </w:r>
          </w:p>
        </w:tc>
        <w:tc>
          <w:tcPr>
            <w:tcW w:type="dxa" w:w="3060"/>
            <w:vAlign w:val="center"/>
            <w:tcMar>
              <w:top w:w="90" w:type="dxa"/>
              <w:left w:w="120" w:type="dxa"/>
              <w:bottom w:w="90" w:type="dxa"/>
              <w:right w:w="120" w:type="dxa"/>
            </w:tcMar>
          </w:tcPr>
          <w:p>
            <w:pPr>
              <w:spacing w:after="0" w:line="259" w:lineRule="auto"/>
            </w:pPr>
            <w:r>
              <w:rPr>
                <w:rFonts w:ascii="Aptos" w:hAnsi="Aptos"/>
                <w:b w:val="0"/>
                <w:i w:val="0"/>
                <w:color w:val="1E252B"/>
                <w:sz w:val="16"/>
              </w:rPr>
              <w:t>Propose allowlisted scheduling tags and confidence</w:t>
            </w:r>
          </w:p>
        </w:tc>
        <w:tc>
          <w:tcPr>
            <w:tcW w:type="dxa" w:w="2230"/>
            <w:vAlign w:val="center"/>
            <w:tcMar>
              <w:top w:w="90" w:type="dxa"/>
              <w:left w:w="120" w:type="dxa"/>
              <w:bottom w:w="90" w:type="dxa"/>
              <w:right w:w="120" w:type="dxa"/>
            </w:tcMar>
          </w:tcPr>
          <w:p>
            <w:pPr>
              <w:spacing w:after="0" w:line="259" w:lineRule="auto"/>
            </w:pPr>
            <w:r>
              <w:rPr>
                <w:rFonts w:ascii="Aptos" w:hAnsi="Aptos"/>
                <w:b w:val="0"/>
                <w:i w:val="0"/>
                <w:color w:val="1E252B"/>
                <w:sz w:val="16"/>
              </w:rPr>
              <w:t>Optional when structured intake is used</w:t>
            </w:r>
          </w:p>
        </w:tc>
        <w:tc>
          <w:tcPr>
            <w:tcW w:type="dxa" w:w="2470"/>
            <w:vAlign w:val="center"/>
            <w:tcMar>
              <w:top w:w="90" w:type="dxa"/>
              <w:left w:w="120" w:type="dxa"/>
              <w:bottom w:w="90" w:type="dxa"/>
              <w:right w:w="120" w:type="dxa"/>
            </w:tcMar>
          </w:tcPr>
          <w:p>
            <w:pPr>
              <w:spacing w:after="0" w:line="259" w:lineRule="auto"/>
            </w:pPr>
            <w:r>
              <w:rPr>
                <w:rFonts w:ascii="Aptos" w:hAnsi="Aptos"/>
                <w:b w:val="0"/>
                <w:i w:val="0"/>
                <w:color w:val="1E252B"/>
                <w:sz w:val="16"/>
              </w:rPr>
              <w:t>Do not diagnose, book, send to cloud services, or use for model training by default</w:t>
            </w:r>
          </w:p>
        </w:tc>
      </w:tr>
      <w:tr>
        <w:tc>
          <w:tcPr>
            <w:tcW w:type="dxa" w:w="1600"/>
            <w:vAlign w:val="center"/>
            <w:tcMar>
              <w:top w:w="90" w:type="dxa"/>
              <w:left w:w="120" w:type="dxa"/>
              <w:bottom w:w="90" w:type="dxa"/>
              <w:right w:w="120" w:type="dxa"/>
            </w:tcMar>
          </w:tcPr>
          <w:p>
            <w:pPr>
              <w:spacing w:after="0" w:line="259" w:lineRule="auto"/>
            </w:pPr>
            <w:r>
              <w:rPr>
                <w:rFonts w:ascii="Aptos" w:hAnsi="Aptos"/>
                <w:b w:val="0"/>
                <w:i w:val="0"/>
                <w:color w:val="1E252B"/>
                <w:sz w:val="16"/>
              </w:rPr>
              <w:t>Operational events</w:t>
            </w:r>
          </w:p>
        </w:tc>
        <w:tc>
          <w:tcPr>
            <w:tcW w:type="dxa" w:w="3060"/>
            <w:vAlign w:val="center"/>
            <w:tcMar>
              <w:top w:w="90" w:type="dxa"/>
              <w:left w:w="120" w:type="dxa"/>
              <w:bottom w:w="90" w:type="dxa"/>
              <w:right w:w="120" w:type="dxa"/>
            </w:tcMar>
          </w:tcPr>
          <w:p>
            <w:pPr>
              <w:spacing w:after="0" w:line="259" w:lineRule="auto"/>
            </w:pPr>
            <w:r>
              <w:rPr>
                <w:rFonts w:ascii="Aptos" w:hAnsi="Aptos"/>
                <w:b w:val="0"/>
                <w:i w:val="0"/>
                <w:color w:val="1E252B"/>
                <w:sz w:val="16"/>
              </w:rPr>
              <w:t>Support local descriptive analytics, audit, capacity, and workflow recovery</w:t>
            </w:r>
          </w:p>
        </w:tc>
        <w:tc>
          <w:tcPr>
            <w:tcW w:type="dxa" w:w="2230"/>
            <w:vAlign w:val="center"/>
            <w:tcMar>
              <w:top w:w="90" w:type="dxa"/>
              <w:left w:w="120" w:type="dxa"/>
              <w:bottom w:w="90" w:type="dxa"/>
              <w:right w:w="120" w:type="dxa"/>
            </w:tcMar>
          </w:tcPr>
          <w:p>
            <w:pPr>
              <w:spacing w:after="0" w:line="259" w:lineRule="auto"/>
            </w:pPr>
            <w:r>
              <w:rPr>
                <w:rFonts w:ascii="Aptos" w:hAnsi="Aptos"/>
                <w:b w:val="0"/>
                <w:i w:val="0"/>
                <w:color w:val="1E252B"/>
                <w:sz w:val="16"/>
              </w:rPr>
              <w:t>Accumulates through use</w:t>
            </w:r>
          </w:p>
        </w:tc>
        <w:tc>
          <w:tcPr>
            <w:tcW w:type="dxa" w:w="2470"/>
            <w:vAlign w:val="center"/>
            <w:tcMar>
              <w:top w:w="90" w:type="dxa"/>
              <w:left w:w="120" w:type="dxa"/>
              <w:bottom w:w="90" w:type="dxa"/>
              <w:right w:w="120" w:type="dxa"/>
            </w:tcMar>
          </w:tcPr>
          <w:p>
            <w:pPr>
              <w:spacing w:after="0" w:line="259" w:lineRule="auto"/>
            </w:pPr>
            <w:r>
              <w:rPr>
                <w:rFonts w:ascii="Aptos" w:hAnsi="Aptos"/>
                <w:b w:val="0"/>
                <w:i w:val="0"/>
                <w:color w:val="1E252B"/>
                <w:sz w:val="16"/>
              </w:rPr>
              <w:t>Do not use descriptive analytics to deny care or bypass policy</w:t>
            </w:r>
          </w:p>
        </w:tc>
      </w:tr>
      <w:tr>
        <w:tc>
          <w:tcPr>
            <w:tcW w:type="dxa" w:w="1600"/>
            <w:vAlign w:val="center"/>
            <w:tcMar>
              <w:top w:w="90" w:type="dxa"/>
              <w:left w:w="120" w:type="dxa"/>
              <w:bottom w:w="90" w:type="dxa"/>
              <w:right w:w="120" w:type="dxa"/>
            </w:tcMar>
          </w:tcPr>
          <w:p>
            <w:pPr>
              <w:spacing w:after="0" w:line="259" w:lineRule="auto"/>
            </w:pPr>
            <w:r>
              <w:rPr>
                <w:rFonts w:ascii="Aptos" w:hAnsi="Aptos"/>
                <w:b w:val="0"/>
                <w:i w:val="0"/>
                <w:color w:val="1E252B"/>
                <w:sz w:val="16"/>
              </w:rPr>
              <w:t>De-identified duration evidence</w:t>
            </w:r>
          </w:p>
        </w:tc>
        <w:tc>
          <w:tcPr>
            <w:tcW w:type="dxa" w:w="3060"/>
            <w:vAlign w:val="center"/>
            <w:tcMar>
              <w:top w:w="90" w:type="dxa"/>
              <w:left w:w="120" w:type="dxa"/>
              <w:bottom w:w="90" w:type="dxa"/>
              <w:right w:w="120" w:type="dxa"/>
            </w:tcMar>
          </w:tcPr>
          <w:p>
            <w:pPr>
              <w:spacing w:after="0" w:line="259" w:lineRule="auto"/>
            </w:pPr>
            <w:r>
              <w:rPr>
                <w:rFonts w:ascii="Aptos" w:hAnsi="Aptos"/>
                <w:b w:val="0"/>
                <w:i w:val="0"/>
                <w:color w:val="1E252B"/>
                <w:sz w:val="16"/>
              </w:rPr>
              <w:t>Stage deterministic median/p90 future-policy proposals after an evidence threshold</w:t>
            </w:r>
          </w:p>
        </w:tc>
        <w:tc>
          <w:tcPr>
            <w:tcW w:type="dxa" w:w="2230"/>
            <w:vAlign w:val="center"/>
            <w:tcMar>
              <w:top w:w="90" w:type="dxa"/>
              <w:left w:w="120" w:type="dxa"/>
              <w:bottom w:w="90" w:type="dxa"/>
              <w:right w:w="120" w:type="dxa"/>
            </w:tcMar>
          </w:tcPr>
          <w:p>
            <w:pPr>
              <w:spacing w:after="0" w:line="259" w:lineRule="auto"/>
            </w:pPr>
            <w:r>
              <w:rPr>
                <w:rFonts w:ascii="Aptos" w:hAnsi="Aptos"/>
                <w:b w:val="0"/>
                <w:i w:val="0"/>
                <w:color w:val="1E252B"/>
                <w:sz w:val="16"/>
              </w:rPr>
              <w:t>Optional</w:t>
            </w:r>
          </w:p>
        </w:tc>
        <w:tc>
          <w:tcPr>
            <w:tcW w:type="dxa" w:w="2470"/>
            <w:vAlign w:val="center"/>
            <w:tcMar>
              <w:top w:w="90" w:type="dxa"/>
              <w:left w:w="120" w:type="dxa"/>
              <w:bottom w:w="90" w:type="dxa"/>
              <w:right w:w="120" w:type="dxa"/>
            </w:tcMar>
          </w:tcPr>
          <w:p>
            <w:pPr>
              <w:spacing w:after="0" w:line="259" w:lineRule="auto"/>
            </w:pPr>
            <w:r>
              <w:rPr>
                <w:rFonts w:ascii="Aptos" w:hAnsi="Aptos"/>
                <w:b w:val="0"/>
                <w:i w:val="0"/>
                <w:color w:val="1E252B"/>
                <w:sz w:val="16"/>
              </w:rPr>
              <w:t>Do not store patient identifiers, appointment links, raw notes, or auto-apply proposals</w:t>
            </w:r>
          </w:p>
        </w:tc>
      </w:tr>
    </w:tbl>
    <w:p>
      <w:pPr>
        <w:spacing w:after="60"/>
      </w:pPr>
    </w:p>
    <w:p>
      <w:pPr>
        <w:spacing w:before="60" w:after="160" w:line="283" w:lineRule="auto"/>
        <w:ind w:left="173" w:right="173"/>
        <w:shd w:fill="EDF3F8"/>
        <w:pBdr>
          <w:left w:val="single" w:sz="18" w:space="6" w:color="1C766C"/>
        </w:pBdr>
      </w:pPr>
      <w:r>
        <w:rPr>
          <w:rFonts w:ascii="Aptos" w:hAnsi="Aptos"/>
          <w:b/>
          <w:i w:val="0"/>
          <w:color w:val="1C766C"/>
          <w:sz w:val="21"/>
        </w:rPr>
        <w:t xml:space="preserve">Refinement is not model training: </w:t>
      </w:r>
      <w:r>
        <w:rPr>
          <w:rFonts w:ascii="Aptos" w:hAnsi="Aptos"/>
          <w:b w:val="0"/>
          <w:i w:val="0"/>
          <w:color w:val="1E252B"/>
          <w:sz w:val="21"/>
        </w:rPr>
        <w:t>Practice observations may refine prospective duration policy through deterministic statistics. They do not retrain or fine-tune the pretrained intake model. A future training project requires separate authorization, data governance, privacy review, validation, artifact provenance, and acceptance evidence.</w:t>
      </w:r>
    </w:p>
    <w:p>
      <w:pPr>
        <w:pStyle w:val="Heading1"/>
        <w:keepNext/>
      </w:pPr>
      <w:r>
        <w:rPr>
          <w:rFonts w:ascii="Aptos" w:hAnsi="Aptos"/>
          <w:b/>
          <w:i w:val="0"/>
          <w:color w:val="1C766C"/>
          <w:sz w:val="34"/>
        </w:rPr>
        <w:t>6. End-to-End Workflows</w:t>
      </w:r>
    </w:p>
    <w:p>
      <w:pPr>
        <w:pStyle w:val="Heading2"/>
        <w:keepNext/>
      </w:pPr>
      <w:r>
        <w:rPr>
          <w:rFonts w:ascii="Aptos" w:hAnsi="Aptos"/>
          <w:b/>
          <w:i w:val="0"/>
          <w:color w:val="1C766C"/>
          <w:sz w:val="26"/>
        </w:rPr>
        <w:t>6.1 New Scheduling Request</w:t>
      </w:r>
    </w:p>
    <w:p>
      <w:pPr>
        <w:pStyle w:val="ListNumber"/>
        <w:spacing w:after="80"/>
        <w:ind w:left="547" w:hanging="274"/>
      </w:pPr>
      <w:r>
        <w:rPr>
          <w:rFonts w:ascii="Aptos" w:hAnsi="Aptos"/>
          <w:b/>
          <w:i w:val="0"/>
          <w:color w:val="20344A"/>
          <w:sz w:val="21"/>
        </w:rPr>
        <w:t xml:space="preserve">Collect. </w:t>
      </w:r>
      <w:r>
        <w:rPr>
          <w:rFonts w:ascii="Aptos" w:hAnsi="Aptos"/>
          <w:b w:val="0"/>
          <w:i w:val="0"/>
          <w:color w:val="1E252B"/>
          <w:sz w:val="21"/>
        </w:rPr>
        <w:t>Capture patient identity, procedure, minimum scheduling context, requested date range, daily availability, preferences, and consent-dependent options.</w:t>
      </w:r>
    </w:p>
    <w:p>
      <w:pPr>
        <w:pStyle w:val="ListNumber"/>
        <w:spacing w:after="80"/>
        <w:ind w:left="547" w:hanging="274"/>
      </w:pPr>
      <w:r>
        <w:rPr>
          <w:rFonts w:ascii="Aptos" w:hAnsi="Aptos"/>
          <w:b/>
          <w:i w:val="0"/>
          <w:color w:val="20344A"/>
          <w:sz w:val="21"/>
        </w:rPr>
        <w:t xml:space="preserve">Normalize. </w:t>
      </w:r>
      <w:r>
        <w:rPr>
          <w:rFonts w:ascii="Aptos" w:hAnsi="Aptos"/>
          <w:b w:val="0"/>
          <w:i w:val="0"/>
          <w:color w:val="1E252B"/>
          <w:sz w:val="21"/>
        </w:rPr>
        <w:t>Run local rules and, when approved, the local language model to produce allowlisted tags and confidence.</w:t>
      </w:r>
    </w:p>
    <w:p>
      <w:pPr>
        <w:pStyle w:val="ListNumber"/>
        <w:spacing w:after="80"/>
        <w:ind w:left="547" w:hanging="274"/>
      </w:pPr>
      <w:r>
        <w:rPr>
          <w:rFonts w:ascii="Aptos" w:hAnsi="Aptos"/>
          <w:b/>
          <w:i w:val="0"/>
          <w:color w:val="20344A"/>
          <w:sz w:val="21"/>
        </w:rPr>
        <w:t xml:space="preserve">Review. </w:t>
      </w:r>
      <w:r>
        <w:rPr>
          <w:rFonts w:ascii="Aptos" w:hAnsi="Aptos"/>
          <w:b w:val="0"/>
          <w:i w:val="0"/>
          <w:color w:val="1E252B"/>
          <w:sz w:val="21"/>
        </w:rPr>
        <w:t>Show normalized context to staff when confidence is low or policy requires confirmation.</w:t>
      </w:r>
    </w:p>
    <w:p>
      <w:pPr>
        <w:pStyle w:val="ListNumber"/>
        <w:spacing w:after="80"/>
        <w:ind w:left="547" w:hanging="274"/>
      </w:pPr>
      <w:r>
        <w:rPr>
          <w:rFonts w:ascii="Aptos" w:hAnsi="Aptos"/>
          <w:b/>
          <w:i w:val="0"/>
          <w:color w:val="20344A"/>
          <w:sz w:val="21"/>
        </w:rPr>
        <w:t xml:space="preserve">Persist. </w:t>
      </w:r>
      <w:r>
        <w:rPr>
          <w:rFonts w:ascii="Aptos" w:hAnsi="Aptos"/>
          <w:b w:val="0"/>
          <w:i w:val="0"/>
          <w:color w:val="1E252B"/>
          <w:sz w:val="21"/>
        </w:rPr>
        <w:t>Create or update the patient record and store the scheduling request with its source and policy context.</w:t>
      </w:r>
    </w:p>
    <w:p>
      <w:pPr>
        <w:pStyle w:val="ListNumber"/>
        <w:spacing w:after="80"/>
        <w:ind w:left="547" w:hanging="274"/>
      </w:pPr>
      <w:r>
        <w:rPr>
          <w:rFonts w:ascii="Aptos" w:hAnsi="Aptos"/>
          <w:b/>
          <w:i w:val="0"/>
          <w:color w:val="20344A"/>
          <w:sz w:val="21"/>
        </w:rPr>
        <w:t xml:space="preserve">Optimize. </w:t>
      </w:r>
      <w:r>
        <w:rPr>
          <w:rFonts w:ascii="Aptos" w:hAnsi="Aptos"/>
          <w:b w:val="0"/>
          <w:i w:val="0"/>
          <w:color w:val="1E252B"/>
          <w:sz w:val="21"/>
        </w:rPr>
        <w:t>Build a current snapshot and return feasible provider-and-timeslot recommendations.</w:t>
      </w:r>
    </w:p>
    <w:p>
      <w:pPr>
        <w:pStyle w:val="ListNumber"/>
        <w:spacing w:after="80"/>
        <w:ind w:left="547" w:hanging="274"/>
      </w:pPr>
      <w:r>
        <w:rPr>
          <w:rFonts w:ascii="Aptos" w:hAnsi="Aptos"/>
          <w:b/>
          <w:i w:val="0"/>
          <w:color w:val="20344A"/>
          <w:sz w:val="21"/>
        </w:rPr>
        <w:t xml:space="preserve">Explain. </w:t>
      </w:r>
      <w:r>
        <w:rPr>
          <w:rFonts w:ascii="Aptos" w:hAnsi="Aptos"/>
          <w:b w:val="0"/>
          <w:i w:val="0"/>
          <w:color w:val="1E252B"/>
          <w:sz w:val="21"/>
        </w:rPr>
        <w:t>Display resource plan, score factors, and any important policy notes.</w:t>
      </w:r>
    </w:p>
    <w:p>
      <w:pPr>
        <w:pStyle w:val="Heading2"/>
        <w:keepNext/>
      </w:pPr>
      <w:r>
        <w:rPr>
          <w:rFonts w:ascii="Aptos" w:hAnsi="Aptos"/>
          <w:b/>
          <w:i w:val="0"/>
          <w:color w:val="1C766C"/>
          <w:sz w:val="26"/>
        </w:rPr>
        <w:t>6.2 Appointment Confirmation</w:t>
      </w:r>
    </w:p>
    <w:p>
      <w:pPr>
        <w:pStyle w:val="ListNumber"/>
        <w:spacing w:after="80"/>
        <w:ind w:left="547" w:hanging="274"/>
      </w:pPr>
      <w:r>
        <w:rPr>
          <w:rFonts w:ascii="Aptos" w:hAnsi="Aptos"/>
          <w:b/>
          <w:i w:val="0"/>
          <w:color w:val="20344A"/>
          <w:sz w:val="21"/>
        </w:rPr>
        <w:t xml:space="preserve">Select. </w:t>
      </w:r>
      <w:r>
        <w:rPr>
          <w:rFonts w:ascii="Aptos" w:hAnsi="Aptos"/>
          <w:b w:val="0"/>
          <w:i w:val="0"/>
          <w:color w:val="1E252B"/>
          <w:sz w:val="21"/>
        </w:rPr>
        <w:t>The authorized user chooses one active recommendation.</w:t>
      </w:r>
    </w:p>
    <w:p>
      <w:pPr>
        <w:pStyle w:val="ListNumber"/>
        <w:spacing w:after="80"/>
        <w:ind w:left="547" w:hanging="274"/>
      </w:pPr>
      <w:r>
        <w:rPr>
          <w:rFonts w:ascii="Aptos" w:hAnsi="Aptos"/>
          <w:b/>
          <w:i w:val="0"/>
          <w:color w:val="20344A"/>
          <w:sz w:val="21"/>
        </w:rPr>
        <w:t xml:space="preserve">Revalidate. </w:t>
      </w:r>
      <w:r>
        <w:rPr>
          <w:rFonts w:ascii="Aptos" w:hAnsi="Aptos"/>
          <w:b w:val="0"/>
          <w:i w:val="0"/>
          <w:color w:val="1E252B"/>
          <w:sz w:val="21"/>
        </w:rPr>
        <w:t>The server checks recommendation freshness, qualification, calendars, and all resource collisions.</w:t>
      </w:r>
    </w:p>
    <w:p>
      <w:pPr>
        <w:pStyle w:val="ListNumber"/>
        <w:spacing w:after="80"/>
        <w:ind w:left="547" w:hanging="274"/>
      </w:pPr>
      <w:r>
        <w:rPr>
          <w:rFonts w:ascii="Aptos" w:hAnsi="Aptos"/>
          <w:b/>
          <w:i w:val="0"/>
          <w:color w:val="20344A"/>
          <w:sz w:val="21"/>
        </w:rPr>
        <w:t xml:space="preserve">Create. </w:t>
      </w:r>
      <w:r>
        <w:rPr>
          <w:rFonts w:ascii="Aptos" w:hAnsi="Aptos"/>
          <w:b w:val="0"/>
          <w:i w:val="0"/>
          <w:color w:val="1E252B"/>
          <w:sz w:val="21"/>
        </w:rPr>
        <w:t>Insert the appointment, ordered phases, room assignments, and equipment reservations.</w:t>
      </w:r>
    </w:p>
    <w:p>
      <w:pPr>
        <w:pStyle w:val="ListNumber"/>
        <w:spacing w:after="80"/>
        <w:ind w:left="547" w:hanging="274"/>
      </w:pPr>
      <w:r>
        <w:rPr>
          <w:rFonts w:ascii="Aptos" w:hAnsi="Aptos"/>
          <w:b/>
          <w:i w:val="0"/>
          <w:color w:val="20344A"/>
          <w:sz w:val="21"/>
        </w:rPr>
        <w:t xml:space="preserve">Consume. </w:t>
      </w:r>
      <w:r>
        <w:rPr>
          <w:rFonts w:ascii="Aptos" w:hAnsi="Aptos"/>
          <w:b w:val="0"/>
          <w:i w:val="0"/>
          <w:color w:val="1E252B"/>
          <w:sz w:val="21"/>
        </w:rPr>
        <w:t>Mark the recommendation used and update the request or waitlist state.</w:t>
      </w:r>
    </w:p>
    <w:p>
      <w:pPr>
        <w:pStyle w:val="ListNumber"/>
        <w:spacing w:after="80"/>
        <w:ind w:left="547" w:hanging="274"/>
      </w:pPr>
      <w:r>
        <w:rPr>
          <w:rFonts w:ascii="Aptos" w:hAnsi="Aptos"/>
          <w:b/>
          <w:i w:val="0"/>
          <w:color w:val="20344A"/>
          <w:sz w:val="21"/>
        </w:rPr>
        <w:t xml:space="preserve">Evidence. </w:t>
      </w:r>
      <w:r>
        <w:rPr>
          <w:rFonts w:ascii="Aptos" w:hAnsi="Aptos"/>
          <w:b w:val="0"/>
          <w:i w:val="0"/>
          <w:color w:val="1E252B"/>
          <w:sz w:val="21"/>
        </w:rPr>
        <w:t>Write appointment status history and an audit event in the same transaction.</w:t>
      </w:r>
    </w:p>
    <w:p>
      <w:pPr>
        <w:pStyle w:val="ListNumber"/>
        <w:spacing w:after="80"/>
        <w:ind w:left="547" w:hanging="274"/>
      </w:pPr>
      <w:r>
        <w:rPr>
          <w:rFonts w:ascii="Aptos" w:hAnsi="Aptos"/>
          <w:b/>
          <w:i w:val="0"/>
          <w:color w:val="20344A"/>
          <w:sz w:val="21"/>
        </w:rPr>
        <w:t xml:space="preserve">Commit. </w:t>
      </w:r>
      <w:r>
        <w:rPr>
          <w:rFonts w:ascii="Aptos" w:hAnsi="Aptos"/>
          <w:b w:val="0"/>
          <w:i w:val="0"/>
          <w:color w:val="1E252B"/>
          <w:sz w:val="21"/>
        </w:rPr>
        <w:t>Only after every check succeeds does the appointment become confirmed.</w:t>
      </w:r>
    </w:p>
    <w:p>
      <w:pPr>
        <w:pStyle w:val="Heading2"/>
        <w:keepNext/>
      </w:pPr>
      <w:r>
        <w:rPr>
          <w:rFonts w:ascii="Aptos" w:hAnsi="Aptos"/>
          <w:b/>
          <w:i w:val="0"/>
          <w:color w:val="1C766C"/>
          <w:sz w:val="26"/>
        </w:rPr>
        <w:t>6.3 Protected Rescheduling</w:t>
      </w:r>
    </w:p>
    <w:p>
      <w:pPr>
        <w:pStyle w:val="ListNumber"/>
        <w:spacing w:after="80"/>
        <w:ind w:left="547" w:hanging="274"/>
      </w:pPr>
      <w:r>
        <w:rPr>
          <w:rFonts w:ascii="Aptos" w:hAnsi="Aptos"/>
          <w:b/>
          <w:i w:val="0"/>
          <w:color w:val="20344A"/>
          <w:sz w:val="21"/>
        </w:rPr>
        <w:t xml:space="preserve">Preview. </w:t>
      </w:r>
      <w:r>
        <w:rPr>
          <w:rFonts w:ascii="Aptos" w:hAnsi="Aptos"/>
          <w:b w:val="0"/>
          <w:i w:val="0"/>
          <w:color w:val="1E252B"/>
          <w:sz w:val="21"/>
        </w:rPr>
        <w:t>Generate alternatives without changing the confirmed appointment; the preview may temporarily exclude that appointment from the hypothetical snapshot.</w:t>
      </w:r>
    </w:p>
    <w:p>
      <w:pPr>
        <w:pStyle w:val="ListNumber"/>
        <w:spacing w:after="80"/>
        <w:ind w:left="547" w:hanging="274"/>
      </w:pPr>
      <w:r>
        <w:rPr>
          <w:rFonts w:ascii="Aptos" w:hAnsi="Aptos"/>
          <w:b/>
          <w:i w:val="0"/>
          <w:color w:val="20344A"/>
          <w:sz w:val="21"/>
        </w:rPr>
        <w:t xml:space="preserve">Choose. </w:t>
      </w:r>
      <w:r>
        <w:rPr>
          <w:rFonts w:ascii="Aptos" w:hAnsi="Aptos"/>
          <w:b w:val="0"/>
          <w:i w:val="0"/>
          <w:color w:val="1E252B"/>
          <w:sz w:val="21"/>
        </w:rPr>
        <w:t>An authorized user selects one exact alternative.</w:t>
      </w:r>
    </w:p>
    <w:p>
      <w:pPr>
        <w:pStyle w:val="ListNumber"/>
        <w:spacing w:after="80"/>
        <w:ind w:left="547" w:hanging="274"/>
      </w:pPr>
      <w:r>
        <w:rPr>
          <w:rFonts w:ascii="Aptos" w:hAnsi="Aptos"/>
          <w:b/>
          <w:i w:val="0"/>
          <w:color w:val="20344A"/>
          <w:sz w:val="21"/>
        </w:rPr>
        <w:t xml:space="preserve">Authorize. </w:t>
      </w:r>
      <w:r>
        <w:rPr>
          <w:rFonts w:ascii="Aptos" w:hAnsi="Aptos"/>
          <w:b w:val="0"/>
          <w:i w:val="0"/>
          <w:color w:val="1E252B"/>
          <w:sz w:val="21"/>
        </w:rPr>
        <w:t>Require explicit acknowledgement and a meaningful reason.</w:t>
      </w:r>
    </w:p>
    <w:p>
      <w:pPr>
        <w:pStyle w:val="ListNumber"/>
        <w:spacing w:after="80"/>
        <w:ind w:left="547" w:hanging="274"/>
      </w:pPr>
      <w:r>
        <w:rPr>
          <w:rFonts w:ascii="Aptos" w:hAnsi="Aptos"/>
          <w:b/>
          <w:i w:val="0"/>
          <w:color w:val="20344A"/>
          <w:sz w:val="21"/>
        </w:rPr>
        <w:t xml:space="preserve">Bind. </w:t>
      </w:r>
      <w:r>
        <w:rPr>
          <w:rFonts w:ascii="Aptos" w:hAnsi="Aptos"/>
          <w:b w:val="0"/>
          <w:i w:val="0"/>
          <w:color w:val="1E252B"/>
          <w:sz w:val="21"/>
        </w:rPr>
        <w:t>Create a short-lived, single-use permission containing exact old and new provider, room, start, and end values.</w:t>
      </w:r>
    </w:p>
    <w:p>
      <w:pPr>
        <w:pStyle w:val="ListNumber"/>
        <w:spacing w:after="80"/>
        <w:ind w:left="547" w:hanging="274"/>
      </w:pPr>
      <w:r>
        <w:rPr>
          <w:rFonts w:ascii="Aptos" w:hAnsi="Aptos"/>
          <w:b/>
          <w:i w:val="0"/>
          <w:color w:val="20344A"/>
          <w:sz w:val="21"/>
        </w:rPr>
        <w:t xml:space="preserve">Recheck. </w:t>
      </w:r>
      <w:r>
        <w:rPr>
          <w:rFonts w:ascii="Aptos" w:hAnsi="Aptos"/>
          <w:b w:val="0"/>
          <w:i w:val="0"/>
          <w:color w:val="1E252B"/>
          <w:sz w:val="21"/>
        </w:rPr>
        <w:t>Validate the permission, appointment version, qualifications, and current resource availability inside a transaction.</w:t>
      </w:r>
    </w:p>
    <w:p>
      <w:pPr>
        <w:pStyle w:val="ListNumber"/>
        <w:spacing w:after="80"/>
        <w:ind w:left="547" w:hanging="274"/>
      </w:pPr>
      <w:r>
        <w:rPr>
          <w:rFonts w:ascii="Aptos" w:hAnsi="Aptos"/>
          <w:b/>
          <w:i w:val="0"/>
          <w:color w:val="20344A"/>
          <w:sz w:val="21"/>
        </w:rPr>
        <w:t xml:space="preserve">Replace. </w:t>
      </w:r>
      <w:r>
        <w:rPr>
          <w:rFonts w:ascii="Aptos" w:hAnsi="Aptos"/>
          <w:b w:val="0"/>
          <w:i w:val="0"/>
          <w:color w:val="1E252B"/>
          <w:sz w:val="21"/>
        </w:rPr>
        <w:t>Only then replace phases and reservations and update the appointment.</w:t>
      </w:r>
    </w:p>
    <w:p>
      <w:pPr>
        <w:pStyle w:val="ListNumber"/>
        <w:spacing w:after="80"/>
        <w:ind w:left="547" w:hanging="274"/>
      </w:pPr>
      <w:r>
        <w:rPr>
          <w:rFonts w:ascii="Aptos" w:hAnsi="Aptos"/>
          <w:b/>
          <w:i w:val="0"/>
          <w:color w:val="20344A"/>
          <w:sz w:val="21"/>
        </w:rPr>
        <w:t xml:space="preserve">Audit. </w:t>
      </w:r>
      <w:r>
        <w:rPr>
          <w:rFonts w:ascii="Aptos" w:hAnsi="Aptos"/>
          <w:b w:val="0"/>
          <w:i w:val="0"/>
          <w:color w:val="1E252B"/>
          <w:sz w:val="21"/>
        </w:rPr>
        <w:t>Record actor, reason, old values, new values, time, and result.</w:t>
      </w:r>
    </w:p>
    <w:p>
      <w:pPr>
        <w:pStyle w:val="Heading2"/>
        <w:keepNext/>
      </w:pPr>
      <w:r>
        <w:rPr>
          <w:rFonts w:ascii="Aptos" w:hAnsi="Aptos"/>
          <w:b/>
          <w:i w:val="0"/>
          <w:color w:val="1C766C"/>
          <w:sz w:val="26"/>
        </w:rPr>
        <w:t>6.4 Cancellation, No-Show, and Completion</w:t>
      </w:r>
    </w:p>
    <w:p>
      <w:pPr>
        <w:pStyle w:val="ListNumber"/>
        <w:spacing w:after="80"/>
        <w:ind w:left="547" w:hanging="274"/>
      </w:pPr>
      <w:r>
        <w:rPr>
          <w:rFonts w:ascii="Aptos" w:hAnsi="Aptos"/>
          <w:b/>
          <w:i w:val="0"/>
          <w:color w:val="20344A"/>
          <w:sz w:val="21"/>
        </w:rPr>
        <w:t xml:space="preserve">Identify. </w:t>
      </w:r>
      <w:r>
        <w:rPr>
          <w:rFonts w:ascii="Aptos" w:hAnsi="Aptos"/>
          <w:b w:val="0"/>
          <w:i w:val="0"/>
          <w:color w:val="1E252B"/>
          <w:sz w:val="21"/>
        </w:rPr>
        <w:t>Select the active appointment and desired outcome.</w:t>
      </w:r>
    </w:p>
    <w:p>
      <w:pPr>
        <w:pStyle w:val="ListNumber"/>
        <w:spacing w:after="80"/>
        <w:ind w:left="547" w:hanging="274"/>
      </w:pPr>
      <w:r>
        <w:rPr>
          <w:rFonts w:ascii="Aptos" w:hAnsi="Aptos"/>
          <w:b/>
          <w:i w:val="0"/>
          <w:color w:val="20344A"/>
          <w:sz w:val="21"/>
        </w:rPr>
        <w:t xml:space="preserve">Validate. </w:t>
      </w:r>
      <w:r>
        <w:rPr>
          <w:rFonts w:ascii="Aptos" w:hAnsi="Aptos"/>
          <w:b w:val="0"/>
          <w:i w:val="0"/>
          <w:color w:val="1E252B"/>
          <w:sz w:val="21"/>
        </w:rPr>
        <w:t>Apply role, reason, and state-transition rules.</w:t>
      </w:r>
    </w:p>
    <w:p>
      <w:pPr>
        <w:pStyle w:val="ListNumber"/>
        <w:spacing w:after="80"/>
        <w:ind w:left="547" w:hanging="274"/>
      </w:pPr>
      <w:r>
        <w:rPr>
          <w:rFonts w:ascii="Aptos" w:hAnsi="Aptos"/>
          <w:b/>
          <w:i w:val="0"/>
          <w:color w:val="20344A"/>
          <w:sz w:val="21"/>
        </w:rPr>
        <w:t xml:space="preserve">Transition. </w:t>
      </w:r>
      <w:r>
        <w:rPr>
          <w:rFonts w:ascii="Aptos" w:hAnsi="Aptos"/>
          <w:b w:val="0"/>
          <w:i w:val="0"/>
          <w:color w:val="1E252B"/>
          <w:sz w:val="21"/>
        </w:rPr>
        <w:t>Change the appointment state without deleting the historical visit.</w:t>
      </w:r>
    </w:p>
    <w:p>
      <w:pPr>
        <w:pStyle w:val="ListNumber"/>
        <w:spacing w:after="80"/>
        <w:ind w:left="547" w:hanging="274"/>
      </w:pPr>
      <w:r>
        <w:rPr>
          <w:rFonts w:ascii="Aptos" w:hAnsi="Aptos"/>
          <w:b/>
          <w:i w:val="0"/>
          <w:color w:val="20344A"/>
          <w:sz w:val="21"/>
        </w:rPr>
        <w:t xml:space="preserve">Release. </w:t>
      </w:r>
      <w:r>
        <w:rPr>
          <w:rFonts w:ascii="Aptos" w:hAnsi="Aptos"/>
          <w:b w:val="0"/>
          <w:i w:val="0"/>
          <w:color w:val="1E252B"/>
          <w:sz w:val="21"/>
        </w:rPr>
        <w:t>Inactive appointments no longer consume active provider, room, or equipment capacity.</w:t>
      </w:r>
    </w:p>
    <w:p>
      <w:pPr>
        <w:pStyle w:val="ListNumber"/>
        <w:spacing w:after="80"/>
        <w:ind w:left="547" w:hanging="274"/>
      </w:pPr>
      <w:r>
        <w:rPr>
          <w:rFonts w:ascii="Aptos" w:hAnsi="Aptos"/>
          <w:b/>
          <w:i w:val="0"/>
          <w:color w:val="20344A"/>
          <w:sz w:val="21"/>
        </w:rPr>
        <w:t xml:space="preserve">Record. </w:t>
      </w:r>
      <w:r>
        <w:rPr>
          <w:rFonts w:ascii="Aptos" w:hAnsi="Aptos"/>
          <w:b w:val="0"/>
          <w:i w:val="0"/>
          <w:color w:val="1E252B"/>
          <w:sz w:val="21"/>
        </w:rPr>
        <w:t>Append status history and an audit event.</w:t>
      </w:r>
    </w:p>
    <w:p>
      <w:pPr>
        <w:pStyle w:val="ListNumber"/>
        <w:spacing w:after="80"/>
        <w:ind w:left="547" w:hanging="274"/>
      </w:pPr>
      <w:r>
        <w:rPr>
          <w:rFonts w:ascii="Aptos" w:hAnsi="Aptos"/>
          <w:b/>
          <w:i w:val="0"/>
          <w:color w:val="20344A"/>
          <w:sz w:val="21"/>
        </w:rPr>
        <w:t xml:space="preserve">Recover. </w:t>
      </w:r>
      <w:r>
        <w:rPr>
          <w:rFonts w:ascii="Aptos" w:hAnsi="Aptos"/>
          <w:b w:val="0"/>
          <w:i w:val="0"/>
          <w:color w:val="1E252B"/>
          <w:sz w:val="21"/>
        </w:rPr>
        <w:t>Optionally search active waitlist entries for the newly opened interval.</w:t>
      </w:r>
    </w:p>
    <w:p>
      <w:pPr>
        <w:pStyle w:val="Heading2"/>
        <w:keepNext/>
      </w:pPr>
      <w:r>
        <w:rPr>
          <w:rFonts w:ascii="Aptos" w:hAnsi="Aptos"/>
          <w:b/>
          <w:i w:val="0"/>
          <w:color w:val="1C766C"/>
          <w:sz w:val="26"/>
        </w:rPr>
        <w:t>6.5 Walk-In</w:t>
      </w:r>
    </w:p>
    <w:p>
      <w:pPr>
        <w:pStyle w:val="ListNumber"/>
        <w:spacing w:after="80"/>
        <w:ind w:left="547" w:hanging="274"/>
      </w:pPr>
      <w:r>
        <w:rPr>
          <w:rFonts w:ascii="Aptos" w:hAnsi="Aptos"/>
          <w:b/>
          <w:i w:val="0"/>
          <w:color w:val="20344A"/>
          <w:sz w:val="21"/>
        </w:rPr>
        <w:t xml:space="preserve">Register. </w:t>
      </w:r>
      <w:r>
        <w:rPr>
          <w:rFonts w:ascii="Aptos" w:hAnsi="Aptos"/>
          <w:b w:val="0"/>
          <w:i w:val="0"/>
          <w:color w:val="1E252B"/>
          <w:sz w:val="21"/>
        </w:rPr>
        <w:t>Capture the minimum identity and procedure information allowed by policy.</w:t>
      </w:r>
    </w:p>
    <w:p>
      <w:pPr>
        <w:pStyle w:val="ListNumber"/>
        <w:spacing w:after="80"/>
        <w:ind w:left="547" w:hanging="274"/>
      </w:pPr>
      <w:r>
        <w:rPr>
          <w:rFonts w:ascii="Aptos" w:hAnsi="Aptos"/>
          <w:b/>
          <w:i w:val="0"/>
          <w:color w:val="20344A"/>
          <w:sz w:val="21"/>
        </w:rPr>
        <w:t xml:space="preserve">Triage. </w:t>
      </w:r>
      <w:r>
        <w:rPr>
          <w:rFonts w:ascii="Aptos" w:hAnsi="Aptos"/>
          <w:b w:val="0"/>
          <w:i w:val="0"/>
          <w:color w:val="1E252B"/>
          <w:sz w:val="21"/>
        </w:rPr>
        <w:t>Route clinical urgency decisions to qualified staff.</w:t>
      </w:r>
    </w:p>
    <w:p>
      <w:pPr>
        <w:pStyle w:val="ListNumber"/>
        <w:spacing w:after="80"/>
        <w:ind w:left="547" w:hanging="274"/>
      </w:pPr>
      <w:r>
        <w:rPr>
          <w:rFonts w:ascii="Aptos" w:hAnsi="Aptos"/>
          <w:b/>
          <w:i w:val="0"/>
          <w:color w:val="20344A"/>
          <w:sz w:val="21"/>
        </w:rPr>
        <w:t xml:space="preserve">Search. </w:t>
      </w:r>
      <w:r>
        <w:rPr>
          <w:rFonts w:ascii="Aptos" w:hAnsi="Aptos"/>
          <w:b w:val="0"/>
          <w:i w:val="0"/>
          <w:color w:val="1E252B"/>
          <w:sz w:val="21"/>
        </w:rPr>
        <w:t>Use the same hard constraints as scheduled visits; do not force a walk-in into occupied capacity.</w:t>
      </w:r>
    </w:p>
    <w:p>
      <w:pPr>
        <w:pStyle w:val="ListNumber"/>
        <w:spacing w:after="80"/>
        <w:ind w:left="547" w:hanging="274"/>
      </w:pPr>
      <w:r>
        <w:rPr>
          <w:rFonts w:ascii="Aptos" w:hAnsi="Aptos"/>
          <w:b/>
          <w:i w:val="0"/>
          <w:color w:val="20344A"/>
          <w:sz w:val="21"/>
        </w:rPr>
        <w:t xml:space="preserve">Confirm. </w:t>
      </w:r>
      <w:r>
        <w:rPr>
          <w:rFonts w:ascii="Aptos" w:hAnsi="Aptos"/>
          <w:b w:val="0"/>
          <w:i w:val="0"/>
          <w:color w:val="1E252B"/>
          <w:sz w:val="21"/>
        </w:rPr>
        <w:t>Book through the normal transactional path with the arrival type marked appropriately.</w:t>
      </w:r>
    </w:p>
    <w:p>
      <w:pPr>
        <w:pStyle w:val="ListNumber"/>
        <w:spacing w:after="80"/>
        <w:ind w:left="547" w:hanging="274"/>
      </w:pPr>
      <w:r>
        <w:rPr>
          <w:rFonts w:ascii="Aptos" w:hAnsi="Aptos"/>
          <w:b/>
          <w:i w:val="0"/>
          <w:color w:val="20344A"/>
          <w:sz w:val="21"/>
        </w:rPr>
        <w:t xml:space="preserve">Track. </w:t>
      </w:r>
      <w:r>
        <w:rPr>
          <w:rFonts w:ascii="Aptos" w:hAnsi="Aptos"/>
          <w:b w:val="0"/>
          <w:i w:val="0"/>
          <w:color w:val="1E252B"/>
          <w:sz w:val="21"/>
        </w:rPr>
        <w:t>Record check-in, seating, and completion timestamps when operationally required.</w:t>
      </w:r>
    </w:p>
    <w:p>
      <w:pPr>
        <w:pStyle w:val="Heading2"/>
        <w:keepNext/>
      </w:pPr>
      <w:r>
        <w:rPr>
          <w:rFonts w:ascii="Aptos" w:hAnsi="Aptos"/>
          <w:b/>
          <w:i w:val="0"/>
          <w:color w:val="1C766C"/>
          <w:sz w:val="26"/>
        </w:rPr>
        <w:t>6.6 Waitlist and Contact Recovery</w:t>
      </w:r>
    </w:p>
    <w:p>
      <w:pPr>
        <w:pStyle w:val="ListNumber"/>
        <w:spacing w:after="80"/>
        <w:ind w:left="547" w:hanging="274"/>
      </w:pPr>
      <w:r>
        <w:rPr>
          <w:rFonts w:ascii="Aptos" w:hAnsi="Aptos"/>
          <w:b/>
          <w:i w:val="0"/>
          <w:color w:val="20344A"/>
          <w:sz w:val="21"/>
        </w:rPr>
        <w:t xml:space="preserve">Enroll. </w:t>
      </w:r>
      <w:r>
        <w:rPr>
          <w:rFonts w:ascii="Aptos" w:hAnsi="Aptos"/>
          <w:b w:val="0"/>
          <w:i w:val="0"/>
          <w:color w:val="1E252B"/>
          <w:sz w:val="21"/>
        </w:rPr>
        <w:t>Capture patient consent, procedure, acceptable window, preferences, priority, and minimal notes.</w:t>
      </w:r>
    </w:p>
    <w:p>
      <w:pPr>
        <w:pStyle w:val="ListNumber"/>
        <w:spacing w:after="80"/>
        <w:ind w:left="547" w:hanging="274"/>
      </w:pPr>
      <w:r>
        <w:rPr>
          <w:rFonts w:ascii="Aptos" w:hAnsi="Aptos"/>
          <w:b/>
          <w:i w:val="0"/>
          <w:color w:val="20344A"/>
          <w:sz w:val="21"/>
        </w:rPr>
        <w:t xml:space="preserve">Match. </w:t>
      </w:r>
      <w:r>
        <w:rPr>
          <w:rFonts w:ascii="Aptos" w:hAnsi="Aptos"/>
          <w:b w:val="0"/>
          <w:i w:val="0"/>
          <w:color w:val="1E252B"/>
          <w:sz w:val="21"/>
        </w:rPr>
        <w:t>Search live capacity using the entry's actual procedure and constraints.</w:t>
      </w:r>
    </w:p>
    <w:p>
      <w:pPr>
        <w:pStyle w:val="ListNumber"/>
        <w:spacing w:after="80"/>
        <w:ind w:left="547" w:hanging="274"/>
      </w:pPr>
      <w:r>
        <w:rPr>
          <w:rFonts w:ascii="Aptos" w:hAnsi="Aptos"/>
          <w:b/>
          <w:i w:val="0"/>
          <w:color w:val="20344A"/>
          <w:sz w:val="21"/>
        </w:rPr>
        <w:t xml:space="preserve">Offer. </w:t>
      </w:r>
      <w:r>
        <w:rPr>
          <w:rFonts w:ascii="Aptos" w:hAnsi="Aptos"/>
          <w:b w:val="0"/>
          <w:i w:val="0"/>
          <w:color w:val="1E252B"/>
          <w:sz w:val="21"/>
        </w:rPr>
        <w:t>Mark a feasible option as offered; do not auto-book.</w:t>
      </w:r>
    </w:p>
    <w:p>
      <w:pPr>
        <w:pStyle w:val="ListNumber"/>
        <w:spacing w:after="80"/>
        <w:ind w:left="547" w:hanging="274"/>
      </w:pPr>
      <w:r>
        <w:rPr>
          <w:rFonts w:ascii="Aptos" w:hAnsi="Aptos"/>
          <w:b/>
          <w:i w:val="0"/>
          <w:color w:val="20344A"/>
          <w:sz w:val="21"/>
        </w:rPr>
        <w:t xml:space="preserve">Contact. </w:t>
      </w:r>
      <w:r>
        <w:rPr>
          <w:rFonts w:ascii="Aptos" w:hAnsi="Aptos"/>
          <w:b w:val="0"/>
          <w:i w:val="0"/>
          <w:color w:val="1E252B"/>
          <w:sz w:val="21"/>
        </w:rPr>
        <w:t>Record channel, outcome, actor, and time while minimizing free text.</w:t>
      </w:r>
    </w:p>
    <w:p>
      <w:pPr>
        <w:pStyle w:val="ListNumber"/>
        <w:spacing w:after="80"/>
        <w:ind w:left="547" w:hanging="274"/>
      </w:pPr>
      <w:r>
        <w:rPr>
          <w:rFonts w:ascii="Aptos" w:hAnsi="Aptos"/>
          <w:b/>
          <w:i w:val="0"/>
          <w:color w:val="20344A"/>
          <w:sz w:val="21"/>
        </w:rPr>
        <w:t xml:space="preserve">Confirm. </w:t>
      </w:r>
      <w:r>
        <w:rPr>
          <w:rFonts w:ascii="Aptos" w:hAnsi="Aptos"/>
          <w:b w:val="0"/>
          <w:i w:val="0"/>
          <w:color w:val="1E252B"/>
          <w:sz w:val="21"/>
        </w:rPr>
        <w:t>Use the standard confirmation transaction if the patient accepts.</w:t>
      </w:r>
    </w:p>
    <w:p>
      <w:pPr>
        <w:pStyle w:val="ListNumber"/>
        <w:spacing w:after="80"/>
        <w:ind w:left="547" w:hanging="274"/>
      </w:pPr>
      <w:r>
        <w:rPr>
          <w:rFonts w:ascii="Aptos" w:hAnsi="Aptos"/>
          <w:b/>
          <w:i w:val="0"/>
          <w:color w:val="20344A"/>
          <w:sz w:val="21"/>
        </w:rPr>
        <w:t xml:space="preserve">Close. </w:t>
      </w:r>
      <w:r>
        <w:rPr>
          <w:rFonts w:ascii="Aptos" w:hAnsi="Aptos"/>
          <w:b w:val="0"/>
          <w:i w:val="0"/>
          <w:color w:val="1E252B"/>
          <w:sz w:val="21"/>
        </w:rPr>
        <w:t>Update the entry to scheduled, declined, expired, or another approved terminal state.</w:t>
      </w:r>
    </w:p>
    <w:p>
      <w:pPr>
        <w:pStyle w:val="Heading2"/>
        <w:keepNext/>
      </w:pPr>
      <w:r>
        <w:rPr>
          <w:rFonts w:ascii="Aptos" w:hAnsi="Aptos"/>
          <w:b/>
          <w:i w:val="0"/>
          <w:color w:val="1C766C"/>
          <w:sz w:val="26"/>
        </w:rPr>
        <w:t>6.7 Multi-Visit or Lab-Dependent Follow-Up</w:t>
      </w:r>
    </w:p>
    <w:p>
      <w:pPr>
        <w:pStyle w:val="ListNumber"/>
        <w:spacing w:after="80"/>
        <w:ind w:left="547" w:hanging="274"/>
      </w:pPr>
      <w:r>
        <w:rPr>
          <w:rFonts w:ascii="Aptos" w:hAnsi="Aptos"/>
          <w:b/>
          <w:i w:val="0"/>
          <w:color w:val="20344A"/>
          <w:sz w:val="21"/>
        </w:rPr>
        <w:t xml:space="preserve">Detect. </w:t>
      </w:r>
      <w:r>
        <w:rPr>
          <w:rFonts w:ascii="Aptos" w:hAnsi="Aptos"/>
          <w:b w:val="0"/>
          <w:i w:val="0"/>
          <w:color w:val="1E252B"/>
          <w:sz w:val="21"/>
        </w:rPr>
        <w:t>Apply an approved follow-up rule after the source procedure is confirmed or completed.</w:t>
      </w:r>
    </w:p>
    <w:p>
      <w:pPr>
        <w:pStyle w:val="ListNumber"/>
        <w:spacing w:after="80"/>
        <w:ind w:left="547" w:hanging="274"/>
      </w:pPr>
      <w:r>
        <w:rPr>
          <w:rFonts w:ascii="Aptos" w:hAnsi="Aptos"/>
          <w:b/>
          <w:i w:val="0"/>
          <w:color w:val="20344A"/>
          <w:sz w:val="21"/>
        </w:rPr>
        <w:t xml:space="preserve">Create. </w:t>
      </w:r>
      <w:r>
        <w:rPr>
          <w:rFonts w:ascii="Aptos" w:hAnsi="Aptos"/>
          <w:b w:val="0"/>
          <w:i w:val="0"/>
          <w:color w:val="1E252B"/>
          <w:sz w:val="21"/>
        </w:rPr>
        <w:t>Generate a linked future scheduling need with an allowable lead-time window.</w:t>
      </w:r>
    </w:p>
    <w:p>
      <w:pPr>
        <w:pStyle w:val="ListNumber"/>
        <w:spacing w:after="80"/>
        <w:ind w:left="547" w:hanging="274"/>
      </w:pPr>
      <w:r>
        <w:rPr>
          <w:rFonts w:ascii="Aptos" w:hAnsi="Aptos"/>
          <w:b/>
          <w:i w:val="0"/>
          <w:color w:val="20344A"/>
          <w:sz w:val="21"/>
        </w:rPr>
        <w:t xml:space="preserve">Match. </w:t>
      </w:r>
      <w:r>
        <w:rPr>
          <w:rFonts w:ascii="Aptos" w:hAnsi="Aptos"/>
          <w:b w:val="0"/>
          <w:i w:val="0"/>
          <w:color w:val="1E252B"/>
          <w:sz w:val="21"/>
        </w:rPr>
        <w:t>Search qualified provider and resource capacity within that window.</w:t>
      </w:r>
    </w:p>
    <w:p>
      <w:pPr>
        <w:pStyle w:val="ListNumber"/>
        <w:spacing w:after="80"/>
        <w:ind w:left="547" w:hanging="274"/>
      </w:pPr>
      <w:r>
        <w:rPr>
          <w:rFonts w:ascii="Aptos" w:hAnsi="Aptos"/>
          <w:b/>
          <w:i w:val="0"/>
          <w:color w:val="20344A"/>
          <w:sz w:val="21"/>
        </w:rPr>
        <w:t xml:space="preserve">Confirm. </w:t>
      </w:r>
      <w:r>
        <w:rPr>
          <w:rFonts w:ascii="Aptos" w:hAnsi="Aptos"/>
          <w:b w:val="0"/>
          <w:i w:val="0"/>
          <w:color w:val="1E252B"/>
          <w:sz w:val="21"/>
        </w:rPr>
        <w:t>Book only after human review and patient acceptance.</w:t>
      </w:r>
    </w:p>
    <w:p>
      <w:pPr>
        <w:pStyle w:val="ListNumber"/>
        <w:spacing w:after="80"/>
        <w:ind w:left="547" w:hanging="274"/>
      </w:pPr>
      <w:r>
        <w:rPr>
          <w:rFonts w:ascii="Aptos" w:hAnsi="Aptos"/>
          <w:b/>
          <w:i w:val="0"/>
          <w:color w:val="20344A"/>
          <w:sz w:val="21"/>
        </w:rPr>
        <w:t xml:space="preserve">Link. </w:t>
      </w:r>
      <w:r>
        <w:rPr>
          <w:rFonts w:ascii="Aptos" w:hAnsi="Aptos"/>
          <w:b w:val="0"/>
          <w:i w:val="0"/>
          <w:color w:val="1E252B"/>
          <w:sz w:val="21"/>
        </w:rPr>
        <w:t>Preserve the relationship between source and follow-up visits for continuity and audit.</w:t>
      </w:r>
    </w:p>
    <w:p>
      <w:pPr>
        <w:pStyle w:val="Heading2"/>
        <w:keepNext/>
      </w:pPr>
      <w:r>
        <w:rPr>
          <w:rFonts w:ascii="Aptos" w:hAnsi="Aptos"/>
          <w:b/>
          <w:i w:val="0"/>
          <w:color w:val="1C766C"/>
          <w:sz w:val="26"/>
        </w:rPr>
        <w:t>6.8 Emergency Capacity Lifecycle</w:t>
      </w:r>
    </w:p>
    <w:p>
      <w:pPr>
        <w:pStyle w:val="ListNumber"/>
        <w:spacing w:after="80"/>
        <w:ind w:left="547" w:hanging="274"/>
      </w:pPr>
      <w:r>
        <w:rPr>
          <w:rFonts w:ascii="Aptos" w:hAnsi="Aptos"/>
          <w:b/>
          <w:i w:val="0"/>
          <w:color w:val="20344A"/>
          <w:sz w:val="21"/>
        </w:rPr>
        <w:t xml:space="preserve">Protect. </w:t>
      </w:r>
      <w:r>
        <w:rPr>
          <w:rFonts w:ascii="Aptos" w:hAnsi="Aptos"/>
          <w:b w:val="0"/>
          <w:i w:val="0"/>
          <w:color w:val="1E252B"/>
          <w:sz w:val="21"/>
        </w:rPr>
        <w:t>Create effective-dated reserved opportunities by clinician or resource according to approved policy.</w:t>
      </w:r>
    </w:p>
    <w:p>
      <w:pPr>
        <w:pStyle w:val="ListNumber"/>
        <w:spacing w:after="80"/>
        <w:ind w:left="547" w:hanging="274"/>
      </w:pPr>
      <w:r>
        <w:rPr>
          <w:rFonts w:ascii="Aptos" w:hAnsi="Aptos"/>
          <w:b/>
          <w:i w:val="0"/>
          <w:color w:val="20344A"/>
          <w:sz w:val="21"/>
        </w:rPr>
        <w:t xml:space="preserve">Search. </w:t>
      </w:r>
      <w:r>
        <w:rPr>
          <w:rFonts w:ascii="Aptos" w:hAnsi="Aptos"/>
          <w:b w:val="0"/>
          <w:i w:val="0"/>
          <w:color w:val="1E252B"/>
          <w:sz w:val="21"/>
        </w:rPr>
        <w:t>Allow qualifying urgent requests to use protected capacity without weakening normal feasibility rules.</w:t>
      </w:r>
    </w:p>
    <w:p>
      <w:pPr>
        <w:pStyle w:val="ListNumber"/>
        <w:spacing w:after="80"/>
        <w:ind w:left="547" w:hanging="274"/>
      </w:pPr>
      <w:r>
        <w:rPr>
          <w:rFonts w:ascii="Aptos" w:hAnsi="Aptos"/>
          <w:b/>
          <w:i w:val="0"/>
          <w:color w:val="20344A"/>
          <w:sz w:val="21"/>
        </w:rPr>
        <w:t xml:space="preserve">Release. </w:t>
      </w:r>
      <w:r>
        <w:rPr>
          <w:rFonts w:ascii="Aptos" w:hAnsi="Aptos"/>
          <w:b w:val="0"/>
          <w:i w:val="0"/>
          <w:color w:val="1E252B"/>
          <w:sz w:val="21"/>
        </w:rPr>
        <w:t>At the approved cutoff, make unused reserve available to eligible ordinary requests.</w:t>
      </w:r>
    </w:p>
    <w:p>
      <w:pPr>
        <w:pStyle w:val="ListNumber"/>
        <w:spacing w:after="80"/>
        <w:ind w:left="547" w:hanging="274"/>
      </w:pPr>
      <w:r>
        <w:rPr>
          <w:rFonts w:ascii="Aptos" w:hAnsi="Aptos"/>
          <w:b/>
          <w:i w:val="0"/>
          <w:color w:val="20344A"/>
          <w:sz w:val="21"/>
        </w:rPr>
        <w:t xml:space="preserve">Confirm. </w:t>
      </w:r>
      <w:r>
        <w:rPr>
          <w:rFonts w:ascii="Aptos" w:hAnsi="Aptos"/>
          <w:b w:val="0"/>
          <w:i w:val="0"/>
          <w:color w:val="1E252B"/>
          <w:sz w:val="21"/>
        </w:rPr>
        <w:t>Use the same transactional confirmation path and record whether protected capacity was consumed.</w:t>
      </w:r>
    </w:p>
    <w:p>
      <w:pPr>
        <w:pStyle w:val="ListNumber"/>
        <w:spacing w:after="80"/>
        <w:ind w:left="547" w:hanging="274"/>
      </w:pPr>
      <w:r>
        <w:rPr>
          <w:rFonts w:ascii="Aptos" w:hAnsi="Aptos"/>
          <w:b/>
          <w:i w:val="0"/>
          <w:color w:val="20344A"/>
          <w:sz w:val="21"/>
        </w:rPr>
        <w:t xml:space="preserve">Review. </w:t>
      </w:r>
      <w:r>
        <w:rPr>
          <w:rFonts w:ascii="Aptos" w:hAnsi="Aptos"/>
          <w:b w:val="0"/>
          <w:i w:val="0"/>
          <w:color w:val="1E252B"/>
          <w:sz w:val="21"/>
        </w:rPr>
        <w:t>Measure unused reserve, overflow, and access outcomes so policy owners can adjust capacity without embedding fixed assumptions.</w:t>
      </w:r>
    </w:p>
    <w:p>
      <w:pPr>
        <w:pStyle w:val="Heading2"/>
        <w:keepNext/>
      </w:pPr>
      <w:r>
        <w:rPr>
          <w:rFonts w:ascii="Aptos" w:hAnsi="Aptos"/>
          <w:b/>
          <w:i w:val="0"/>
          <w:color w:val="1C766C"/>
          <w:sz w:val="26"/>
        </w:rPr>
        <w:t>6.9 Optional Duration Calibration</w:t>
      </w:r>
    </w:p>
    <w:p>
      <w:pPr>
        <w:pStyle w:val="ListNumber"/>
        <w:spacing w:after="80"/>
        <w:ind w:left="547" w:hanging="274"/>
      </w:pPr>
      <w:r>
        <w:rPr>
          <w:rFonts w:ascii="Aptos" w:hAnsi="Aptos"/>
          <w:b/>
          <w:i w:val="0"/>
          <w:color w:val="20344A"/>
          <w:sz w:val="21"/>
        </w:rPr>
        <w:t xml:space="preserve">Start. </w:t>
      </w:r>
      <w:r>
        <w:rPr>
          <w:rFonts w:ascii="Aptos" w:hAnsi="Aptos"/>
          <w:b w:val="0"/>
          <w:i w:val="0"/>
          <w:color w:val="1E252B"/>
          <w:sz w:val="21"/>
        </w:rPr>
        <w:t>Operate from versioned reference duration defaults; the deploying practice validates or edits them before real-patient use, while historical data is not required to search or book.</w:t>
      </w:r>
    </w:p>
    <w:p>
      <w:pPr>
        <w:pStyle w:val="ListNumber"/>
        <w:spacing w:after="80"/>
        <w:ind w:left="547" w:hanging="274"/>
      </w:pPr>
      <w:r>
        <w:rPr>
          <w:rFonts w:ascii="Aptos" w:hAnsi="Aptos"/>
          <w:b/>
          <w:i w:val="0"/>
          <w:color w:val="20344A"/>
          <w:sz w:val="21"/>
        </w:rPr>
        <w:t xml:space="preserve">Observe. </w:t>
      </w:r>
      <w:r>
        <w:rPr>
          <w:rFonts w:ascii="Aptos" w:hAnsi="Aptos"/>
          <w:b w:val="0"/>
          <w:i w:val="0"/>
          <w:color w:val="1E252B"/>
          <w:sz w:val="21"/>
        </w:rPr>
        <w:t>Accumulate de-identified scheduled-versus-observed timing from completed visits, or optionally import prior history.</w:t>
      </w:r>
    </w:p>
    <w:p>
      <w:pPr>
        <w:pStyle w:val="ListNumber"/>
        <w:spacing w:after="80"/>
        <w:ind w:left="547" w:hanging="274"/>
      </w:pPr>
      <w:r>
        <w:rPr>
          <w:rFonts w:ascii="Aptos" w:hAnsi="Aptos"/>
          <w:b/>
          <w:i w:val="0"/>
          <w:color w:val="20344A"/>
          <w:sz w:val="21"/>
        </w:rPr>
        <w:t xml:space="preserve">Validate. </w:t>
      </w:r>
      <w:r>
        <w:rPr>
          <w:rFonts w:ascii="Aptos" w:hAnsi="Aptos"/>
          <w:b w:val="0"/>
          <w:i w:val="0"/>
          <w:color w:val="1E252B"/>
          <w:sz w:val="21"/>
        </w:rPr>
        <w:t>Reject patient identifiers, uncontrolled free text, unknown procedures, invalid times, and prohibited fields.</w:t>
      </w:r>
    </w:p>
    <w:p>
      <w:pPr>
        <w:pStyle w:val="ListNumber"/>
        <w:spacing w:after="80"/>
        <w:ind w:left="547" w:hanging="274"/>
      </w:pPr>
      <w:r>
        <w:rPr>
          <w:rFonts w:ascii="Aptos" w:hAnsi="Aptos"/>
          <w:b/>
          <w:i w:val="0"/>
          <w:color w:val="20344A"/>
          <w:sz w:val="21"/>
        </w:rPr>
        <w:t xml:space="preserve">Stage. </w:t>
      </w:r>
      <w:r>
        <w:rPr>
          <w:rFonts w:ascii="Aptos" w:hAnsi="Aptos"/>
          <w:b w:val="0"/>
          <w:i w:val="0"/>
          <w:color w:val="1E252B"/>
          <w:sz w:val="21"/>
        </w:rPr>
        <w:t>Aggregate only eligible completed observations, retain source provenance, and keep approved defaults active below the evidence threshold.</w:t>
      </w:r>
    </w:p>
    <w:p>
      <w:pPr>
        <w:pStyle w:val="ListNumber"/>
        <w:spacing w:after="80"/>
        <w:ind w:left="547" w:hanging="274"/>
      </w:pPr>
      <w:r>
        <w:rPr>
          <w:rFonts w:ascii="Aptos" w:hAnsi="Aptos"/>
          <w:b/>
          <w:i w:val="0"/>
          <w:color w:val="20344A"/>
          <w:sz w:val="21"/>
        </w:rPr>
        <w:t xml:space="preserve">Recommend. </w:t>
      </w:r>
      <w:r>
        <w:rPr>
          <w:rFonts w:ascii="Aptos" w:hAnsi="Aptos"/>
          <w:b w:val="0"/>
          <w:i w:val="0"/>
          <w:color w:val="1E252B"/>
          <w:sz w:val="21"/>
        </w:rPr>
        <w:t>After sufficient evidence, produce standard and complex duration suggestions with sample size and distribution evidence; do not auto-apply.</w:t>
      </w:r>
    </w:p>
    <w:p>
      <w:pPr>
        <w:pStyle w:val="ListNumber"/>
        <w:spacing w:after="80"/>
        <w:ind w:left="547" w:hanging="274"/>
      </w:pPr>
      <w:r>
        <w:rPr>
          <w:rFonts w:ascii="Aptos" w:hAnsi="Aptos"/>
          <w:b/>
          <w:i w:val="0"/>
          <w:color w:val="20344A"/>
          <w:sz w:val="21"/>
        </w:rPr>
        <w:t xml:space="preserve">Approve. </w:t>
      </w:r>
      <w:r>
        <w:rPr>
          <w:rFonts w:ascii="Aptos" w:hAnsi="Aptos"/>
          <w:b w:val="0"/>
          <w:i w:val="0"/>
          <w:color w:val="1E252B"/>
          <w:sz w:val="21"/>
        </w:rPr>
        <w:t>Require an authorized clinical or administrative owner to review and document the decision.</w:t>
      </w:r>
    </w:p>
    <w:p>
      <w:pPr>
        <w:pStyle w:val="ListNumber"/>
        <w:spacing w:after="80"/>
        <w:ind w:left="547" w:hanging="274"/>
      </w:pPr>
      <w:r>
        <w:rPr>
          <w:rFonts w:ascii="Aptos" w:hAnsi="Aptos"/>
          <w:b/>
          <w:i w:val="0"/>
          <w:color w:val="20344A"/>
          <w:sz w:val="21"/>
        </w:rPr>
        <w:t xml:space="preserve">Version. </w:t>
      </w:r>
      <w:r>
        <w:rPr>
          <w:rFonts w:ascii="Aptos" w:hAnsi="Aptos"/>
          <w:b w:val="0"/>
          <w:i w:val="0"/>
          <w:color w:val="1E252B"/>
          <w:sz w:val="21"/>
        </w:rPr>
        <w:t>Apply approved phase-duration changes prospectively under a new effective policy version; existing bookings remain unchanged unless separately authorized.</w:t>
      </w:r>
    </w:p>
    <w:p>
      <w:pPr>
        <w:pStyle w:val="Heading2"/>
        <w:keepNext/>
      </w:pPr>
      <w:r>
        <w:rPr>
          <w:rFonts w:ascii="Aptos" w:hAnsi="Aptos"/>
          <w:b/>
          <w:i w:val="0"/>
          <w:color w:val="1C766C"/>
          <w:sz w:val="26"/>
        </w:rPr>
        <w:t>6.10 Downtime and Reconciliation</w:t>
      </w:r>
    </w:p>
    <w:p>
      <w:pPr>
        <w:pStyle w:val="ListNumber"/>
        <w:spacing w:after="80"/>
        <w:ind w:left="547" w:hanging="274"/>
      </w:pPr>
      <w:r>
        <w:rPr>
          <w:rFonts w:ascii="Aptos" w:hAnsi="Aptos"/>
          <w:b/>
          <w:i w:val="0"/>
          <w:color w:val="20344A"/>
          <w:sz w:val="21"/>
        </w:rPr>
        <w:t xml:space="preserve">Declare. </w:t>
      </w:r>
      <w:r>
        <w:rPr>
          <w:rFonts w:ascii="Aptos" w:hAnsi="Aptos"/>
          <w:b w:val="0"/>
          <w:i w:val="0"/>
          <w:color w:val="1E252B"/>
          <w:sz w:val="21"/>
        </w:rPr>
        <w:t>An authorized owner activates the approved downtime procedure and records the start time and reason.</w:t>
      </w:r>
    </w:p>
    <w:p>
      <w:pPr>
        <w:pStyle w:val="ListNumber"/>
        <w:spacing w:after="80"/>
        <w:ind w:left="547" w:hanging="274"/>
      </w:pPr>
      <w:r>
        <w:rPr>
          <w:rFonts w:ascii="Aptos" w:hAnsi="Aptos"/>
          <w:b/>
          <w:i w:val="0"/>
          <w:color w:val="20344A"/>
          <w:sz w:val="21"/>
        </w:rPr>
        <w:t xml:space="preserve">Operate. </w:t>
      </w:r>
      <w:r>
        <w:rPr>
          <w:rFonts w:ascii="Aptos" w:hAnsi="Aptos"/>
          <w:b w:val="0"/>
          <w:i w:val="0"/>
          <w:color w:val="1E252B"/>
          <w:sz w:val="21"/>
        </w:rPr>
        <w:t>Use the minimum approved offline or paper workflow; do not invent an unaudited direct-write bypass.</w:t>
      </w:r>
    </w:p>
    <w:p>
      <w:pPr>
        <w:pStyle w:val="ListNumber"/>
        <w:spacing w:after="80"/>
        <w:ind w:left="547" w:hanging="274"/>
      </w:pPr>
      <w:r>
        <w:rPr>
          <w:rFonts w:ascii="Aptos" w:hAnsi="Aptos"/>
          <w:b/>
          <w:i w:val="0"/>
          <w:color w:val="20344A"/>
          <w:sz w:val="21"/>
        </w:rPr>
        <w:t xml:space="preserve">Recover. </w:t>
      </w:r>
      <w:r>
        <w:rPr>
          <w:rFonts w:ascii="Aptos" w:hAnsi="Aptos"/>
          <w:b w:val="0"/>
          <w:i w:val="0"/>
          <w:color w:val="1E252B"/>
          <w:sz w:val="21"/>
        </w:rPr>
        <w:t>Restore service, validate clock, database, audit, model, optimizer, storage, and backup health.</w:t>
      </w:r>
    </w:p>
    <w:p>
      <w:pPr>
        <w:pStyle w:val="ListNumber"/>
        <w:spacing w:after="80"/>
        <w:ind w:left="547" w:hanging="274"/>
      </w:pPr>
      <w:r>
        <w:rPr>
          <w:rFonts w:ascii="Aptos" w:hAnsi="Aptos"/>
          <w:b/>
          <w:i w:val="0"/>
          <w:color w:val="20344A"/>
          <w:sz w:val="21"/>
        </w:rPr>
        <w:t xml:space="preserve">Reconcile. </w:t>
      </w:r>
      <w:r>
        <w:rPr>
          <w:rFonts w:ascii="Aptos" w:hAnsi="Aptos"/>
          <w:b w:val="0"/>
          <w:i w:val="0"/>
          <w:color w:val="1E252B"/>
          <w:sz w:val="21"/>
        </w:rPr>
        <w:t>Enter downtime changes using idempotent, role-authorized actions and resolve conflicts with human review.</w:t>
      </w:r>
    </w:p>
    <w:p>
      <w:pPr>
        <w:pStyle w:val="ListNumber"/>
        <w:spacing w:after="80"/>
        <w:ind w:left="547" w:hanging="274"/>
      </w:pPr>
      <w:r>
        <w:rPr>
          <w:rFonts w:ascii="Aptos" w:hAnsi="Aptos"/>
          <w:b/>
          <w:i w:val="0"/>
          <w:color w:val="20344A"/>
          <w:sz w:val="21"/>
        </w:rPr>
        <w:t xml:space="preserve">Evidence. </w:t>
      </w:r>
      <w:r>
        <w:rPr>
          <w:rFonts w:ascii="Aptos" w:hAnsi="Aptos"/>
          <w:b w:val="0"/>
          <w:i w:val="0"/>
          <w:color w:val="1E252B"/>
          <w:sz w:val="21"/>
        </w:rPr>
        <w:t>Record reconciliation provenance and retain the downtime artifacts according to policy.</w:t>
      </w:r>
    </w:p>
    <w:p>
      <w:pPr>
        <w:pStyle w:val="Heading2"/>
        <w:keepNext/>
      </w:pPr>
      <w:r>
        <w:rPr>
          <w:rFonts w:ascii="Aptos" w:hAnsi="Aptos"/>
          <w:b/>
          <w:i w:val="0"/>
          <w:color w:val="1C766C"/>
          <w:sz w:val="26"/>
        </w:rPr>
        <w:t>6.11 Manual Scheduling Exception</w:t>
      </w:r>
    </w:p>
    <w:p>
      <w:pPr>
        <w:pStyle w:val="ListNumber"/>
        <w:spacing w:after="80"/>
        <w:ind w:left="547" w:hanging="274"/>
      </w:pPr>
      <w:r>
        <w:rPr>
          <w:rFonts w:ascii="Aptos" w:hAnsi="Aptos"/>
          <w:b/>
          <w:i w:val="0"/>
          <w:color w:val="20344A"/>
          <w:sz w:val="21"/>
        </w:rPr>
        <w:t xml:space="preserve">Constrain. </w:t>
      </w:r>
      <w:r>
        <w:rPr>
          <w:rFonts w:ascii="Aptos" w:hAnsi="Aptos"/>
          <w:b w:val="0"/>
          <w:i w:val="0"/>
          <w:color w:val="1E252B"/>
          <w:sz w:val="21"/>
        </w:rPr>
        <w:t>If the optimizer is unavailable, display calendars and constraints but do not silently auto-book.</w:t>
      </w:r>
    </w:p>
    <w:p>
      <w:pPr>
        <w:pStyle w:val="ListNumber"/>
        <w:spacing w:after="80"/>
        <w:ind w:left="547" w:hanging="274"/>
      </w:pPr>
      <w:r>
        <w:rPr>
          <w:rFonts w:ascii="Aptos" w:hAnsi="Aptos"/>
          <w:b/>
          <w:i w:val="0"/>
          <w:color w:val="20344A"/>
          <w:sz w:val="21"/>
        </w:rPr>
        <w:t xml:space="preserve">Authorize. </w:t>
      </w:r>
      <w:r>
        <w:rPr>
          <w:rFonts w:ascii="Aptos" w:hAnsi="Aptos"/>
          <w:b w:val="0"/>
          <w:i w:val="0"/>
          <w:color w:val="1E252B"/>
          <w:sz w:val="21"/>
        </w:rPr>
        <w:t>Allow only the approved role to initiate the documented manual workflow.</w:t>
      </w:r>
    </w:p>
    <w:p>
      <w:pPr>
        <w:pStyle w:val="ListNumber"/>
        <w:spacing w:after="80"/>
        <w:ind w:left="547" w:hanging="274"/>
      </w:pPr>
      <w:r>
        <w:rPr>
          <w:rFonts w:ascii="Aptos" w:hAnsi="Aptos"/>
          <w:b/>
          <w:i w:val="0"/>
          <w:color w:val="20344A"/>
          <w:sz w:val="21"/>
        </w:rPr>
        <w:t xml:space="preserve">Validate. </w:t>
      </w:r>
      <w:r>
        <w:rPr>
          <w:rFonts w:ascii="Aptos" w:hAnsi="Aptos"/>
          <w:b w:val="0"/>
          <w:i w:val="0"/>
          <w:color w:val="1E252B"/>
          <w:sz w:val="21"/>
        </w:rPr>
        <w:t>The server and database still enforce qualification, time, patient, room, equipment, and locked-booking rules.</w:t>
      </w:r>
    </w:p>
    <w:p>
      <w:pPr>
        <w:pStyle w:val="ListNumber"/>
        <w:spacing w:after="80"/>
        <w:ind w:left="547" w:hanging="274"/>
      </w:pPr>
      <w:r>
        <w:rPr>
          <w:rFonts w:ascii="Aptos" w:hAnsi="Aptos"/>
          <w:b/>
          <w:i w:val="0"/>
          <w:color w:val="20344A"/>
          <w:sz w:val="21"/>
        </w:rPr>
        <w:t xml:space="preserve">Explain. </w:t>
      </w:r>
      <w:r>
        <w:rPr>
          <w:rFonts w:ascii="Aptos" w:hAnsi="Aptos"/>
          <w:b w:val="0"/>
          <w:i w:val="0"/>
          <w:color w:val="1E252B"/>
          <w:sz w:val="21"/>
        </w:rPr>
        <w:t>Capture a structured exception reason without unnecessary PHI.</w:t>
      </w:r>
    </w:p>
    <w:p>
      <w:pPr>
        <w:pStyle w:val="ListNumber"/>
        <w:spacing w:after="80"/>
        <w:ind w:left="547" w:hanging="274"/>
      </w:pPr>
      <w:r>
        <w:rPr>
          <w:rFonts w:ascii="Aptos" w:hAnsi="Aptos"/>
          <w:b/>
          <w:i w:val="0"/>
          <w:color w:val="20344A"/>
          <w:sz w:val="21"/>
        </w:rPr>
        <w:t xml:space="preserve">Audit. </w:t>
      </w:r>
      <w:r>
        <w:rPr>
          <w:rFonts w:ascii="Aptos" w:hAnsi="Aptos"/>
          <w:b w:val="0"/>
          <w:i w:val="0"/>
          <w:color w:val="1E252B"/>
          <w:sz w:val="21"/>
        </w:rPr>
        <w:t>Record the manual action, actor, reason, result, and later review status.</w:t>
      </w:r>
    </w:p>
    <w:p>
      <w:pPr>
        <w:pStyle w:val="Heading1"/>
        <w:keepNext/>
      </w:pPr>
      <w:r>
        <w:rPr>
          <w:rFonts w:ascii="Aptos" w:hAnsi="Aptos"/>
          <w:b/>
          <w:i w:val="0"/>
          <w:color w:val="1C766C"/>
          <w:sz w:val="34"/>
        </w:rPr>
        <w:t>7. User Experience and Human Oversight</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20344A"/>
            <w:vAlign w:val="center"/>
            <w:tcMar>
              <w:top w:w="90" w:type="dxa"/>
              <w:left w:w="120" w:type="dxa"/>
              <w:bottom w:w="90" w:type="dxa"/>
              <w:right w:w="120" w:type="dxa"/>
            </w:tcMar>
          </w:tcPr>
          <w:p>
            <w:pPr>
              <w:spacing w:after="0"/>
              <w:jc w:val="center"/>
            </w:pPr>
            <w:r>
              <w:rPr>
                <w:rFonts w:ascii="Aptos" w:hAnsi="Aptos"/>
                <w:b/>
                <w:i w:val="0"/>
                <w:color w:val="FFFFFF"/>
                <w:sz w:val="18"/>
              </w:rPr>
              <w:t>Area</w:t>
            </w:r>
          </w:p>
        </w:tc>
        <w:tc>
          <w:tcPr>
            <w:tcW w:type="dxa" w:w="6860"/>
            <w:shd w:fill="20344A"/>
            <w:vAlign w:val="center"/>
            <w:tcMar>
              <w:top w:w="90" w:type="dxa"/>
              <w:left w:w="120" w:type="dxa"/>
              <w:bottom w:w="90" w:type="dxa"/>
              <w:right w:w="120" w:type="dxa"/>
            </w:tcMar>
          </w:tcPr>
          <w:p>
            <w:pPr>
              <w:spacing w:after="0"/>
              <w:jc w:val="left"/>
            </w:pPr>
            <w:r>
              <w:rPr>
                <w:rFonts w:ascii="Aptos" w:hAnsi="Aptos"/>
                <w:b/>
                <w:i w:val="0"/>
                <w:color w:val="FFFFFF"/>
                <w:sz w:val="18"/>
              </w:rPr>
              <w:t>What the user needs to see</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Request form</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Required inputs, clear privacy cues, date/time validation, model-review state</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Recommendation list</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Provider, date, start/end, procedure, phase/resource summary, explanation, freshness</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Confirmation</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A clear statement that confirmation creates a booking; conflict handling without data loss</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Schedule views</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Day/week/year navigation, filters, closures, capacity, active and historical status</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Reschedule dialog</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Current booking, proposed replacement, reason, acknowledgement, expiry, and final result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Today board</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Arrival state, check-in/seating/completion actions, wait indicators, role-appropriate PHI</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Waitlist</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Consent, preferences, offer status, contact history, and standard booking handoff</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Administration</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Users, roles, hours, shifts, leave, procedures, qualifications, rooms, equipment, policy versions</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Audit review</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Searchable security events with minimum necessary details and protected export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8"/>
              </w:rPr>
              <w:t>Failure and downtime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8"/>
              </w:rPr>
              <w:t>Clear read-only/degraded state, local support guidance, conflict-safe retry, and no false success message</w:t>
            </w:r>
          </w:p>
        </w:tc>
      </w:tr>
    </w:tbl>
    <w:p>
      <w:pPr>
        <w:spacing w:after="60"/>
      </w:pPr>
    </w:p>
    <w:p>
      <w:pPr>
        <w:pStyle w:val="Heading2"/>
        <w:keepNext/>
      </w:pPr>
      <w:r>
        <w:rPr>
          <w:rFonts w:ascii="Aptos" w:hAnsi="Aptos"/>
          <w:b/>
          <w:i w:val="0"/>
          <w:color w:val="1C766C"/>
          <w:sz w:val="26"/>
        </w:rPr>
        <w:t>7.1 Suggested Roles</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8"/>
              </w:rPr>
              <w:t>Role</w:t>
            </w:r>
          </w:p>
        </w:tc>
        <w:tc>
          <w:tcPr>
            <w:tcW w:type="dxa" w:w="7160"/>
            <w:shd w:fill="20344A"/>
            <w:vAlign w:val="center"/>
            <w:tcMar>
              <w:top w:w="90" w:type="dxa"/>
              <w:left w:w="120" w:type="dxa"/>
              <w:bottom w:w="90" w:type="dxa"/>
              <w:right w:w="120" w:type="dxa"/>
            </w:tcMar>
          </w:tcPr>
          <w:p>
            <w:pPr>
              <w:spacing w:after="0"/>
              <w:jc w:val="center"/>
            </w:pPr>
            <w:r>
              <w:rPr>
                <w:rFonts w:ascii="Aptos" w:hAnsi="Aptos"/>
                <w:b/>
                <w:i w:val="0"/>
                <w:color w:val="FFFFFF"/>
                <w:sz w:val="18"/>
              </w:rPr>
              <w:t>Typical authority</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Administrator</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Manage users, policy, operational configuration, audit review, and approved calibration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Scheduler</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Create requests, review recommendations, confirm bookings, manage waitlists, and initiate authorized rescheduling</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Clinical user</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Review scheduling context, qualifications, clinical-operational rules, and model/calibration outputs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Front-desk user</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Manage arrivals, basic appointment status, contact outcomes, and limited scheduling tasks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Auditor or privacy reviewer</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Read-only access to approved audit and control evidence</w:t>
            </w:r>
          </w:p>
        </w:tc>
      </w:tr>
    </w:tbl>
    <w:p>
      <w:pPr>
        <w:spacing w:after="60"/>
      </w:pPr>
    </w:p>
    <w:p>
      <w:pPr>
        <w:spacing w:before="60" w:after="160" w:line="283" w:lineRule="auto"/>
        <w:ind w:left="173" w:right="173"/>
        <w:shd w:fill="EAF5F2"/>
        <w:pBdr>
          <w:left w:val="single" w:sz="18" w:space="6" w:color="1C766C"/>
        </w:pBdr>
      </w:pPr>
      <w:r>
        <w:rPr>
          <w:rFonts w:ascii="Aptos" w:hAnsi="Aptos"/>
          <w:b/>
          <w:i w:val="0"/>
          <w:color w:val="1C766C"/>
          <w:sz w:val="21"/>
        </w:rPr>
        <w:t xml:space="preserve">Least privilege: </w:t>
      </w:r>
      <w:r>
        <w:rPr>
          <w:rFonts w:ascii="Aptos" w:hAnsi="Aptos"/>
          <w:b w:val="0"/>
          <w:i w:val="0"/>
          <w:color w:val="1E252B"/>
          <w:sz w:val="21"/>
        </w:rPr>
        <w:t>Role names are illustrative. The deployment must map permissions to actual job functions, segregate high-risk administrative actions, and review access periodically.</w:t>
      </w:r>
    </w:p>
    <w:p>
      <w:pPr>
        <w:pStyle w:val="Heading2"/>
        <w:keepNext/>
      </w:pPr>
      <w:r>
        <w:rPr>
          <w:rFonts w:ascii="Aptos" w:hAnsi="Aptos"/>
          <w:b/>
          <w:i w:val="0"/>
          <w:color w:val="1C766C"/>
          <w:sz w:val="26"/>
        </w:rPr>
        <w:t>7.2 Accessibility and Safe Interaction</w:t>
      </w:r>
    </w:p>
    <w:p>
      <w:pPr>
        <w:pStyle w:val="ListBullet"/>
        <w:spacing w:after="80" w:line="276" w:lineRule="auto"/>
        <w:ind w:left="547" w:hanging="274"/>
      </w:pPr>
      <w:r>
        <w:rPr>
          <w:rFonts w:ascii="Aptos" w:hAnsi="Aptos"/>
          <w:b w:val="0"/>
          <w:i w:val="0"/>
          <w:color w:val="1E252B"/>
          <w:sz w:val="21"/>
        </w:rPr>
        <w:t>Support keyboard navigation, visible focus, semantic labels, high-contrast status indicators, and text alternatives; do not encode state by color alone.</w:t>
      </w:r>
    </w:p>
    <w:p>
      <w:pPr>
        <w:pStyle w:val="ListBullet"/>
        <w:spacing w:after="80" w:line="276" w:lineRule="auto"/>
        <w:ind w:left="547" w:hanging="274"/>
      </w:pPr>
      <w:r>
        <w:rPr>
          <w:rFonts w:ascii="Aptos" w:hAnsi="Aptos"/>
          <w:b w:val="0"/>
          <w:i w:val="0"/>
          <w:color w:val="1E252B"/>
          <w:sz w:val="21"/>
        </w:rPr>
        <w:t>Use plain-language confirmations for booking, cancellation, and rescheduling, with a review step before destructive or protected changes.</w:t>
      </w:r>
    </w:p>
    <w:p>
      <w:pPr>
        <w:pStyle w:val="ListBullet"/>
        <w:spacing w:after="80" w:line="276" w:lineRule="auto"/>
        <w:ind w:left="547" w:hanging="274"/>
      </w:pPr>
      <w:r>
        <w:rPr>
          <w:rFonts w:ascii="Aptos" w:hAnsi="Aptos"/>
          <w:b w:val="0"/>
          <w:i w:val="0"/>
          <w:color w:val="1E252B"/>
          <w:sz w:val="21"/>
        </w:rPr>
        <w:t>Preserve entered request data after a recoverable conflict or validation error so staff can correct rather than retype sensitive text.</w:t>
      </w:r>
    </w:p>
    <w:p>
      <w:pPr>
        <w:pStyle w:val="ListBullet"/>
        <w:spacing w:after="80" w:line="276" w:lineRule="auto"/>
        <w:ind w:left="547" w:hanging="274"/>
      </w:pPr>
      <w:r>
        <w:rPr>
          <w:rFonts w:ascii="Aptos" w:hAnsi="Aptos"/>
          <w:b w:val="0"/>
          <w:i w:val="0"/>
          <w:color w:val="1E252B"/>
          <w:sz w:val="21"/>
        </w:rPr>
        <w:t>Limit shoulder-surfing exposure through concise lists, masked contact details where appropriate, and explicit reveal actions governed by role.</w:t>
      </w:r>
    </w:p>
    <w:p>
      <w:pPr>
        <w:pStyle w:val="ListBullet"/>
        <w:spacing w:after="80" w:line="276" w:lineRule="auto"/>
        <w:ind w:left="547" w:hanging="274"/>
      </w:pPr>
      <w:r>
        <w:rPr>
          <w:rFonts w:ascii="Aptos" w:hAnsi="Aptos"/>
          <w:b w:val="0"/>
          <w:i w:val="0"/>
          <w:color w:val="1E252B"/>
          <w:sz w:val="21"/>
        </w:rPr>
        <w:t>Give urgent or safety-related states priority in screen-reader order and visual hierarchy without presenting model output as clinical advice.</w:t>
      </w:r>
    </w:p>
    <w:p>
      <w:pPr>
        <w:pStyle w:val="Heading2"/>
        <w:keepNext/>
      </w:pPr>
      <w:r>
        <w:rPr>
          <w:rFonts w:ascii="Aptos" w:hAnsi="Aptos"/>
          <w:b/>
          <w:i w:val="0"/>
          <w:color w:val="1C766C"/>
          <w:sz w:val="26"/>
        </w:rPr>
        <w:t>7.3 Export, Print, and Integration Boundaries</w:t>
      </w:r>
    </w:p>
    <w:p>
      <w:pPr>
        <w:spacing w:after="120" w:line="283" w:lineRule="auto"/>
      </w:pPr>
      <w:r>
        <w:rPr>
          <w:rFonts w:ascii="Aptos" w:hAnsi="Aptos"/>
          <w:b w:val="0"/>
          <w:i w:val="0"/>
          <w:color w:val="1E252B"/>
          <w:sz w:val="21"/>
        </w:rPr>
        <w:t>Export, printing, and local-system integration are separate disclosures of sensitive information. Each requires authorization, minimum-necessary fields, destination control, audit evidence, failure reconciliation, and a retention/disposal rule. A generic memory bank does not assume a particular practice-management or health-record interface.</w:t>
      </w:r>
    </w:p>
    <w:p>
      <w:pPr>
        <w:pStyle w:val="Heading1"/>
        <w:keepNext/>
      </w:pPr>
      <w:r>
        <w:rPr>
          <w:rFonts w:ascii="Aptos" w:hAnsi="Aptos"/>
          <w:b/>
          <w:i w:val="0"/>
          <w:color w:val="1C766C"/>
          <w:sz w:val="34"/>
        </w:rPr>
        <w:t>8. Privacy, Security, and Offline Operation</w:t>
      </w:r>
    </w:p>
    <w:p>
      <w:pPr>
        <w:pStyle w:val="Heading2"/>
        <w:keepNext/>
      </w:pPr>
      <w:r>
        <w:rPr>
          <w:rFonts w:ascii="Aptos" w:hAnsi="Aptos"/>
          <w:b/>
          <w:i w:val="0"/>
          <w:color w:val="1C766C"/>
          <w:sz w:val="26"/>
        </w:rPr>
        <w:t>8.1 Technical Safeguards</w:t>
      </w:r>
    </w:p>
    <w:p>
      <w:pPr>
        <w:pStyle w:val="ListBullet"/>
        <w:spacing w:after="80" w:line="276" w:lineRule="auto"/>
        <w:ind w:left="547" w:hanging="274"/>
      </w:pPr>
      <w:r>
        <w:rPr>
          <w:rFonts w:ascii="Aptos" w:hAnsi="Aptos"/>
          <w:b w:val="0"/>
          <w:i w:val="0"/>
          <w:color w:val="1E252B"/>
          <w:sz w:val="21"/>
        </w:rPr>
        <w:t>Unique user identity, strong authentication, secure session lifecycle, and controlled account recovery.</w:t>
      </w:r>
    </w:p>
    <w:p>
      <w:pPr>
        <w:pStyle w:val="ListBullet"/>
        <w:spacing w:after="80" w:line="276" w:lineRule="auto"/>
        <w:ind w:left="547" w:hanging="274"/>
      </w:pPr>
      <w:r>
        <w:rPr>
          <w:rFonts w:ascii="Aptos" w:hAnsi="Aptos"/>
          <w:b w:val="0"/>
          <w:i w:val="0"/>
          <w:color w:val="1E252B"/>
          <w:sz w:val="21"/>
        </w:rPr>
        <w:t>Role-based authorization enforced on the server for every protected action.</w:t>
      </w:r>
    </w:p>
    <w:p>
      <w:pPr>
        <w:pStyle w:val="ListBullet"/>
        <w:spacing w:after="80" w:line="276" w:lineRule="auto"/>
        <w:ind w:left="547" w:hanging="274"/>
      </w:pPr>
      <w:r>
        <w:rPr>
          <w:rFonts w:ascii="Aptos" w:hAnsi="Aptos"/>
          <w:b w:val="0"/>
          <w:i w:val="0"/>
          <w:color w:val="1E252B"/>
          <w:sz w:val="21"/>
        </w:rPr>
        <w:t>Encryption in transit on the internal network and encryption at rest for databases, backups, and endpoints.</w:t>
      </w:r>
    </w:p>
    <w:p>
      <w:pPr>
        <w:pStyle w:val="ListBullet"/>
        <w:spacing w:after="80" w:line="276" w:lineRule="auto"/>
        <w:ind w:left="547" w:hanging="274"/>
      </w:pPr>
      <w:r>
        <w:rPr>
          <w:rFonts w:ascii="Aptos" w:hAnsi="Aptos"/>
          <w:b w:val="0"/>
          <w:i w:val="0"/>
          <w:color w:val="1E252B"/>
          <w:sz w:val="21"/>
        </w:rPr>
        <w:t>Append-only or tamper-evident audit evidence for access and changes involving sensitive data.</w:t>
      </w:r>
    </w:p>
    <w:p>
      <w:pPr>
        <w:pStyle w:val="ListBullet"/>
        <w:spacing w:after="80" w:line="276" w:lineRule="auto"/>
        <w:ind w:left="547" w:hanging="274"/>
      </w:pPr>
      <w:r>
        <w:rPr>
          <w:rFonts w:ascii="Aptos" w:hAnsi="Aptos"/>
          <w:b w:val="0"/>
          <w:i w:val="0"/>
          <w:color w:val="1E252B"/>
          <w:sz w:val="21"/>
        </w:rPr>
        <w:t>Automatic session termination, workstation controls, screen privacy, and minimum necessary display.</w:t>
      </w:r>
    </w:p>
    <w:p>
      <w:pPr>
        <w:pStyle w:val="ListBullet"/>
        <w:spacing w:after="80" w:line="276" w:lineRule="auto"/>
        <w:ind w:left="547" w:hanging="274"/>
      </w:pPr>
      <w:r>
        <w:rPr>
          <w:rFonts w:ascii="Aptos" w:hAnsi="Aptos"/>
          <w:b w:val="0"/>
          <w:i w:val="0"/>
          <w:color w:val="1E252B"/>
          <w:sz w:val="21"/>
        </w:rPr>
        <w:t>Network egress denial for application components and local inference runtime during operation.</w:t>
      </w:r>
    </w:p>
    <w:p>
      <w:pPr>
        <w:pStyle w:val="ListBullet"/>
        <w:spacing w:after="80" w:line="276" w:lineRule="auto"/>
        <w:ind w:left="547" w:hanging="274"/>
      </w:pPr>
      <w:r>
        <w:rPr>
          <w:rFonts w:ascii="Aptos" w:hAnsi="Aptos"/>
          <w:b w:val="0"/>
          <w:i w:val="0"/>
          <w:color w:val="1E252B"/>
          <w:sz w:val="21"/>
        </w:rPr>
        <w:t>Approved, preloaded, hash-verified software and model artifacts; no runtime downloads.</w:t>
      </w:r>
    </w:p>
    <w:p>
      <w:pPr>
        <w:pStyle w:val="ListBullet"/>
        <w:spacing w:after="80" w:line="276" w:lineRule="auto"/>
        <w:ind w:left="547" w:hanging="274"/>
      </w:pPr>
      <w:r>
        <w:rPr>
          <w:rFonts w:ascii="Aptos" w:hAnsi="Aptos"/>
          <w:b w:val="0"/>
          <w:i w:val="0"/>
          <w:color w:val="1E252B"/>
          <w:sz w:val="21"/>
        </w:rPr>
        <w:t>Encrypted backup, restore testing, downtime procedures, and monitored storage capacity.</w:t>
      </w:r>
    </w:p>
    <w:p>
      <w:pPr>
        <w:pStyle w:val="ListBullet"/>
        <w:spacing w:after="80" w:line="276" w:lineRule="auto"/>
        <w:ind w:left="547" w:hanging="274"/>
      </w:pPr>
      <w:r>
        <w:rPr>
          <w:rFonts w:ascii="Aptos" w:hAnsi="Aptos"/>
          <w:b w:val="0"/>
          <w:i w:val="0"/>
          <w:color w:val="1E252B"/>
          <w:sz w:val="21"/>
        </w:rPr>
        <w:t>Secrets supplied through an approved local secret-management process, never embedded in documents or source.</w:t>
      </w:r>
    </w:p>
    <w:p>
      <w:pPr>
        <w:pStyle w:val="Heading2"/>
        <w:keepNext/>
      </w:pPr>
      <w:r>
        <w:rPr>
          <w:rFonts w:ascii="Aptos" w:hAnsi="Aptos"/>
          <w:b/>
          <w:i w:val="0"/>
          <w:color w:val="1C766C"/>
          <w:sz w:val="26"/>
        </w:rPr>
        <w:t>8.2 Administrative and Physical Safeguards</w:t>
      </w:r>
    </w:p>
    <w:p>
      <w:pPr>
        <w:pStyle w:val="ListBullet"/>
        <w:spacing w:after="80" w:line="276" w:lineRule="auto"/>
        <w:ind w:left="547" w:hanging="274"/>
      </w:pPr>
      <w:r>
        <w:rPr>
          <w:rFonts w:ascii="Aptos" w:hAnsi="Aptos"/>
          <w:b w:val="0"/>
          <w:i w:val="0"/>
          <w:color w:val="1E252B"/>
          <w:sz w:val="21"/>
        </w:rPr>
        <w:t>Documented risk analysis and risk-management plan.</w:t>
      </w:r>
    </w:p>
    <w:p>
      <w:pPr>
        <w:pStyle w:val="ListBullet"/>
        <w:spacing w:after="80" w:line="276" w:lineRule="auto"/>
        <w:ind w:left="547" w:hanging="274"/>
      </w:pPr>
      <w:r>
        <w:rPr>
          <w:rFonts w:ascii="Aptos" w:hAnsi="Aptos"/>
          <w:b w:val="0"/>
          <w:i w:val="0"/>
          <w:color w:val="1E252B"/>
          <w:sz w:val="21"/>
        </w:rPr>
        <w:t>Workforce authorization, training, sanctions, and termination procedures.</w:t>
      </w:r>
    </w:p>
    <w:p>
      <w:pPr>
        <w:pStyle w:val="ListBullet"/>
        <w:spacing w:after="80" w:line="276" w:lineRule="auto"/>
        <w:ind w:left="547" w:hanging="274"/>
      </w:pPr>
      <w:r>
        <w:rPr>
          <w:rFonts w:ascii="Aptos" w:hAnsi="Aptos"/>
          <w:b w:val="0"/>
          <w:i w:val="0"/>
          <w:color w:val="1E252B"/>
          <w:sz w:val="21"/>
        </w:rPr>
        <w:t>Incident response, breach assessment, business continuity, and disaster recovery exercises.</w:t>
      </w:r>
    </w:p>
    <w:p>
      <w:pPr>
        <w:pStyle w:val="ListBullet"/>
        <w:spacing w:after="80" w:line="276" w:lineRule="auto"/>
        <w:ind w:left="547" w:hanging="274"/>
      </w:pPr>
      <w:r>
        <w:rPr>
          <w:rFonts w:ascii="Aptos" w:hAnsi="Aptos"/>
          <w:b w:val="0"/>
          <w:i w:val="0"/>
          <w:color w:val="1E252B"/>
          <w:sz w:val="21"/>
        </w:rPr>
        <w:t>Facility access controls, device inventory, secure media handling, and disposal.</w:t>
      </w:r>
    </w:p>
    <w:p>
      <w:pPr>
        <w:pStyle w:val="ListBullet"/>
        <w:spacing w:after="80" w:line="276" w:lineRule="auto"/>
        <w:ind w:left="547" w:hanging="274"/>
      </w:pPr>
      <w:r>
        <w:rPr>
          <w:rFonts w:ascii="Aptos" w:hAnsi="Aptos"/>
          <w:b w:val="0"/>
          <w:i w:val="0"/>
          <w:color w:val="1E252B"/>
          <w:sz w:val="21"/>
        </w:rPr>
        <w:t>Vendor, license, and software/model supply-chain review.</w:t>
      </w:r>
    </w:p>
    <w:p>
      <w:pPr>
        <w:pStyle w:val="ListBullet"/>
        <w:spacing w:after="80" w:line="276" w:lineRule="auto"/>
        <w:ind w:left="547" w:hanging="274"/>
      </w:pPr>
      <w:r>
        <w:rPr>
          <w:rFonts w:ascii="Aptos" w:hAnsi="Aptos"/>
          <w:b w:val="0"/>
          <w:i w:val="0"/>
          <w:color w:val="1E252B"/>
          <w:sz w:val="21"/>
        </w:rPr>
        <w:t>Retention schedule, legal hold, approved export, and defensible deletion procedures.</w:t>
      </w:r>
    </w:p>
    <w:p>
      <w:pPr>
        <w:pStyle w:val="ListBullet"/>
        <w:spacing w:after="80" w:line="276" w:lineRule="auto"/>
        <w:ind w:left="547" w:hanging="274"/>
      </w:pPr>
      <w:r>
        <w:rPr>
          <w:rFonts w:ascii="Aptos" w:hAnsi="Aptos"/>
          <w:b w:val="0"/>
          <w:i w:val="0"/>
          <w:color w:val="1E252B"/>
          <w:sz w:val="21"/>
        </w:rPr>
        <w:t>Periodic access review, audit review, vulnerability handling, and policy sign-off.</w:t>
      </w:r>
    </w:p>
    <w:p>
      <w:pPr>
        <w:spacing w:before="60" w:after="160" w:line="283" w:lineRule="auto"/>
        <w:ind w:left="173" w:right="173"/>
        <w:shd w:fill="FFF6E3"/>
        <w:pBdr>
          <w:left w:val="single" w:sz="18" w:space="6" w:color="9A6500"/>
        </w:pBdr>
      </w:pPr>
      <w:r>
        <w:rPr>
          <w:rFonts w:ascii="Aptos" w:hAnsi="Aptos"/>
          <w:b/>
          <w:i w:val="0"/>
          <w:color w:val="9A6500"/>
          <w:sz w:val="21"/>
        </w:rPr>
        <w:t xml:space="preserve">Compliance boundary: </w:t>
      </w:r>
      <w:r>
        <w:rPr>
          <w:rFonts w:ascii="Aptos" w:hAnsi="Aptos"/>
          <w:b w:val="0"/>
          <w:i w:val="0"/>
          <w:color w:val="1E252B"/>
          <w:sz w:val="21"/>
        </w:rPr>
        <w:t>A software design can support HIPAA-aligned safeguards, but no document or application feature alone makes an organization compliant. Compliance depends on documented policies, risk analysis, workforce practices, contracts, physical controls, configuration, and ongoing operations.</w:t>
      </w:r>
    </w:p>
    <w:p>
      <w:pPr>
        <w:pStyle w:val="Heading2"/>
        <w:keepNext/>
      </w:pPr>
      <w:r>
        <w:rPr>
          <w:rFonts w:ascii="Aptos" w:hAnsi="Aptos"/>
          <w:b/>
          <w:i w:val="0"/>
          <w:color w:val="1C766C"/>
          <w:sz w:val="26"/>
        </w:rPr>
        <w:t>8.3 Offline Deployment Pattern</w:t>
      </w:r>
    </w:p>
    <w:p>
      <w:pPr>
        <w:pStyle w:val="ListNumber"/>
        <w:spacing w:after="80" w:line="276" w:lineRule="auto"/>
        <w:ind w:left="547" w:hanging="274"/>
      </w:pPr>
      <w:r>
        <w:rPr>
          <w:rFonts w:ascii="Aptos" w:hAnsi="Aptos"/>
          <w:b w:val="0"/>
          <w:i w:val="0"/>
          <w:color w:val="1E252B"/>
          <w:sz w:val="21"/>
        </w:rPr>
        <w:t>Approve and acquire software, container images, operating-system packages, and the model artifact through a controlled staging process.</w:t>
      </w:r>
    </w:p>
    <w:p>
      <w:pPr>
        <w:pStyle w:val="ListNumber"/>
        <w:spacing w:after="80" w:line="276" w:lineRule="auto"/>
        <w:ind w:left="547" w:hanging="274"/>
      </w:pPr>
      <w:r>
        <w:rPr>
          <w:rFonts w:ascii="Aptos" w:hAnsi="Aptos"/>
          <w:b w:val="0"/>
          <w:i w:val="0"/>
          <w:color w:val="1E252B"/>
          <w:sz w:val="21"/>
        </w:rPr>
        <w:t>Verify hashes, provenance, licenses, vulnerability disposition, and configuration before transfer into the restricted environment.</w:t>
      </w:r>
    </w:p>
    <w:p>
      <w:pPr>
        <w:pStyle w:val="ListNumber"/>
        <w:spacing w:after="80" w:line="276" w:lineRule="auto"/>
        <w:ind w:left="547" w:hanging="274"/>
      </w:pPr>
      <w:r>
        <w:rPr>
          <w:rFonts w:ascii="Aptos" w:hAnsi="Aptos"/>
          <w:b w:val="0"/>
          <w:i w:val="0"/>
          <w:color w:val="1E252B"/>
          <w:sz w:val="21"/>
        </w:rPr>
        <w:t>Deploy the user interface, application service, database, and model runtime on approved on-premises infrastructure.</w:t>
      </w:r>
    </w:p>
    <w:p>
      <w:pPr>
        <w:pStyle w:val="ListNumber"/>
        <w:spacing w:after="80" w:line="276" w:lineRule="auto"/>
        <w:ind w:left="547" w:hanging="274"/>
      </w:pPr>
      <w:r>
        <w:rPr>
          <w:rFonts w:ascii="Aptos" w:hAnsi="Aptos"/>
          <w:b w:val="0"/>
          <w:i w:val="0"/>
          <w:color w:val="1E252B"/>
          <w:sz w:val="21"/>
        </w:rPr>
        <w:t>Deny external egress and verify the application remains functional without internet connectivity.</w:t>
      </w:r>
    </w:p>
    <w:p>
      <w:pPr>
        <w:pStyle w:val="ListNumber"/>
        <w:spacing w:after="80" w:line="276" w:lineRule="auto"/>
        <w:ind w:left="547" w:hanging="274"/>
      </w:pPr>
      <w:r>
        <w:rPr>
          <w:rFonts w:ascii="Aptos" w:hAnsi="Aptos"/>
          <w:b w:val="0"/>
          <w:i w:val="0"/>
          <w:color w:val="1E252B"/>
          <w:sz w:val="21"/>
        </w:rPr>
        <w:t>Use an internal time source, identity process, certificate process, monitoring destination, and backup target.</w:t>
      </w:r>
    </w:p>
    <w:p>
      <w:pPr>
        <w:pStyle w:val="ListNumber"/>
        <w:spacing w:after="80" w:line="276" w:lineRule="auto"/>
        <w:ind w:left="547" w:hanging="274"/>
      </w:pPr>
      <w:r>
        <w:rPr>
          <w:rFonts w:ascii="Aptos" w:hAnsi="Aptos"/>
          <w:b w:val="0"/>
          <w:i w:val="0"/>
          <w:color w:val="1E252B"/>
          <w:sz w:val="21"/>
        </w:rPr>
        <w:t>Patch through a documented offline update process with testing and rollback.</w:t>
      </w:r>
    </w:p>
    <w:p>
      <w:pPr>
        <w:pStyle w:val="Heading2"/>
        <w:keepNext/>
      </w:pPr>
      <w:r>
        <w:rPr>
          <w:rFonts w:ascii="Aptos" w:hAnsi="Aptos"/>
          <w:b/>
          <w:i w:val="0"/>
          <w:color w:val="1C766C"/>
          <w:sz w:val="26"/>
        </w:rPr>
        <w:t>8.4 Local Observability Without PHI</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7"/>
              </w:rPr>
              <w:t>Signal</w:t>
            </w:r>
          </w:p>
        </w:tc>
        <w:tc>
          <w:tcPr>
            <w:tcW w:type="dxa" w:w="7160"/>
            <w:shd w:fill="20344A"/>
            <w:vAlign w:val="center"/>
            <w:tcMar>
              <w:top w:w="90" w:type="dxa"/>
              <w:left w:w="120" w:type="dxa"/>
              <w:bottom w:w="90" w:type="dxa"/>
              <w:right w:w="120" w:type="dxa"/>
            </w:tcMar>
          </w:tcPr>
          <w:p>
            <w:pPr>
              <w:spacing w:after="0"/>
              <w:jc w:val="left"/>
            </w:pPr>
            <w:r>
              <w:rPr>
                <w:rFonts w:ascii="Aptos" w:hAnsi="Aptos"/>
                <w:b/>
                <w:i w:val="0"/>
                <w:color w:val="FFFFFF"/>
                <w:sz w:val="17"/>
              </w:rPr>
              <w:t>Safe local measurement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Application health</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Availability, error class, latency, queue depth, and dependency health without request bodies or patient fields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Optimizer health</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Runtime, candidates evaluated, feasible count, timeout count, and blocking-category totals using opaque correlation IDs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Model health</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Availability, latency, output-validity rate, fallback rate, and approved-tag frequency without raw prompts or responses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Database health</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Connections, locks, transaction conflicts, replication/backup status, storage, and integrity checks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Security health</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Authentication anomalies, authorization denials, audit-write failures, certificate expiry, clock drift, and egress-denial alerts</w:t>
            </w:r>
          </w:p>
        </w:tc>
      </w:tr>
    </w:tbl>
    <w:p>
      <w:pPr>
        <w:spacing w:after="60"/>
      </w:pPr>
    </w:p>
    <w:p>
      <w:pPr>
        <w:pStyle w:val="ListBullet"/>
        <w:spacing w:after="80" w:line="276" w:lineRule="auto"/>
        <w:ind w:left="547" w:hanging="274"/>
      </w:pPr>
      <w:r>
        <w:rPr>
          <w:rFonts w:ascii="Aptos" w:hAnsi="Aptos"/>
          <w:b w:val="0"/>
          <w:i w:val="0"/>
          <w:color w:val="1E252B"/>
          <w:sz w:val="21"/>
        </w:rPr>
        <w:t>Keep operational logs separate from the append-only audit record; they serve different purposes and retention rules.</w:t>
      </w:r>
    </w:p>
    <w:p>
      <w:pPr>
        <w:pStyle w:val="ListBullet"/>
        <w:spacing w:after="80" w:line="276" w:lineRule="auto"/>
        <w:ind w:left="547" w:hanging="274"/>
      </w:pPr>
      <w:r>
        <w:rPr>
          <w:rFonts w:ascii="Aptos" w:hAnsi="Aptos"/>
          <w:b w:val="0"/>
          <w:i w:val="0"/>
          <w:color w:val="1E252B"/>
          <w:sz w:val="21"/>
        </w:rPr>
        <w:t>Use local alerting only. Alert content must identify the failing control without embedding patient data.</w:t>
      </w:r>
    </w:p>
    <w:p>
      <w:pPr>
        <w:pStyle w:val="Heading2"/>
        <w:keepNext/>
      </w:pPr>
      <w:r>
        <w:rPr>
          <w:rFonts w:ascii="Aptos" w:hAnsi="Aptos"/>
          <w:b/>
          <w:i w:val="0"/>
          <w:color w:val="1C766C"/>
          <w:sz w:val="26"/>
        </w:rPr>
        <w:t>8.5 Threat and Abuse Cases</w:t>
      </w:r>
    </w:p>
    <w:p>
      <w:pPr>
        <w:pStyle w:val="ListBullet"/>
        <w:spacing w:after="80" w:line="276" w:lineRule="auto"/>
        <w:ind w:left="547" w:hanging="274"/>
      </w:pPr>
      <w:r>
        <w:rPr>
          <w:rFonts w:ascii="Aptos" w:hAnsi="Aptos"/>
          <w:b w:val="0"/>
          <w:i w:val="0"/>
          <w:color w:val="1E252B"/>
          <w:sz w:val="21"/>
        </w:rPr>
        <w:t>Prompt injection or hostile free text: treat all intake text as data, enforce a fixed task/schema, allowlist outputs, and never expose tools or booking authority to the model.</w:t>
      </w:r>
    </w:p>
    <w:p>
      <w:pPr>
        <w:pStyle w:val="ListBullet"/>
        <w:spacing w:after="80" w:line="276" w:lineRule="auto"/>
        <w:ind w:left="547" w:hanging="274"/>
      </w:pPr>
      <w:r>
        <w:rPr>
          <w:rFonts w:ascii="Aptos" w:hAnsi="Aptos"/>
          <w:b w:val="0"/>
          <w:i w:val="0"/>
          <w:color w:val="1E252B"/>
          <w:sz w:val="21"/>
        </w:rPr>
        <w:t>Privilege escalation: enforce permission server-side, deny by default, and test role boundaries for every protected action.</w:t>
      </w:r>
    </w:p>
    <w:p>
      <w:pPr>
        <w:pStyle w:val="ListBullet"/>
        <w:spacing w:after="80" w:line="276" w:lineRule="auto"/>
        <w:ind w:left="547" w:hanging="274"/>
      </w:pPr>
      <w:r>
        <w:rPr>
          <w:rFonts w:ascii="Aptos" w:hAnsi="Aptos"/>
          <w:b w:val="0"/>
          <w:i w:val="0"/>
          <w:color w:val="1E252B"/>
          <w:sz w:val="21"/>
        </w:rPr>
        <w:t>Enumeration or mass access: rate-limit and monitor local requests, scope patient lookup, and audit views/exports according to policy.</w:t>
      </w:r>
    </w:p>
    <w:p>
      <w:pPr>
        <w:pStyle w:val="ListBullet"/>
        <w:spacing w:after="80" w:line="276" w:lineRule="auto"/>
        <w:ind w:left="547" w:hanging="274"/>
      </w:pPr>
      <w:r>
        <w:rPr>
          <w:rFonts w:ascii="Aptos" w:hAnsi="Aptos"/>
          <w:b w:val="0"/>
          <w:i w:val="0"/>
          <w:color w:val="1E252B"/>
          <w:sz w:val="21"/>
        </w:rPr>
        <w:t>Recommendation tampering: sign or bind the server-side snapshot to its identifier, user context, expiry, and policy/version state; ignore client-edited plan details.</w:t>
      </w:r>
    </w:p>
    <w:p>
      <w:pPr>
        <w:pStyle w:val="ListBullet"/>
        <w:spacing w:after="80" w:line="276" w:lineRule="auto"/>
        <w:ind w:left="547" w:hanging="274"/>
      </w:pPr>
      <w:r>
        <w:rPr>
          <w:rFonts w:ascii="Aptos" w:hAnsi="Aptos"/>
          <w:b w:val="0"/>
          <w:i w:val="0"/>
          <w:color w:val="1E252B"/>
          <w:sz w:val="21"/>
        </w:rPr>
        <w:t>Audit suppression: fail protected writes when required audit evidence cannot be recorded, and alert locally.</w:t>
      </w:r>
    </w:p>
    <w:p>
      <w:pPr>
        <w:pStyle w:val="ListBullet"/>
        <w:spacing w:after="80" w:line="276" w:lineRule="auto"/>
        <w:ind w:left="547" w:hanging="274"/>
      </w:pPr>
      <w:r>
        <w:rPr>
          <w:rFonts w:ascii="Aptos" w:hAnsi="Aptos"/>
          <w:b w:val="0"/>
          <w:i w:val="0"/>
          <w:color w:val="1E252B"/>
          <w:sz w:val="21"/>
        </w:rPr>
        <w:t>Offline supply-chain compromise: verify signed bundles, hashes, provenance, licenses, and approved vulnerability disposition before import.</w:t>
      </w:r>
    </w:p>
    <w:p>
      <w:pPr>
        <w:pStyle w:val="ListBullet"/>
        <w:spacing w:after="80" w:line="276" w:lineRule="auto"/>
        <w:ind w:left="547" w:hanging="274"/>
      </w:pPr>
      <w:r>
        <w:rPr>
          <w:rFonts w:ascii="Aptos" w:hAnsi="Aptos"/>
          <w:b w:val="0"/>
          <w:i w:val="0"/>
          <w:color w:val="1E252B"/>
          <w:sz w:val="21"/>
        </w:rPr>
        <w:t>Resource exhaustion: bound input length, model time, optimizer search, exports, and concurrent requests; degrade safely without bypassing constraints.</w:t>
      </w:r>
    </w:p>
    <w:p>
      <w:pPr>
        <w:pStyle w:val="Heading1"/>
        <w:keepNext/>
      </w:pPr>
      <w:r>
        <w:rPr>
          <w:rFonts w:ascii="Aptos" w:hAnsi="Aptos"/>
          <w:b/>
          <w:i w:val="0"/>
          <w:color w:val="1C766C"/>
          <w:sz w:val="34"/>
        </w:rPr>
        <w:t>9. Failure Handling</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20344A"/>
            <w:vAlign w:val="center"/>
            <w:tcMar>
              <w:top w:w="90" w:type="dxa"/>
              <w:left w:w="120" w:type="dxa"/>
              <w:bottom w:w="90" w:type="dxa"/>
              <w:right w:w="120" w:type="dxa"/>
            </w:tcMar>
          </w:tcPr>
          <w:p>
            <w:pPr>
              <w:spacing w:after="0"/>
              <w:jc w:val="center"/>
            </w:pPr>
            <w:r>
              <w:rPr>
                <w:rFonts w:ascii="Aptos" w:hAnsi="Aptos"/>
                <w:b/>
                <w:i w:val="0"/>
                <w:color w:val="FFFFFF"/>
                <w:sz w:val="17"/>
              </w:rPr>
              <w:t>Failure</w:t>
            </w:r>
          </w:p>
        </w:tc>
        <w:tc>
          <w:tcPr>
            <w:tcW w:type="dxa" w:w="6860"/>
            <w:shd w:fill="20344A"/>
            <w:vAlign w:val="center"/>
            <w:tcMar>
              <w:top w:w="90" w:type="dxa"/>
              <w:left w:w="120" w:type="dxa"/>
              <w:bottom w:w="90" w:type="dxa"/>
              <w:right w:w="120" w:type="dxa"/>
            </w:tcMar>
          </w:tcPr>
          <w:p>
            <w:pPr>
              <w:spacing w:after="0"/>
              <w:jc w:val="center"/>
            </w:pPr>
            <w:r>
              <w:rPr>
                <w:rFonts w:ascii="Aptos" w:hAnsi="Aptos"/>
                <w:b/>
                <w:i w:val="0"/>
                <w:color w:val="FFFFFF"/>
                <w:sz w:val="17"/>
              </w:rPr>
              <w:t>Safe behavior</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Local model unavailable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Use deterministic rules, display a review state, and continue without allowing the model to block core scheduling.</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Malformed model output</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Reject it, retain only allowlisted rule results, and record a non-PHI diagnostic event.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Hostile or oversized intake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Bound input, treat it as untrusted data, reject unsafe structure, and never grant the model additional authority.</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Optimizer unavailable or timed out</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Do not auto-book; allow approved calendar review or manual workflow with all server/database safeguards intact.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No feasible option</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Explain which constraint categories blocked the search and allow an authorized policy or request adjustment.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Recommendation expired</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Do not book it; generate a fresh snapshot.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Concurrent booking conflict</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Roll back the transaction and return refreshed options.</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Unauthorized reschedule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Reject without changing the appointment and record a security-relevant audit event.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Database unavailable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Fail closed for writes; provide approved downtime workflow and reconcile later under controlled procedures.</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Storage or audit failure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Do not silently complete a protected mutation without required evidence.</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Clock inconsistency</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Alert and prevent time-sensitive permissions or expiry decisions from relying on untrusted time.</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External network path detected</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Raise a local security alert and block the path; core operation must not depend on it.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Backup or restore unhealthy</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Alert locally, follow the approved continuity policy, and do not report recoverability until restoration is verified.</w:t>
            </w:r>
          </w:p>
        </w:tc>
      </w:tr>
    </w:tbl>
    <w:p>
      <w:pPr>
        <w:spacing w:after="60"/>
      </w:pPr>
    </w:p>
    <w:p>
      <w:pPr>
        <w:pStyle w:val="Heading1"/>
        <w:keepNext/>
      </w:pPr>
      <w:r>
        <w:rPr>
          <w:rFonts w:ascii="Aptos" w:hAnsi="Aptos"/>
          <w:b/>
          <w:i w:val="0"/>
          <w:color w:val="1C766C"/>
          <w:sz w:val="34"/>
        </w:rPr>
        <w:t>10. Validation and Testing</w:t>
      </w:r>
    </w:p>
    <w:p>
      <w:pPr>
        <w:pStyle w:val="Heading2"/>
        <w:keepNext/>
      </w:pPr>
      <w:r>
        <w:rPr>
          <w:rFonts w:ascii="Aptos" w:hAnsi="Aptos"/>
          <w:b/>
          <w:i w:val="0"/>
          <w:color w:val="1C766C"/>
          <w:sz w:val="26"/>
        </w:rPr>
        <w:t>10.1 Optimizer Invariants</w:t>
      </w:r>
    </w:p>
    <w:p>
      <w:pPr>
        <w:pStyle w:val="ListBullet"/>
        <w:spacing w:after="80" w:line="276" w:lineRule="auto"/>
        <w:ind w:left="547" w:hanging="274"/>
      </w:pPr>
      <w:r>
        <w:rPr>
          <w:rFonts w:ascii="Aptos" w:hAnsi="Aptos"/>
          <w:b w:val="0"/>
          <w:i w:val="0"/>
          <w:color w:val="1E252B"/>
          <w:sz w:val="21"/>
        </w:rPr>
        <w:t>No overlapping active reservations for a provider, room, or equipment unit.</w:t>
      </w:r>
    </w:p>
    <w:p>
      <w:pPr>
        <w:pStyle w:val="ListBullet"/>
        <w:spacing w:after="80" w:line="276" w:lineRule="auto"/>
        <w:ind w:left="547" w:hanging="274"/>
      </w:pPr>
      <w:r>
        <w:rPr>
          <w:rFonts w:ascii="Aptos" w:hAnsi="Aptos"/>
          <w:b w:val="0"/>
          <w:i w:val="0"/>
          <w:color w:val="1E252B"/>
          <w:sz w:val="21"/>
        </w:rPr>
        <w:t>No patient has overlapping active visits.</w:t>
      </w:r>
    </w:p>
    <w:p>
      <w:pPr>
        <w:pStyle w:val="ListBullet"/>
        <w:spacing w:after="80" w:line="276" w:lineRule="auto"/>
        <w:ind w:left="547" w:hanging="274"/>
      </w:pPr>
      <w:r>
        <w:rPr>
          <w:rFonts w:ascii="Aptos" w:hAnsi="Aptos"/>
          <w:b w:val="0"/>
          <w:i w:val="0"/>
          <w:color w:val="1E252B"/>
          <w:sz w:val="21"/>
        </w:rPr>
        <w:t>Every confirmed appointment has a valid ordered phase plan.</w:t>
      </w:r>
    </w:p>
    <w:p>
      <w:pPr>
        <w:pStyle w:val="ListBullet"/>
        <w:spacing w:after="80" w:line="276" w:lineRule="auto"/>
        <w:ind w:left="547" w:hanging="274"/>
      </w:pPr>
      <w:r>
        <w:rPr>
          <w:rFonts w:ascii="Aptos" w:hAnsi="Aptos"/>
          <w:b w:val="0"/>
          <w:i w:val="0"/>
          <w:color w:val="1E252B"/>
          <w:sz w:val="21"/>
        </w:rPr>
        <w:t>Every assigned provider has the required role, availability, and effective qualification.</w:t>
      </w:r>
    </w:p>
    <w:p>
      <w:pPr>
        <w:pStyle w:val="ListBullet"/>
        <w:spacing w:after="80" w:line="276" w:lineRule="auto"/>
        <w:ind w:left="547" w:hanging="274"/>
      </w:pPr>
      <w:r>
        <w:rPr>
          <w:rFonts w:ascii="Aptos" w:hAnsi="Aptos"/>
          <w:b w:val="0"/>
          <w:i w:val="0"/>
          <w:color w:val="1E252B"/>
          <w:sz w:val="21"/>
        </w:rPr>
        <w:t>Every appointment fits operating hours, exceptions, and the patient-approved window.</w:t>
      </w:r>
    </w:p>
    <w:p>
      <w:pPr>
        <w:pStyle w:val="ListBullet"/>
        <w:spacing w:after="80" w:line="276" w:lineRule="auto"/>
        <w:ind w:left="547" w:hanging="274"/>
      </w:pPr>
      <w:r>
        <w:rPr>
          <w:rFonts w:ascii="Aptos" w:hAnsi="Aptos"/>
          <w:b w:val="0"/>
          <w:i w:val="0"/>
          <w:color w:val="1E252B"/>
          <w:sz w:val="21"/>
        </w:rPr>
        <w:t>Turnover, buffer, protected-capacity, supervision, and linked-visit rules are enforced consistently in search and confirmation.</w:t>
      </w:r>
    </w:p>
    <w:p>
      <w:pPr>
        <w:pStyle w:val="ListBullet"/>
        <w:spacing w:after="80" w:line="276" w:lineRule="auto"/>
        <w:ind w:left="547" w:hanging="274"/>
      </w:pPr>
      <w:r>
        <w:rPr>
          <w:rFonts w:ascii="Aptos" w:hAnsi="Aptos"/>
          <w:b w:val="0"/>
          <w:i w:val="0"/>
          <w:color w:val="1E252B"/>
          <w:sz w:val="21"/>
        </w:rPr>
        <w:t>Locked appointments remain unchanged during ordinary optimization.</w:t>
      </w:r>
    </w:p>
    <w:p>
      <w:pPr>
        <w:pStyle w:val="ListBullet"/>
        <w:spacing w:after="80" w:line="276" w:lineRule="auto"/>
        <w:ind w:left="547" w:hanging="274"/>
      </w:pPr>
      <w:r>
        <w:rPr>
          <w:rFonts w:ascii="Aptos" w:hAnsi="Aptos"/>
          <w:b w:val="0"/>
          <w:i w:val="0"/>
          <w:color w:val="1E252B"/>
          <w:sz w:val="21"/>
        </w:rPr>
        <w:t>Identical inputs and snapshot produce deterministic candidate ordering.</w:t>
      </w:r>
    </w:p>
    <w:p>
      <w:pPr>
        <w:pStyle w:val="ListBullet"/>
        <w:spacing w:after="80" w:line="276" w:lineRule="auto"/>
        <w:ind w:left="547" w:hanging="274"/>
      </w:pPr>
      <w:r>
        <w:rPr>
          <w:rFonts w:ascii="Aptos" w:hAnsi="Aptos"/>
          <w:b w:val="0"/>
          <w:i w:val="0"/>
          <w:color w:val="1E252B"/>
          <w:sz w:val="21"/>
        </w:rPr>
        <w:t>Confirmation rejects stale recommendations and rolls back partial writes.</w:t>
      </w:r>
    </w:p>
    <w:p>
      <w:pPr>
        <w:pStyle w:val="Heading2"/>
        <w:keepNext/>
      </w:pPr>
      <w:r>
        <w:rPr>
          <w:rFonts w:ascii="Aptos" w:hAnsi="Aptos"/>
          <w:b/>
          <w:i w:val="0"/>
          <w:color w:val="1C766C"/>
          <w:sz w:val="26"/>
        </w:rPr>
        <w:t>10.2 End-to-End Scenarios</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20344A"/>
            <w:vAlign w:val="center"/>
            <w:tcMar>
              <w:top w:w="90" w:type="dxa"/>
              <w:left w:w="120" w:type="dxa"/>
              <w:bottom w:w="90" w:type="dxa"/>
              <w:right w:w="120" w:type="dxa"/>
            </w:tcMar>
          </w:tcPr>
          <w:p>
            <w:pPr>
              <w:spacing w:after="0"/>
              <w:jc w:val="center"/>
            </w:pPr>
            <w:r>
              <w:rPr>
                <w:rFonts w:ascii="Aptos" w:hAnsi="Aptos"/>
                <w:b/>
                <w:i w:val="0"/>
                <w:color w:val="FFFFFF"/>
                <w:sz w:val="17"/>
              </w:rPr>
              <w:t>Scenario</w:t>
            </w:r>
          </w:p>
        </w:tc>
        <w:tc>
          <w:tcPr>
            <w:tcW w:type="dxa" w:w="6860"/>
            <w:shd w:fill="20344A"/>
            <w:vAlign w:val="center"/>
            <w:tcMar>
              <w:top w:w="90" w:type="dxa"/>
              <w:left w:w="120" w:type="dxa"/>
              <w:bottom w:w="90" w:type="dxa"/>
              <w:right w:w="120" w:type="dxa"/>
            </w:tcMar>
          </w:tcPr>
          <w:p>
            <w:pPr>
              <w:spacing w:after="0"/>
              <w:jc w:val="center"/>
            </w:pPr>
            <w:r>
              <w:rPr>
                <w:rFonts w:ascii="Aptos" w:hAnsi="Aptos"/>
                <w:b/>
                <w:i w:val="0"/>
                <w:color w:val="FFFFFF"/>
                <w:sz w:val="17"/>
              </w:rPr>
              <w:t>Expected evidence</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New patient booking</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Request, normalized context, ranked options, explicit confirmation, exact resource reservations, audit event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Simultaneous confirmation</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Only one conflicting booking succeeds; the other receives a safe conflict</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Authorized reschedule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Original remains until permissioned commit; exact old/new values and reason are preserved</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Unauthorized movement</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Request is rejected and appointment remains byte-for-byte equivalent in protected fields</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Cancellation recovery</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Historical appointment retained, active resources released, compatible waitlist search available</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Walk-in</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Same feasibility rules as standard scheduling plus arrival-state tracking</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Offline operation</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Core workflow works with external network access denied</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Model outage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Rules-only workflow completes safely</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Backup restore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Restored environment preserves appointments, state history, and audit integrity</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Daylight-saving boundary</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Nonexistent or repeated local times are rejected or disambiguated consistently; UTC storage remains ordered</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Retry after uncertain response</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Idempotency prevents duplicate appointments, status transitions, permissions, and audit events</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Dentist across rooms</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Provider phases never overlap and simultaneous supervised visits never exceed approved capacity</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Turnover buffer</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The next visit cannot consume the affected room or resource until the full buffer ends</w:t>
            </w:r>
          </w:p>
        </w:tc>
      </w:tr>
      <w:tr>
        <w:tc>
          <w:tcPr>
            <w:tcW w:type="dxa" w:w="2500"/>
            <w:vAlign w:val="center"/>
            <w:tcMar>
              <w:top w:w="90" w:type="dxa"/>
              <w:left w:w="120" w:type="dxa"/>
              <w:bottom w:w="90" w:type="dxa"/>
              <w:right w:w="120" w:type="dxa"/>
            </w:tcMar>
          </w:tcPr>
          <w:p>
            <w:pPr>
              <w:spacing w:after="0" w:line="259" w:lineRule="auto"/>
            </w:pPr>
            <w:r>
              <w:rPr>
                <w:rFonts w:ascii="Aptos" w:hAnsi="Aptos"/>
                <w:b w:val="0"/>
                <w:i w:val="0"/>
                <w:color w:val="1E252B"/>
                <w:sz w:val="16"/>
              </w:rPr>
              <w:t>Prompt injection</w:t>
            </w:r>
          </w:p>
        </w:tc>
        <w:tc>
          <w:tcPr>
            <w:tcW w:type="dxa" w:w="6860"/>
            <w:vAlign w:val="center"/>
            <w:tcMar>
              <w:top w:w="90" w:type="dxa"/>
              <w:left w:w="120" w:type="dxa"/>
              <w:bottom w:w="90" w:type="dxa"/>
              <w:right w:w="120" w:type="dxa"/>
            </w:tcMar>
          </w:tcPr>
          <w:p>
            <w:pPr>
              <w:spacing w:after="0" w:line="259" w:lineRule="auto"/>
            </w:pPr>
            <w:r>
              <w:rPr>
                <w:rFonts w:ascii="Aptos" w:hAnsi="Aptos"/>
                <w:b w:val="0"/>
                <w:i w:val="0"/>
                <w:color w:val="1E252B"/>
                <w:sz w:val="16"/>
              </w:rPr>
              <w:t>Untrusted intake cannot escape the fixed schema, add tags, call tools, expose secrets, or alter a booking</w:t>
            </w:r>
          </w:p>
        </w:tc>
      </w:tr>
    </w:tbl>
    <w:p>
      <w:pPr>
        <w:spacing w:after="60"/>
      </w:pPr>
    </w:p>
    <w:p>
      <w:pPr>
        <w:pStyle w:val="Heading2"/>
        <w:keepNext/>
      </w:pPr>
      <w:r>
        <w:rPr>
          <w:rFonts w:ascii="Aptos" w:hAnsi="Aptos"/>
          <w:b/>
          <w:i w:val="0"/>
          <w:color w:val="1C766C"/>
          <w:sz w:val="26"/>
        </w:rPr>
        <w:t>10.3 Test Data Rules</w:t>
      </w:r>
    </w:p>
    <w:p>
      <w:pPr>
        <w:pStyle w:val="ListBullet"/>
        <w:spacing w:after="80" w:line="276" w:lineRule="auto"/>
        <w:ind w:left="547" w:hanging="274"/>
      </w:pPr>
      <w:r>
        <w:rPr>
          <w:rFonts w:ascii="Aptos" w:hAnsi="Aptos"/>
          <w:b w:val="0"/>
          <w:i w:val="0"/>
          <w:color w:val="1E252B"/>
          <w:sz w:val="21"/>
        </w:rPr>
        <w:t>Use synthetic or properly de-identified records in development, demonstrations, and automated tests.</w:t>
      </w:r>
    </w:p>
    <w:p>
      <w:pPr>
        <w:pStyle w:val="ListBullet"/>
        <w:spacing w:after="80" w:line="276" w:lineRule="auto"/>
        <w:ind w:left="547" w:hanging="274"/>
      </w:pPr>
      <w:r>
        <w:rPr>
          <w:rFonts w:ascii="Aptos" w:hAnsi="Aptos"/>
          <w:b w:val="0"/>
          <w:i w:val="0"/>
          <w:color w:val="1E252B"/>
          <w:sz w:val="21"/>
        </w:rPr>
        <w:t>Do not copy production patient names, contact details, free-text notes, or database snapshots into test environments.</w:t>
      </w:r>
    </w:p>
    <w:p>
      <w:pPr>
        <w:pStyle w:val="ListBullet"/>
        <w:spacing w:after="80" w:line="276" w:lineRule="auto"/>
        <w:ind w:left="547" w:hanging="274"/>
      </w:pPr>
      <w:r>
        <w:rPr>
          <w:rFonts w:ascii="Aptos" w:hAnsi="Aptos"/>
          <w:b w:val="0"/>
          <w:i w:val="0"/>
          <w:color w:val="1E252B"/>
          <w:sz w:val="21"/>
        </w:rPr>
        <w:t>Make synthetic identifiers visibly fictional and keep generated scenarios independent of real schedules.</w:t>
      </w:r>
    </w:p>
    <w:p>
      <w:pPr>
        <w:pStyle w:val="ListBullet"/>
        <w:spacing w:after="80" w:line="276" w:lineRule="auto"/>
        <w:ind w:left="547" w:hanging="274"/>
      </w:pPr>
      <w:r>
        <w:rPr>
          <w:rFonts w:ascii="Aptos" w:hAnsi="Aptos"/>
          <w:b w:val="0"/>
          <w:i w:val="0"/>
          <w:color w:val="1E252B"/>
          <w:sz w:val="21"/>
        </w:rPr>
        <w:t>Treat screenshots, logs, exports, and model traces as potential sensitive-data containers.</w:t>
      </w:r>
    </w:p>
    <w:p>
      <w:pPr>
        <w:pStyle w:val="Heading2"/>
        <w:keepNext/>
      </w:pPr>
      <w:r>
        <w:rPr>
          <w:rFonts w:ascii="Aptos" w:hAnsi="Aptos"/>
          <w:b/>
          <w:i w:val="0"/>
          <w:color w:val="1C766C"/>
          <w:sz w:val="26"/>
        </w:rPr>
        <w:t>10.4 Property, Performance, and Soak Testing</w:t>
      </w:r>
    </w:p>
    <w:p>
      <w:pPr>
        <w:pStyle w:val="ListBullet"/>
        <w:spacing w:after="80" w:line="276" w:lineRule="auto"/>
        <w:ind w:left="547" w:hanging="274"/>
      </w:pPr>
      <w:r>
        <w:rPr>
          <w:rFonts w:ascii="Aptos" w:hAnsi="Aptos"/>
          <w:b w:val="0"/>
          <w:i w:val="0"/>
          <w:color w:val="1E252B"/>
          <w:sz w:val="21"/>
        </w:rPr>
        <w:t>Generate randomized calendars and assert invariants after every recommendation and confirmation, including dense schedules and resource scarcity.</w:t>
      </w:r>
    </w:p>
    <w:p>
      <w:pPr>
        <w:pStyle w:val="ListBullet"/>
        <w:spacing w:after="80" w:line="276" w:lineRule="auto"/>
        <w:ind w:left="547" w:hanging="274"/>
      </w:pPr>
      <w:r>
        <w:rPr>
          <w:rFonts w:ascii="Aptos" w:hAnsi="Aptos"/>
          <w:b w:val="0"/>
          <w:i w:val="0"/>
          <w:color w:val="1E252B"/>
          <w:sz w:val="21"/>
        </w:rPr>
        <w:t>Test the complete rolling horizon, month/year boundaries, leap years, daylight-saving transitions, closures, leave, cover, and effective policy changes.</w:t>
      </w:r>
    </w:p>
    <w:p>
      <w:pPr>
        <w:pStyle w:val="ListBullet"/>
        <w:spacing w:after="80" w:line="276" w:lineRule="auto"/>
        <w:ind w:left="547" w:hanging="274"/>
      </w:pPr>
      <w:r>
        <w:rPr>
          <w:rFonts w:ascii="Aptos" w:hAnsi="Aptos"/>
          <w:b w:val="0"/>
          <w:i w:val="0"/>
          <w:color w:val="1E252B"/>
          <w:sz w:val="21"/>
        </w:rPr>
        <w:t>Run concurrency tests with simultaneous confirmation, cancellation, rescheduling, status updates, and retries.</w:t>
      </w:r>
    </w:p>
    <w:p>
      <w:pPr>
        <w:pStyle w:val="ListBullet"/>
        <w:spacing w:after="80" w:line="276" w:lineRule="auto"/>
        <w:ind w:left="547" w:hanging="274"/>
      </w:pPr>
      <w:r>
        <w:rPr>
          <w:rFonts w:ascii="Aptos" w:hAnsi="Aptos"/>
          <w:b w:val="0"/>
          <w:i w:val="0"/>
          <w:color w:val="1E252B"/>
          <w:sz w:val="21"/>
        </w:rPr>
        <w:t>Define local latency and throughput budgets for interactive search, annual navigation, waitlist matching, and administrative reports; measure with representative synthetic scale.</w:t>
      </w:r>
    </w:p>
    <w:p>
      <w:pPr>
        <w:pStyle w:val="ListBullet"/>
        <w:spacing w:after="80" w:line="276" w:lineRule="auto"/>
        <w:ind w:left="547" w:hanging="274"/>
      </w:pPr>
      <w:r>
        <w:rPr>
          <w:rFonts w:ascii="Aptos" w:hAnsi="Aptos"/>
          <w:b w:val="0"/>
          <w:i w:val="0"/>
          <w:color w:val="1E252B"/>
          <w:sz w:val="21"/>
        </w:rPr>
        <w:t>Run extended offline soak tests while monitoring memory, storage, audit growth, model availability, clock health, and database connection/lock behavior.</w:t>
      </w:r>
    </w:p>
    <w:p>
      <w:pPr>
        <w:pStyle w:val="ListBullet"/>
        <w:spacing w:after="80" w:line="276" w:lineRule="auto"/>
        <w:ind w:left="547" w:hanging="274"/>
      </w:pPr>
      <w:r>
        <w:rPr>
          <w:rFonts w:ascii="Aptos" w:hAnsi="Aptos"/>
          <w:b w:val="0"/>
          <w:i w:val="0"/>
          <w:color w:val="1E252B"/>
          <w:sz w:val="21"/>
        </w:rPr>
        <w:t>Prove recovery objectives through documented restore exercises rather than backup-file existence alone.</w:t>
      </w:r>
    </w:p>
    <w:p>
      <w:pPr>
        <w:pStyle w:val="Heading2"/>
        <w:keepNext/>
      </w:pPr>
      <w:r>
        <w:rPr>
          <w:rFonts w:ascii="Aptos" w:hAnsi="Aptos"/>
          <w:b/>
          <w:i w:val="0"/>
          <w:color w:val="1C766C"/>
          <w:sz w:val="26"/>
        </w:rPr>
        <w:t>10.5 AI Memory Evaluation</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7"/>
              </w:rPr>
              <w:t>Evaluation</w:t>
            </w:r>
          </w:p>
        </w:tc>
        <w:tc>
          <w:tcPr>
            <w:tcW w:type="dxa" w:w="7160"/>
            <w:shd w:fill="20344A"/>
            <w:vAlign w:val="center"/>
            <w:tcMar>
              <w:top w:w="90" w:type="dxa"/>
              <w:left w:w="120" w:type="dxa"/>
              <w:bottom w:w="90" w:type="dxa"/>
              <w:right w:w="120" w:type="dxa"/>
            </w:tcMar>
          </w:tcPr>
          <w:p>
            <w:pPr>
              <w:spacing w:after="0"/>
              <w:jc w:val="center"/>
            </w:pPr>
            <w:r>
              <w:rPr>
                <w:rFonts w:ascii="Aptos" w:hAnsi="Aptos"/>
                <w:b/>
                <w:i w:val="0"/>
                <w:color w:val="FFFFFF"/>
                <w:sz w:val="17"/>
              </w:rPr>
              <w:t>Pass condition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Authority question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AI correctly separates language model, deterministic rules, optimizer, database, and human authority</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Missing policy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AI identifies the unresolved field and asks for approval instead of inventing a value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Reschedule request</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AI states that a confirmed visit remains fixed until explicit exact-change authorization commits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No-slot explanation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AI reports safe blocking categories and next actions without exposing unrelated patient information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Conflicting memory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AI prefers approved effective policy, flags the contradiction, and does not silently merge incompatible rules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Sensitive prompt</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AI follows minimum necessary access and refuses to place patient data, secrets, or internal infrastructure details into the memory bank</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Citation/provenance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AI can identify the memory statement or approved local policy source supporting a material answer</w:t>
            </w:r>
          </w:p>
        </w:tc>
      </w:tr>
    </w:tbl>
    <w:p>
      <w:pPr>
        <w:spacing w:after="60"/>
      </w:pPr>
    </w:p>
    <w:p>
      <w:pPr>
        <w:pStyle w:val="Heading2"/>
        <w:keepNext/>
      </w:pPr>
      <w:r>
        <w:rPr>
          <w:rFonts w:ascii="Aptos" w:hAnsi="Aptos"/>
          <w:b/>
          <w:i w:val="0"/>
          <w:color w:val="1C766C"/>
          <w:sz w:val="26"/>
        </w:rPr>
        <w:t>10.6 Product Success Metrics</w:t>
      </w:r>
    </w:p>
    <w:p>
      <w:pPr>
        <w:spacing w:after="120" w:line="283" w:lineRule="auto"/>
      </w:pPr>
      <w:r>
        <w:rPr>
          <w:rFonts w:ascii="Aptos" w:hAnsi="Aptos"/>
          <w:b w:val="0"/>
          <w:i w:val="0"/>
          <w:color w:val="1E252B"/>
          <w:sz w:val="21"/>
        </w:rPr>
        <w:t>Success measurement is optional evidence for improvement, not a startup input. The deploying organization should approve definitions, exclusions, data sources, baseline periods, target hardware, owners, and review cadence. Safety and privacy guardrails always take precedence over speed or utilization.</w:t>
      </w:r>
    </w:p>
    <w:tbl>
      <w:tblPr>
        <w:tblStyle w:val="TableGrid"/>
        <w:tblW w:type="dxa" w:w="9360"/>
        <w:jc w:val="left"/>
        <w:tblLayout w:type="fixed"/>
        <w:tblLook w:firstColumn="1" w:firstRow="1" w:lastColumn="0" w:lastRow="0" w:noHBand="0" w:noVBand="1" w:val="04A0"/>
        <w:tblInd w:type="dxa" w:w="120"/>
      </w:tblPr>
      <w:tblGrid>
        <w:gridCol w:w="1500"/>
        <w:gridCol w:w="3000"/>
        <w:gridCol w:w="2250"/>
        <w:gridCol w:w="2610"/>
      </w:tblGrid>
      <w:tr>
        <w:trPr>
          <w:tblHeader w:val="true"/>
        </w:trPr>
        <w:tc>
          <w:tcPr>
            <w:tcW w:type="dxa" w:w="1500"/>
            <w:shd w:fill="20344A"/>
            <w:vAlign w:val="center"/>
            <w:tcMar>
              <w:top w:w="90" w:type="dxa"/>
              <w:left w:w="120" w:type="dxa"/>
              <w:bottom w:w="90" w:type="dxa"/>
              <w:right w:w="120" w:type="dxa"/>
            </w:tcMar>
          </w:tcPr>
          <w:p>
            <w:pPr>
              <w:spacing w:after="0"/>
              <w:jc w:val="center"/>
            </w:pPr>
            <w:r>
              <w:rPr>
                <w:rFonts w:ascii="Aptos" w:hAnsi="Aptos"/>
                <w:b/>
                <w:i w:val="0"/>
                <w:color w:val="FFFFFF"/>
                <w:sz w:val="17"/>
              </w:rPr>
              <w:t>Category</w:t>
            </w:r>
          </w:p>
        </w:tc>
        <w:tc>
          <w:tcPr>
            <w:tcW w:type="dxa" w:w="3000"/>
            <w:shd w:fill="20344A"/>
            <w:vAlign w:val="center"/>
            <w:tcMar>
              <w:top w:w="90" w:type="dxa"/>
              <w:left w:w="120" w:type="dxa"/>
              <w:bottom w:w="90" w:type="dxa"/>
              <w:right w:w="120" w:type="dxa"/>
            </w:tcMar>
          </w:tcPr>
          <w:p>
            <w:pPr>
              <w:spacing w:after="0"/>
              <w:jc w:val="center"/>
            </w:pPr>
            <w:r>
              <w:rPr>
                <w:rFonts w:ascii="Aptos" w:hAnsi="Aptos"/>
                <w:b/>
                <w:i w:val="0"/>
                <w:color w:val="FFFFFF"/>
                <w:sz w:val="17"/>
              </w:rPr>
              <w:t>Metric</w:t>
            </w:r>
          </w:p>
        </w:tc>
        <w:tc>
          <w:tcPr>
            <w:tcW w:type="dxa" w:w="2250"/>
            <w:shd w:fill="20344A"/>
            <w:vAlign w:val="center"/>
            <w:tcMar>
              <w:top w:w="90" w:type="dxa"/>
              <w:left w:w="120" w:type="dxa"/>
              <w:bottom w:w="90" w:type="dxa"/>
              <w:right w:w="120" w:type="dxa"/>
            </w:tcMar>
          </w:tcPr>
          <w:p>
            <w:pPr>
              <w:spacing w:after="0"/>
              <w:jc w:val="left"/>
            </w:pPr>
            <w:r>
              <w:rPr>
                <w:rFonts w:ascii="Aptos" w:hAnsi="Aptos"/>
                <w:b/>
                <w:i w:val="0"/>
                <w:color w:val="FFFFFF"/>
                <w:sz w:val="17"/>
              </w:rPr>
              <w:t>Recommended initial threshold</w:t>
            </w:r>
          </w:p>
        </w:tc>
        <w:tc>
          <w:tcPr>
            <w:tcW w:type="dxa" w:w="2610"/>
            <w:shd w:fill="20344A"/>
            <w:vAlign w:val="center"/>
            <w:tcMar>
              <w:top w:w="90" w:type="dxa"/>
              <w:left w:w="120" w:type="dxa"/>
              <w:bottom w:w="90" w:type="dxa"/>
              <w:right w:w="120" w:type="dxa"/>
            </w:tcMar>
          </w:tcPr>
          <w:p>
            <w:pPr>
              <w:spacing w:after="0"/>
              <w:jc w:val="center"/>
            </w:pPr>
            <w:r>
              <w:rPr>
                <w:rFonts w:ascii="Aptos" w:hAnsi="Aptos"/>
                <w:b/>
                <w:i w:val="0"/>
                <w:color w:val="FFFFFF"/>
                <w:sz w:val="17"/>
              </w:rPr>
              <w:t>Interpretation</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Safety</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Unauthorized confirmed-appointment moves; resource overlaps; hard-constraint bypasses</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Zero</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Any event is an incident or release blocker</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Privacy</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External patient-data transfer; identifiers/raw condition text in logs or calibration</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Zero</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Verify continuously and at every release</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Audit</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Protected changes with complete append-only evidence</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100%</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Missing evidence invalidates the protected mutation</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Product utility</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Top-five recommendation acceptance</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&gt;=70% after four representative weeks</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Confirmed displayed candidates divided by searches with candidates</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Efficiency</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Median request-to-confirm handling time</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&lt;=2 minutes or &gt;=25% below approved baseline</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Exclude time awaiting patient response</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Reliability</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Availability during approved operating hours</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&gt;=99.5% monthly</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Exclude approved maintenance and monitor locally</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Performance</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Recommendation and confirmation latency</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Local p95 &lt;=5 seconds and &lt;=2 seconds</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Measure on representative approved hardware and load</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Model quality</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Schema-valid allowlisted output; urgent sentinel recall</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&gt;=99%; 100%</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Fallback on invalid output; humans retain clinical triage</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Calibration governance</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Below-threshold or unapproved automatic application</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Zero</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Every proposal is staged, explained, and reviewed</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Calibration quality</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Prospective median absolute duration error</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&gt;=10% better than prior policy before broad rollout</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Use a later comparable holdout, not proposal samples</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Adoption</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user training and eligible workflow usage</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100% trained before access; &gt;=90% workflow use</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Track shadow processes and qualitative feedback</w:t>
            </w:r>
          </w:p>
        </w:tc>
      </w:tr>
      <w:tr>
        <w:tc>
          <w:tcPr>
            <w:tcW w:type="dxa" w:w="1500"/>
            <w:vAlign w:val="center"/>
            <w:tcMar>
              <w:top w:w="90" w:type="dxa"/>
              <w:left w:w="120" w:type="dxa"/>
              <w:bottom w:w="90" w:type="dxa"/>
              <w:right w:w="120" w:type="dxa"/>
            </w:tcMar>
          </w:tcPr>
          <w:p>
            <w:pPr>
              <w:spacing w:after="0" w:line="259" w:lineRule="auto"/>
            </w:pPr>
            <w:r>
              <w:rPr>
                <w:rFonts w:ascii="Aptos" w:hAnsi="Aptos"/>
                <w:b w:val="0"/>
                <w:i w:val="0"/>
                <w:color w:val="1E252B"/>
                <w:sz w:val="16"/>
              </w:rPr>
              <w:t>Recovery</w:t>
            </w:r>
          </w:p>
        </w:tc>
        <w:tc>
          <w:tcPr>
            <w:tcW w:type="dxa" w:w="3000"/>
            <w:vAlign w:val="center"/>
            <w:tcMar>
              <w:top w:w="90" w:type="dxa"/>
              <w:left w:w="120" w:type="dxa"/>
              <w:bottom w:w="90" w:type="dxa"/>
              <w:right w:w="120" w:type="dxa"/>
            </w:tcMar>
          </w:tcPr>
          <w:p>
            <w:pPr>
              <w:spacing w:after="0" w:line="259" w:lineRule="auto"/>
            </w:pPr>
            <w:r>
              <w:rPr>
                <w:rFonts w:ascii="Aptos" w:hAnsi="Aptos"/>
                <w:b w:val="0"/>
                <w:i w:val="0"/>
                <w:color w:val="1E252B"/>
                <w:sz w:val="16"/>
              </w:rPr>
              <w:t>Scheduled backup and restoration exercises</w:t>
            </w:r>
          </w:p>
        </w:tc>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100% completion</w:t>
            </w:r>
          </w:p>
        </w:tc>
        <w:tc>
          <w:tcPr>
            <w:tcW w:type="dxa" w:w="2610"/>
            <w:vAlign w:val="center"/>
            <w:tcMar>
              <w:top w:w="90" w:type="dxa"/>
              <w:left w:w="120" w:type="dxa"/>
              <w:bottom w:w="90" w:type="dxa"/>
              <w:right w:w="120" w:type="dxa"/>
            </w:tcMar>
          </w:tcPr>
          <w:p>
            <w:pPr>
              <w:spacing w:after="0" w:line="259" w:lineRule="auto"/>
            </w:pPr>
            <w:r>
              <w:rPr>
                <w:rFonts w:ascii="Aptos" w:hAnsi="Aptos"/>
                <w:b w:val="0"/>
                <w:i w:val="0"/>
                <w:color w:val="1E252B"/>
                <w:sz w:val="16"/>
              </w:rPr>
              <w:t>An archive alone is not proof; reconcile restored state</w:t>
            </w:r>
          </w:p>
        </w:tc>
      </w:tr>
    </w:tbl>
    <w:p>
      <w:pPr>
        <w:spacing w:after="60"/>
      </w:pPr>
    </w:p>
    <w:p>
      <w:pPr>
        <w:pStyle w:val="ListBullet"/>
        <w:spacing w:after="80" w:line="276" w:lineRule="auto"/>
        <w:ind w:left="547" w:hanging="274"/>
      </w:pPr>
      <w:r>
        <w:rPr>
          <w:rFonts w:ascii="Aptos" w:hAnsi="Aptos"/>
          <w:b w:val="0"/>
          <w:i w:val="0"/>
          <w:color w:val="1E252B"/>
          <w:sz w:val="21"/>
        </w:rPr>
        <w:t>Also track feasible-search rate, waitlist recovery, booking lead time, patient wait, annual-view latency, model fallback causes, valid-observation coverage, complex-duration empirical coverage, usability, and on-time governance reviews.</w:t>
      </w:r>
    </w:p>
    <w:p>
      <w:pPr>
        <w:pStyle w:val="ListBullet"/>
        <w:spacing w:after="80" w:line="276" w:lineRule="auto"/>
        <w:ind w:left="547" w:hanging="274"/>
      </w:pPr>
      <w:r>
        <w:rPr>
          <w:rFonts w:ascii="Aptos" w:hAnsi="Aptos"/>
          <w:b w:val="0"/>
          <w:i w:val="0"/>
          <w:color w:val="1E252B"/>
          <w:sz w:val="21"/>
        </w:rPr>
        <w:t>Compare like populations and periods; document staffing, policy, volume, and capacity changes instead of attributing every outcome change to the product.</w:t>
      </w:r>
    </w:p>
    <w:p>
      <w:pPr>
        <w:pStyle w:val="Heading1"/>
        <w:keepNext/>
      </w:pPr>
      <w:r>
        <w:rPr>
          <w:rFonts w:ascii="Aptos" w:hAnsi="Aptos"/>
          <w:b/>
          <w:i w:val="0"/>
          <w:color w:val="1C766C"/>
          <w:sz w:val="34"/>
        </w:rPr>
        <w:t>11. Configuration Questions the AI Must Ask</w:t>
      </w:r>
    </w:p>
    <w:p>
      <w:pPr>
        <w:spacing w:after="120" w:line="283" w:lineRule="auto"/>
      </w:pPr>
      <w:r>
        <w:rPr>
          <w:rFonts w:ascii="Aptos" w:hAnsi="Aptos"/>
          <w:b w:val="0"/>
          <w:i w:val="0"/>
          <w:color w:val="1E252B"/>
          <w:sz w:val="21"/>
        </w:rPr>
        <w:t>When a deployment-specific answer is absent, the AI should ask for policy rather than fabricate it. The following categories must be resolved and approved before production use.</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7"/>
              </w:rPr>
              <w:t>Category</w:t>
            </w:r>
          </w:p>
        </w:tc>
        <w:tc>
          <w:tcPr>
            <w:tcW w:type="dxa" w:w="7160"/>
            <w:shd w:fill="20344A"/>
            <w:vAlign w:val="center"/>
            <w:tcMar>
              <w:top w:w="90" w:type="dxa"/>
              <w:left w:w="120" w:type="dxa"/>
              <w:bottom w:w="90" w:type="dxa"/>
              <w:right w:w="120" w:type="dxa"/>
            </w:tcMar>
          </w:tcPr>
          <w:p>
            <w:pPr>
              <w:spacing w:after="0"/>
              <w:jc w:val="center"/>
            </w:pPr>
            <w:r>
              <w:rPr>
                <w:rFonts w:ascii="Aptos" w:hAnsi="Aptos"/>
                <w:b/>
                <w:i w:val="0"/>
                <w:color w:val="FFFFFF"/>
                <w:sz w:val="17"/>
              </w:rPr>
              <w:t>Questions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Clinical-operational</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Which procedures exist? What are their standard and complex durations, ordered phases, provider handoffs, qualifications, equipment needs, and room-turnover buffers?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Capacity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What are facility hours, exceptions, rooms, capabilities, equipment units, shifts, leave, cover rules, protected blocks, and maximum supervised visits?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Prioritization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Which conditions affect urgency? Who approves tags and priority rules? What requires clinical review?</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Preferences</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How should continuity, provider preference, fairness, fragmentation, and access speed be balanced?</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Operational value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What role-based production-credit and target policies are approved, and how are they prevented from overriding access, safety, and fairness?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Rescheduling</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Which roles may preview and approve changes? What reason and acknowledgement are required?</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Waitlist</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What consent, outreach, expiration, and incentive rules apply?</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Security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What identity source, session policy, audit review, encryption, backup, patching, and incident procedures apply?</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Retention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What schedules govern patient, scheduling, audit, analytics, backup, and model-evaluation data?</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Integration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Which local systems exchange data, under what authority, using what minimum dataset and reconciliation process?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Acceptance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Who signs off on clinical safety, privacy, security, operations, model performance, and optimizer behavior?</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Service levels</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What search latency, availability, recovery, restoration, recommendation-expiry, hold-expiry, and audit-review targets are approved?</w:t>
            </w:r>
          </w:p>
        </w:tc>
      </w:tr>
    </w:tbl>
    <w:p>
      <w:pPr>
        <w:spacing w:after="60"/>
      </w:pPr>
    </w:p>
    <w:p>
      <w:pPr>
        <w:pStyle w:val="Heading1"/>
        <w:keepNext/>
      </w:pPr>
      <w:r>
        <w:rPr>
          <w:rFonts w:ascii="Aptos" w:hAnsi="Aptos"/>
          <w:b/>
          <w:i w:val="0"/>
          <w:color w:val="1C766C"/>
          <w:sz w:val="34"/>
        </w:rPr>
        <w:t>12. AI Retrieval Guidance</w:t>
      </w:r>
    </w:p>
    <w:p>
      <w:pPr>
        <w:pStyle w:val="Heading2"/>
        <w:keepNext/>
      </w:pPr>
      <w:r>
        <w:rPr>
          <w:rFonts w:ascii="Aptos" w:hAnsi="Aptos"/>
          <w:b/>
          <w:i w:val="0"/>
          <w:color w:val="1C766C"/>
          <w:sz w:val="26"/>
        </w:rPr>
        <w:t>12.1 Recommended Chunk Metadata</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8"/>
              </w:rPr>
              <w:t>Field</w:t>
            </w:r>
          </w:p>
        </w:tc>
        <w:tc>
          <w:tcPr>
            <w:tcW w:type="dxa" w:w="7160"/>
            <w:shd w:fill="20344A"/>
            <w:vAlign w:val="center"/>
            <w:tcMar>
              <w:top w:w="90" w:type="dxa"/>
              <w:left w:w="120" w:type="dxa"/>
              <w:bottom w:w="90" w:type="dxa"/>
              <w:right w:w="120" w:type="dxa"/>
            </w:tcMar>
          </w:tcPr>
          <w:p>
            <w:pPr>
              <w:spacing w:after="0"/>
              <w:jc w:val="center"/>
            </w:pPr>
            <w:r>
              <w:rPr>
                <w:rFonts w:ascii="Aptos" w:hAnsi="Aptos"/>
                <w:b/>
                <w:i w:val="0"/>
                <w:color w:val="FFFFFF"/>
                <w:sz w:val="18"/>
              </w:rPr>
              <w:t>Purpose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topic</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Stable subject such as model-role, optimizer-constraints, appointment-confirmation, or privacy</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rule_type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invariant, configurable-policy, workflow, data-definition, control, or test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authority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human, deterministic-rule, optimizer, database, or language-model</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sensitivity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public-generic, internal-policy-needed, or patient-data-prohibited</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effective_date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Date of the approved local policy when deployment-specific content is later added</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owner</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Role responsible for approving deployment-specific additions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8"/>
              </w:rPr>
              <w:t>source_status</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8"/>
              </w:rPr>
              <w:t>generic-reference, approved-policy, validated-test, or unresolved-question</w:t>
            </w:r>
          </w:p>
        </w:tc>
      </w:tr>
    </w:tbl>
    <w:p>
      <w:pPr>
        <w:spacing w:after="60"/>
      </w:pPr>
    </w:p>
    <w:p>
      <w:pPr>
        <w:pStyle w:val="Heading2"/>
        <w:keepNext/>
      </w:pPr>
      <w:r>
        <w:rPr>
          <w:rFonts w:ascii="Aptos" w:hAnsi="Aptos"/>
          <w:b/>
          <w:i w:val="0"/>
          <w:color w:val="1C766C"/>
          <w:sz w:val="26"/>
        </w:rPr>
        <w:t>12.2 Retrieval Rules</w:t>
      </w:r>
    </w:p>
    <w:p>
      <w:pPr>
        <w:pStyle w:val="ListBullet"/>
        <w:spacing w:after="80" w:line="276" w:lineRule="auto"/>
        <w:ind w:left="547" w:hanging="274"/>
      </w:pPr>
      <w:r>
        <w:rPr>
          <w:rFonts w:ascii="Aptos" w:hAnsi="Aptos"/>
          <w:b w:val="0"/>
          <w:i w:val="0"/>
          <w:color w:val="1E252B"/>
          <w:sz w:val="21"/>
        </w:rPr>
        <w:t>Prefer invariant rules over soft objectives when they conflict.</w:t>
      </w:r>
    </w:p>
    <w:p>
      <w:pPr>
        <w:pStyle w:val="ListBullet"/>
        <w:spacing w:after="80" w:line="276" w:lineRule="auto"/>
        <w:ind w:left="547" w:hanging="274"/>
      </w:pPr>
      <w:r>
        <w:rPr>
          <w:rFonts w:ascii="Aptos" w:hAnsi="Aptos"/>
          <w:b w:val="0"/>
          <w:i w:val="0"/>
          <w:color w:val="1E252B"/>
          <w:sz w:val="21"/>
        </w:rPr>
        <w:t>Prefer approved, effective local policy over generic examples.</w:t>
      </w:r>
    </w:p>
    <w:p>
      <w:pPr>
        <w:pStyle w:val="ListBullet"/>
        <w:spacing w:after="80" w:line="276" w:lineRule="auto"/>
        <w:ind w:left="547" w:hanging="274"/>
      </w:pPr>
      <w:r>
        <w:rPr>
          <w:rFonts w:ascii="Aptos" w:hAnsi="Aptos"/>
          <w:b w:val="0"/>
          <w:i w:val="0"/>
          <w:color w:val="1E252B"/>
          <w:sz w:val="21"/>
        </w:rPr>
        <w:t>Never infer a missing clinical, legal, or security policy from optimizer behavior.</w:t>
      </w:r>
    </w:p>
    <w:p>
      <w:pPr>
        <w:pStyle w:val="ListBullet"/>
        <w:spacing w:after="80" w:line="276" w:lineRule="auto"/>
        <w:ind w:left="547" w:hanging="274"/>
      </w:pPr>
      <w:r>
        <w:rPr>
          <w:rFonts w:ascii="Aptos" w:hAnsi="Aptos"/>
          <w:b w:val="0"/>
          <w:i w:val="0"/>
          <w:color w:val="1E252B"/>
          <w:sz w:val="21"/>
        </w:rPr>
        <w:t>Do not retrieve or reproduce patient-identifying examples unless the user is authorized and the task requires minimum necessary access.</w:t>
      </w:r>
    </w:p>
    <w:p>
      <w:pPr>
        <w:pStyle w:val="ListBullet"/>
        <w:spacing w:after="80" w:line="276" w:lineRule="auto"/>
        <w:ind w:left="547" w:hanging="274"/>
      </w:pPr>
      <w:r>
        <w:rPr>
          <w:rFonts w:ascii="Aptos" w:hAnsi="Aptos"/>
          <w:b w:val="0"/>
          <w:i w:val="0"/>
          <w:color w:val="1E252B"/>
          <w:sz w:val="21"/>
        </w:rPr>
        <w:t>When asked whether an appointment may move, answer from the protected-rescheduling invariant first.</w:t>
      </w:r>
    </w:p>
    <w:p>
      <w:pPr>
        <w:pStyle w:val="ListBullet"/>
        <w:spacing w:after="80" w:line="276" w:lineRule="auto"/>
        <w:ind w:left="547" w:hanging="274"/>
      </w:pPr>
      <w:r>
        <w:rPr>
          <w:rFonts w:ascii="Aptos" w:hAnsi="Aptos"/>
          <w:b w:val="0"/>
          <w:i w:val="0"/>
          <w:color w:val="1E252B"/>
          <w:sz w:val="21"/>
        </w:rPr>
        <w:t>When asked what the model decides, state that it structures intake only; it does not book or diagnose.</w:t>
      </w:r>
    </w:p>
    <w:p>
      <w:pPr>
        <w:pStyle w:val="ListBullet"/>
        <w:spacing w:after="80" w:line="276" w:lineRule="auto"/>
        <w:ind w:left="547" w:hanging="274"/>
      </w:pPr>
      <w:r>
        <w:rPr>
          <w:rFonts w:ascii="Aptos" w:hAnsi="Aptos"/>
          <w:b w:val="0"/>
          <w:i w:val="0"/>
          <w:color w:val="1E252B"/>
          <w:sz w:val="21"/>
        </w:rPr>
        <w:t>When asked why no slot exists, report constraint categories without exposing unrelated patient information.</w:t>
      </w:r>
    </w:p>
    <w:p>
      <w:pPr>
        <w:pStyle w:val="Heading2"/>
        <w:keepNext/>
      </w:pPr>
      <w:r>
        <w:rPr>
          <w:rFonts w:ascii="Aptos" w:hAnsi="Aptos"/>
          <w:b/>
          <w:i w:val="0"/>
          <w:color w:val="1C766C"/>
          <w:sz w:val="26"/>
        </w:rPr>
        <w:t>12.3 Instruction and Evidence Priority</w:t>
      </w:r>
    </w:p>
    <w:p>
      <w:pPr>
        <w:spacing w:after="120" w:line="283" w:lineRule="auto"/>
      </w:pPr>
      <w:r>
        <w:rPr>
          <w:rFonts w:ascii="Aptos" w:hAnsi="Aptos"/>
          <w:b w:val="0"/>
          <w:i w:val="0"/>
          <w:color w:val="1E252B"/>
          <w:sz w:val="21"/>
        </w:rPr>
        <w:t>When sources disagree, apply the following order and explicitly flag unresolved conflict: applicable law and authorized clinical/safety direction; approved effective local policy; enforced system invariant; validated release evidence; this generic reference; illustrative examples. A lower-priority source cannot override a higher-priority rule merely because it is newer or more detailed.</w:t>
      </w:r>
    </w:p>
    <w:p>
      <w:pPr>
        <w:pStyle w:val="Heading2"/>
        <w:keepNext/>
      </w:pPr>
      <w:r>
        <w:rPr>
          <w:rFonts w:ascii="Aptos" w:hAnsi="Aptos"/>
          <w:b/>
          <w:i w:val="0"/>
          <w:color w:val="1C766C"/>
          <w:sz w:val="26"/>
        </w:rPr>
        <w:t>12.4 AI Answer Contract</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20344A"/>
            <w:vAlign w:val="center"/>
            <w:tcMar>
              <w:top w:w="90" w:type="dxa"/>
              <w:left w:w="120" w:type="dxa"/>
              <w:bottom w:w="90" w:type="dxa"/>
              <w:right w:w="120" w:type="dxa"/>
            </w:tcMar>
          </w:tcPr>
          <w:p>
            <w:pPr>
              <w:spacing w:after="0"/>
              <w:jc w:val="center"/>
            </w:pPr>
            <w:r>
              <w:rPr>
                <w:rFonts w:ascii="Aptos" w:hAnsi="Aptos"/>
                <w:b/>
                <w:i w:val="0"/>
                <w:color w:val="FFFFFF"/>
                <w:sz w:val="17"/>
              </w:rPr>
              <w:t>Answer element</w:t>
            </w:r>
          </w:p>
        </w:tc>
        <w:tc>
          <w:tcPr>
            <w:tcW w:type="dxa" w:w="726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Required behavior</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Direct answer</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Lead with the decision or explanation in plain language.</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Authority</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State whether the answer comes from invariant, approved policy, model output, optimizer result, database state, or human authorization.</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Assumptions</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List only assumptions material to the result; never present them as approved facts.</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Missing information</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Name the exact policy/data gap and the owner who must resolve it.</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Safety boundary</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State when clinical, privacy, security, or legal review is required.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Provenance</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Identify the relevant memory ID, policy version, or validation evidence when available.</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Sensitive data</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Return only the minimum necessary information for the authorized task.</w:t>
            </w:r>
          </w:p>
        </w:tc>
      </w:tr>
    </w:tbl>
    <w:p>
      <w:pPr>
        <w:spacing w:after="60"/>
      </w:pPr>
    </w:p>
    <w:p>
      <w:pPr>
        <w:pStyle w:val="Heading2"/>
        <w:keepNext/>
      </w:pPr>
      <w:r>
        <w:rPr>
          <w:rFonts w:ascii="Aptos" w:hAnsi="Aptos"/>
          <w:b/>
          <w:i w:val="0"/>
          <w:color w:val="1C766C"/>
          <w:sz w:val="26"/>
        </w:rPr>
        <w:t>12.5 Memory Lifecycle and Change Control</w:t>
      </w:r>
    </w:p>
    <w:p>
      <w:pPr>
        <w:pStyle w:val="ListNumber"/>
        <w:spacing w:after="80" w:line="276" w:lineRule="auto"/>
        <w:ind w:left="547" w:hanging="274"/>
      </w:pPr>
      <w:r>
        <w:rPr>
          <w:rFonts w:ascii="Aptos" w:hAnsi="Aptos"/>
          <w:b w:val="0"/>
          <w:i w:val="0"/>
          <w:color w:val="1E252B"/>
          <w:sz w:val="21"/>
        </w:rPr>
        <w:t>Draft a proposed memory unit with topic, rule type, owner, sensitivity, source, effective date, and superseded unit if any.</w:t>
      </w:r>
    </w:p>
    <w:p>
      <w:pPr>
        <w:pStyle w:val="ListNumber"/>
        <w:spacing w:after="80" w:line="276" w:lineRule="auto"/>
        <w:ind w:left="547" w:hanging="274"/>
      </w:pPr>
      <w:r>
        <w:rPr>
          <w:rFonts w:ascii="Aptos" w:hAnsi="Aptos"/>
          <w:b w:val="0"/>
          <w:i w:val="0"/>
          <w:color w:val="1E252B"/>
          <w:sz w:val="21"/>
        </w:rPr>
        <w:t>Review clinical, operational, privacy, security, and technical implications according to the subject.</w:t>
      </w:r>
    </w:p>
    <w:p>
      <w:pPr>
        <w:pStyle w:val="ListNumber"/>
        <w:spacing w:after="80" w:line="276" w:lineRule="auto"/>
        <w:ind w:left="547" w:hanging="274"/>
      </w:pPr>
      <w:r>
        <w:rPr>
          <w:rFonts w:ascii="Aptos" w:hAnsi="Aptos"/>
          <w:b w:val="0"/>
          <w:i w:val="0"/>
          <w:color w:val="1E252B"/>
          <w:sz w:val="21"/>
        </w:rPr>
        <w:t>Approve deployment-specific policy through the designated owner; generic examples never become policy automatically.</w:t>
      </w:r>
    </w:p>
    <w:p>
      <w:pPr>
        <w:pStyle w:val="ListNumber"/>
        <w:spacing w:after="80" w:line="276" w:lineRule="auto"/>
        <w:ind w:left="547" w:hanging="274"/>
      </w:pPr>
      <w:r>
        <w:rPr>
          <w:rFonts w:ascii="Aptos" w:hAnsi="Aptos"/>
          <w:b w:val="0"/>
          <w:i w:val="0"/>
          <w:color w:val="1E252B"/>
          <w:sz w:val="21"/>
        </w:rPr>
        <w:t>Publish immutable versioned chunks and rebuild the local retrieval index without external services.</w:t>
      </w:r>
    </w:p>
    <w:p>
      <w:pPr>
        <w:pStyle w:val="ListNumber"/>
        <w:spacing w:after="80" w:line="276" w:lineRule="auto"/>
        <w:ind w:left="547" w:hanging="274"/>
      </w:pPr>
      <w:r>
        <w:rPr>
          <w:rFonts w:ascii="Aptos" w:hAnsi="Aptos"/>
          <w:b w:val="0"/>
          <w:i w:val="0"/>
          <w:color w:val="1E252B"/>
          <w:sz w:val="21"/>
        </w:rPr>
        <w:t>Run retrieval and contradiction tests, including locked-appointment, missing-policy, model-boundary, and sensitive-data prompts.</w:t>
      </w:r>
    </w:p>
    <w:p>
      <w:pPr>
        <w:pStyle w:val="ListNumber"/>
        <w:spacing w:after="80" w:line="276" w:lineRule="auto"/>
        <w:ind w:left="547" w:hanging="274"/>
      </w:pPr>
      <w:r>
        <w:rPr>
          <w:rFonts w:ascii="Aptos" w:hAnsi="Aptos"/>
          <w:b w:val="0"/>
          <w:i w:val="0"/>
          <w:color w:val="1E252B"/>
          <w:sz w:val="21"/>
        </w:rPr>
        <w:t>Retire superseded chunks from active retrieval while retaining approved change history according to policy.</w:t>
      </w:r>
    </w:p>
    <w:p>
      <w:pPr>
        <w:pStyle w:val="ListNumber"/>
        <w:spacing w:after="80" w:line="276" w:lineRule="auto"/>
        <w:ind w:left="547" w:hanging="274"/>
      </w:pPr>
      <w:r>
        <w:rPr>
          <w:rFonts w:ascii="Aptos" w:hAnsi="Aptos"/>
          <w:b w:val="0"/>
          <w:i w:val="0"/>
          <w:color w:val="1E252B"/>
          <w:sz w:val="21"/>
        </w:rPr>
        <w:t>Periodically review stale dates, unresolved questions, duplicate guidance, unused chunks, and policy/version drift.</w:t>
      </w:r>
    </w:p>
    <w:p>
      <w:pPr>
        <w:spacing w:before="60" w:after="160" w:line="283" w:lineRule="auto"/>
        <w:ind w:left="173" w:right="173"/>
        <w:shd w:fill="FFF6E3"/>
        <w:pBdr>
          <w:left w:val="single" w:sz="18" w:space="6" w:color="9A6500"/>
        </w:pBdr>
      </w:pPr>
      <w:r>
        <w:rPr>
          <w:rFonts w:ascii="Aptos" w:hAnsi="Aptos"/>
          <w:b/>
          <w:i w:val="0"/>
          <w:color w:val="9A6500"/>
          <w:sz w:val="21"/>
        </w:rPr>
        <w:t xml:space="preserve">Memory hygiene: </w:t>
      </w:r>
      <w:r>
        <w:rPr>
          <w:rFonts w:ascii="Aptos" w:hAnsi="Aptos"/>
          <w:b w:val="0"/>
          <w:i w:val="0"/>
          <w:color w:val="1E252B"/>
          <w:sz w:val="21"/>
        </w:rPr>
        <w:t>Do not store patient records, credentials, private keys, raw production logs, internal network details, or unapproved internal reports in the retrieval corpus. Store pointers to protected systems when authorized access is needed.</w:t>
      </w:r>
    </w:p>
    <w:p>
      <w:pPr>
        <w:pStyle w:val="Heading2"/>
        <w:keepNext/>
      </w:pPr>
      <w:r>
        <w:rPr>
          <w:rFonts w:ascii="Aptos" w:hAnsi="Aptos"/>
          <w:b/>
          <w:i w:val="0"/>
          <w:color w:val="1C766C"/>
          <w:sz w:val="26"/>
        </w:rPr>
        <w:t>12.6 Chunking and Indexing Guidance</w:t>
      </w:r>
    </w:p>
    <w:p>
      <w:pPr>
        <w:pStyle w:val="ListBullet"/>
        <w:spacing w:after="80" w:line="276" w:lineRule="auto"/>
        <w:ind w:left="547" w:hanging="274"/>
      </w:pPr>
      <w:r>
        <w:rPr>
          <w:rFonts w:ascii="Aptos" w:hAnsi="Aptos"/>
          <w:b w:val="0"/>
          <w:i w:val="0"/>
          <w:color w:val="1E252B"/>
          <w:sz w:val="21"/>
        </w:rPr>
        <w:t>Keep one primary rule or workflow decision per chunk; include enough local context to understand authority and exceptions.</w:t>
      </w:r>
    </w:p>
    <w:p>
      <w:pPr>
        <w:pStyle w:val="ListBullet"/>
        <w:spacing w:after="80" w:line="276" w:lineRule="auto"/>
        <w:ind w:left="547" w:hanging="274"/>
      </w:pPr>
      <w:r>
        <w:rPr>
          <w:rFonts w:ascii="Aptos" w:hAnsi="Aptos"/>
          <w:b w:val="0"/>
          <w:i w:val="0"/>
          <w:color w:val="1E252B"/>
          <w:sz w:val="21"/>
        </w:rPr>
        <w:t>Use stable memory identifiers and version metadata instead of relying on page numbers or file position.</w:t>
      </w:r>
    </w:p>
    <w:p>
      <w:pPr>
        <w:pStyle w:val="ListBullet"/>
        <w:spacing w:after="80" w:line="276" w:lineRule="auto"/>
        <w:ind w:left="547" w:hanging="274"/>
      </w:pPr>
      <w:r>
        <w:rPr>
          <w:rFonts w:ascii="Aptos" w:hAnsi="Aptos"/>
          <w:b w:val="0"/>
          <w:i w:val="0"/>
          <w:color w:val="1E252B"/>
          <w:sz w:val="21"/>
        </w:rPr>
        <w:t>Index headings, canonical terms, synonyms, entity names, and rule type; do not index hidden metadata containing sensitive values.</w:t>
      </w:r>
    </w:p>
    <w:p>
      <w:pPr>
        <w:pStyle w:val="ListBullet"/>
        <w:spacing w:after="80" w:line="276" w:lineRule="auto"/>
        <w:ind w:left="547" w:hanging="274"/>
      </w:pPr>
      <w:r>
        <w:rPr>
          <w:rFonts w:ascii="Aptos" w:hAnsi="Aptos"/>
          <w:b w:val="0"/>
          <w:i w:val="0"/>
          <w:color w:val="1E252B"/>
          <w:sz w:val="21"/>
        </w:rPr>
        <w:t>Keep invariant chunks separate from configurable-policy chunks so retrieval cannot blur the distinction.</w:t>
      </w:r>
    </w:p>
    <w:p>
      <w:pPr>
        <w:pStyle w:val="ListBullet"/>
        <w:spacing w:after="80" w:line="276" w:lineRule="auto"/>
        <w:ind w:left="547" w:hanging="274"/>
      </w:pPr>
      <w:r>
        <w:rPr>
          <w:rFonts w:ascii="Aptos" w:hAnsi="Aptos"/>
          <w:b w:val="0"/>
          <w:i w:val="0"/>
          <w:color w:val="1E252B"/>
          <w:sz w:val="21"/>
        </w:rPr>
        <w:t>Attach a short abstract and explicit cross-references for flows that depend on data, authorization, and failure rules in other chunks.</w:t>
      </w:r>
    </w:p>
    <w:p>
      <w:pPr>
        <w:pStyle w:val="ListBullet"/>
        <w:spacing w:after="80" w:line="276" w:lineRule="auto"/>
        <w:ind w:left="547" w:hanging="274"/>
      </w:pPr>
      <w:r>
        <w:rPr>
          <w:rFonts w:ascii="Aptos" w:hAnsi="Aptos"/>
          <w:b w:val="0"/>
          <w:i w:val="0"/>
          <w:color w:val="1E252B"/>
          <w:sz w:val="21"/>
        </w:rPr>
        <w:t>Measure retrieval with representative questions and adversarial paraphrases; a correct answer requires both relevant recall and authority-aware synthesis.</w:t>
      </w:r>
    </w:p>
    <w:p>
      <w:pPr>
        <w:pStyle w:val="Heading2"/>
        <w:keepNext/>
      </w:pPr>
      <w:r>
        <w:rPr>
          <w:rFonts w:ascii="Aptos" w:hAnsi="Aptos"/>
          <w:b/>
          <w:i w:val="0"/>
          <w:color w:val="1C766C"/>
          <w:sz w:val="26"/>
        </w:rPr>
        <w:t>12.7 Canonical Memory Statements</w:t>
      </w:r>
    </w:p>
    <w:tbl>
      <w:tblPr>
        <w:tblStyle w:val="TableGrid"/>
        <w:tblW w:type="dxa" w:w="9360"/>
        <w:jc w:val="left"/>
        <w:tblLayout w:type="fixed"/>
        <w:tblLook w:firstColumn="1" w:firstRow="1" w:lastColumn="0" w:lastRow="0" w:noHBand="0" w:noVBand="1" w:val="04A0"/>
        <w:tblInd w:type="dxa" w:w="120"/>
      </w:tblPr>
      <w:tblGrid>
        <w:gridCol w:w="1100"/>
        <w:gridCol w:w="8260"/>
      </w:tblGrid>
      <w:tr>
        <w:trPr>
          <w:tblHeader w:val="true"/>
        </w:trPr>
        <w:tc>
          <w:tcPr>
            <w:tcW w:type="dxa" w:w="1100"/>
            <w:shd w:fill="20344A"/>
            <w:vAlign w:val="center"/>
            <w:tcMar>
              <w:top w:w="90" w:type="dxa"/>
              <w:left w:w="120" w:type="dxa"/>
              <w:bottom w:w="90" w:type="dxa"/>
              <w:right w:w="120" w:type="dxa"/>
            </w:tcMar>
          </w:tcPr>
          <w:p>
            <w:pPr>
              <w:spacing w:after="0"/>
              <w:jc w:val="center"/>
            </w:pPr>
            <w:r>
              <w:rPr>
                <w:rFonts w:ascii="Aptos" w:hAnsi="Aptos"/>
                <w:b/>
                <w:i w:val="0"/>
                <w:color w:val="FFFFFF"/>
                <w:sz w:val="17"/>
              </w:rPr>
              <w:t>ID</w:t>
            </w:r>
          </w:p>
        </w:tc>
        <w:tc>
          <w:tcPr>
            <w:tcW w:type="dxa" w:w="8260"/>
            <w:shd w:fill="20344A"/>
            <w:vAlign w:val="center"/>
            <w:tcMar>
              <w:top w:w="90" w:type="dxa"/>
              <w:left w:w="120" w:type="dxa"/>
              <w:bottom w:w="90" w:type="dxa"/>
              <w:right w:w="120" w:type="dxa"/>
            </w:tcMar>
          </w:tcPr>
          <w:p>
            <w:pPr>
              <w:spacing w:after="0"/>
              <w:jc w:val="left"/>
            </w:pPr>
            <w:r>
              <w:rPr>
                <w:rFonts w:ascii="Aptos" w:hAnsi="Aptos"/>
                <w:b/>
                <w:i w:val="0"/>
                <w:color w:val="FFFFFF"/>
                <w:sz w:val="17"/>
              </w:rPr>
              <w:t>Canonical statement</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M-01</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The local language model normalizes intake into an allowlisted scheduling vocabulary; it does not diagnose or book.</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M-02</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The optimizer is deterministic and may rank only candidates that satisfy every hard constraint.</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M-03</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The database transaction is the final technical authority on appointment and resource feasibility.</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M-04</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A recommendation is temporary and does not reserve capacity until confirmed.</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M-05</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A confirmed appointment cannot be moved without explicit, authorized, exact-change permission and audit evidence.</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M-06</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New requests are scheduled incrementally against a rolling annual horizon; existing bookings remain fixed.</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M-07</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The application must operate without runtime internet access or external model calls.</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M-08</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HIPAA alignment requires technical, administrative, and physical safeguards plus ongoing organizational governance.</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M-09</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Deployment-specific durations, resources, priorities, and ranking weights require local approval and must not be invented.</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M-10</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Synthetic or approved de-identified data should be used for development, testing, and AI evaluation.</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M-11</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Store instants in UTC while evaluating local scheduling policy in the facility timezone, including daylight-saving transitions.</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M-12</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Procedure buffers, patient overlap, clinician supervision capacity, and linked-visit timing are hard constraints when configured.</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M-13</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Retries of protected mutations must be idempotent and must not create duplicate appointments or audit events.</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M-14</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Optimizer explanations are deterministic constraint evidence; language-model reasoning is not the source of booking justification.</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M-15</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Historical timing data is optional: approved defaults operate without it, and local evidence may propose a future policy change only after de-identification, an evidence threshold, staging, and authorized approval.</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M-16</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Operational observability stays local and excludes patient content, raw prompts, credentials, and unrelated appointment details.</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M-17</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Operational data does not retrain the intake model; current refinement is deterministic, de-identified, prospective duration-policy calibration.</w:t>
            </w:r>
          </w:p>
        </w:tc>
      </w:tr>
      <w:tr>
        <w:tc>
          <w:tcPr>
            <w:tcW w:type="dxa" w:w="1100"/>
            <w:vAlign w:val="center"/>
            <w:tcMar>
              <w:top w:w="90" w:type="dxa"/>
              <w:left w:w="120" w:type="dxa"/>
              <w:bottom w:w="90" w:type="dxa"/>
              <w:right w:w="120" w:type="dxa"/>
            </w:tcMar>
          </w:tcPr>
          <w:p>
            <w:pPr>
              <w:spacing w:after="0" w:line="259" w:lineRule="auto"/>
            </w:pPr>
            <w:r>
              <w:rPr>
                <w:rFonts w:ascii="Aptos" w:hAnsi="Aptos"/>
                <w:b w:val="0"/>
                <w:i w:val="0"/>
                <w:color w:val="1E252B"/>
                <w:sz w:val="16"/>
              </w:rPr>
              <w:t>M-18</w:t>
            </w:r>
          </w:p>
        </w:tc>
        <w:tc>
          <w:tcPr>
            <w:tcW w:type="dxa" w:w="8260"/>
            <w:vAlign w:val="center"/>
            <w:tcMar>
              <w:top w:w="90" w:type="dxa"/>
              <w:left w:w="120" w:type="dxa"/>
              <w:bottom w:w="90" w:type="dxa"/>
              <w:right w:w="120" w:type="dxa"/>
            </w:tcMar>
          </w:tcPr>
          <w:p>
            <w:pPr>
              <w:spacing w:after="0" w:line="259" w:lineRule="auto"/>
            </w:pPr>
            <w:r>
              <w:rPr>
                <w:rFonts w:ascii="Aptos" w:hAnsi="Aptos"/>
                <w:b w:val="0"/>
                <w:i w:val="0"/>
                <w:color w:val="1E252B"/>
                <w:sz w:val="16"/>
              </w:rPr>
              <w:t>Success metrics are locally governed evidence, not scheduling prerequisites; zero-harm and zero-disclosure guardrails override efficiency targets.</w:t>
            </w:r>
          </w:p>
        </w:tc>
      </w:tr>
    </w:tbl>
    <w:p>
      <w:pPr>
        <w:spacing w:after="60"/>
      </w:pPr>
    </w:p>
    <w:p>
      <w:pPr>
        <w:pStyle w:val="Heading1"/>
        <w:keepNext/>
      </w:pPr>
      <w:r>
        <w:rPr>
          <w:rFonts w:ascii="Aptos" w:hAnsi="Aptos"/>
          <w:b/>
          <w:i w:val="0"/>
          <w:color w:val="1C766C"/>
          <w:sz w:val="34"/>
        </w:rPr>
        <w:t>13. Glossary</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7"/>
              </w:rPr>
              <w:t>Term</w:t>
            </w:r>
          </w:p>
        </w:tc>
        <w:tc>
          <w:tcPr>
            <w:tcW w:type="dxa" w:w="7160"/>
            <w:shd w:fill="20344A"/>
            <w:vAlign w:val="center"/>
            <w:tcMar>
              <w:top w:w="90" w:type="dxa"/>
              <w:left w:w="120" w:type="dxa"/>
              <w:bottom w:w="90" w:type="dxa"/>
              <w:right w:w="120" w:type="dxa"/>
            </w:tcMar>
          </w:tcPr>
          <w:p>
            <w:pPr>
              <w:spacing w:after="0"/>
              <w:jc w:val="center"/>
            </w:pPr>
            <w:r>
              <w:rPr>
                <w:rFonts w:ascii="Aptos" w:hAnsi="Aptos"/>
                <w:b/>
                <w:i w:val="0"/>
                <w:color w:val="FFFFFF"/>
                <w:sz w:val="17"/>
              </w:rPr>
              <w:t>Definition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Active reservation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 provider, room, or equipment allocation that currently blocks overlapping use.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Allowlist</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 closed set of output values the system is permitted to accept.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Candidate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 feasible proposed appointment with a complete provider/time/resource plan.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Constraint</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 condition a plan must satisfy; hard constraints are mandatory, soft objectives affect rank.</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Effective dating</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Representing when a policy, qualification, or schedule becomes and remains applicable.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Inference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Running the local language model to structure input; not the same as optimization or booking.</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Locked appointment</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 confirmed booking protected against automatic movement.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Planning horizon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The future interval searched for appointment candidates, typically maintained as a rolling window.</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Recommendation snapshot</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 short-lived record of the exact candidate and source state reviewed by a user.</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Treatment phase</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An ordered sub-interval of a procedure with its own provider role and resource occupancy.</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Idempotency key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 scoped identifier that lets a retried action return the original result instead of creating a duplicate.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Policy version</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An immutable, effective-dated set of approved configuration used to explain and reproduce a decision.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Supervision capacity</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The approved maximum number of active patient visits a clinician may oversee at the same time.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Turnover buffer</w:t>
            </w:r>
          </w:p>
        </w:tc>
        <w:tc>
          <w:tcPr>
            <w:tcW w:type="dxa" w:w="7160"/>
            <w:vAlign w:val="center"/>
            <w:tcMar>
              <w:top w:w="90" w:type="dxa"/>
              <w:left w:w="120" w:type="dxa"/>
              <w:bottom w:w="90" w:type="dxa"/>
              <w:right w:w="120" w:type="dxa"/>
            </w:tcMar>
          </w:tcPr>
          <w:p>
            <w:pPr>
              <w:spacing w:after="0" w:line="259" w:lineRule="auto"/>
            </w:pPr>
            <w:r>
              <w:rPr>
                <w:rFonts w:ascii="Aptos" w:hAnsi="Aptos"/>
                <w:b w:val="0"/>
                <w:i w:val="0"/>
                <w:color w:val="1E252B"/>
                <w:sz w:val="16"/>
              </w:rPr>
              <w:t>A protected interval for setup, cleanup, sterilization, recovery, or another non-treatment resource need.</w:t>
            </w:r>
          </w:p>
        </w:tc>
      </w:tr>
    </w:tbl>
    <w:p>
      <w:pPr>
        <w:spacing w:after="60"/>
      </w:pPr>
    </w:p>
    <w:p>
      <w:pPr>
        <w:pStyle w:val="Heading1"/>
        <w:keepNext/>
      </w:pPr>
      <w:r>
        <w:rPr>
          <w:rFonts w:ascii="Aptos" w:hAnsi="Aptos"/>
          <w:b/>
          <w:i w:val="0"/>
          <w:color w:val="1C766C"/>
          <w:sz w:val="34"/>
        </w:rPr>
        <w:t>14. Completion and Quality Gate</w:t>
      </w:r>
    </w:p>
    <w:p>
      <w:pPr>
        <w:spacing w:after="120" w:line="283" w:lineRule="auto"/>
      </w:pPr>
      <w:r>
        <w:rPr>
          <w:rFonts w:ascii="Aptos" w:hAnsi="Aptos"/>
          <w:b w:val="0"/>
          <w:i w:val="0"/>
          <w:color w:val="1E252B"/>
          <w:sz w:val="21"/>
        </w:rPr>
        <w:t>This memory bank is content-complete as a generic reference when every item below is true. Deployment readiness still requires approved local values and evidence; completeness does not convert generic guidance into local policy.</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20344A"/>
            <w:vAlign w:val="center"/>
            <w:tcMar>
              <w:top w:w="90" w:type="dxa"/>
              <w:left w:w="120" w:type="dxa"/>
              <w:bottom w:w="90" w:type="dxa"/>
              <w:right w:w="120" w:type="dxa"/>
            </w:tcMar>
          </w:tcPr>
          <w:p>
            <w:pPr>
              <w:spacing w:after="0"/>
              <w:jc w:val="center"/>
            </w:pPr>
            <w:r>
              <w:rPr>
                <w:rFonts w:ascii="Aptos" w:hAnsi="Aptos"/>
                <w:b/>
                <w:i w:val="0"/>
                <w:color w:val="FFFFFF"/>
                <w:sz w:val="17"/>
              </w:rPr>
              <w:t>Gate</w:t>
            </w:r>
          </w:p>
        </w:tc>
        <w:tc>
          <w:tcPr>
            <w:tcW w:type="dxa" w:w="7260"/>
            <w:shd w:fill="20344A"/>
            <w:vAlign w:val="center"/>
            <w:tcMar>
              <w:top w:w="90" w:type="dxa"/>
              <w:left w:w="120" w:type="dxa"/>
              <w:bottom w:w="90" w:type="dxa"/>
              <w:right w:w="120" w:type="dxa"/>
            </w:tcMar>
          </w:tcPr>
          <w:p>
            <w:pPr>
              <w:spacing w:after="0"/>
              <w:jc w:val="left"/>
            </w:pPr>
            <w:r>
              <w:rPr>
                <w:rFonts w:ascii="Aptos" w:hAnsi="Aptos"/>
                <w:b/>
                <w:i w:val="0"/>
                <w:color w:val="FFFFFF"/>
                <w:sz w:val="17"/>
              </w:rPr>
              <w:t>Completion criterion</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Model</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Role, schema, allowlist, fallback, privacy, hostile-input controls, artifact governance, and validation are documented.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Optimizer</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Inputs, phases, hard constraints, soft objectives, explanations, bounds, determinism, annual horizon, and transaction recheck are documented.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Data</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Classification, conceptual entities, state, time, provenance, idempotency, audit, retention, and analytics definitions are documented.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Flows</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Request, confirmation, protected reschedule, outcomes, walk-in, waitlist, linked follow-up, emergency reserve, calibration, downtime, and manual exception are documented.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Human control</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Roles, least privilege, accessible interaction, explicit consent, exports, and integrations are bounded.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Security/offline</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Technical, administrative, physical, observability, threat, supply-chain, backup, and no-egress patterns are documented.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Validation</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Invariant, concurrency, time, retry, security, performance, restore, model, retrieval, and success-measure tests have defined evidence.</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AI memory</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Metadata, authority priority, answer contract, change control, chunking, canonical statements, and sensitive-data exclusions are documented.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Local adoption</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All unresolved questions have approved owners, values, effective dates, sign-off, and review schedules.</w:t>
            </w:r>
          </w:p>
        </w:tc>
      </w:tr>
    </w:tbl>
    <w:p>
      <w:pPr>
        <w:spacing w:after="60"/>
      </w:pPr>
    </w:p>
    <w:p>
      <w:pPr>
        <w:pStyle w:val="Heading1"/>
        <w:keepNext/>
      </w:pPr>
      <w:r>
        <w:rPr>
          <w:rFonts w:ascii="Aptos" w:hAnsi="Aptos"/>
          <w:b/>
          <w:i w:val="0"/>
          <w:color w:val="1C766C"/>
          <w:sz w:val="34"/>
        </w:rPr>
        <w:t>15. Sanitized Product Specification</w:t>
      </w:r>
    </w:p>
    <w:p>
      <w:pPr>
        <w:spacing w:before="60" w:after="160" w:line="283" w:lineRule="auto"/>
        <w:ind w:left="173" w:right="173"/>
        <w:shd w:fill="EAF5F2"/>
        <w:pBdr>
          <w:left w:val="single" w:sz="18" w:space="6" w:color="1C766C"/>
        </w:pBdr>
      </w:pPr>
      <w:r>
        <w:rPr>
          <w:rFonts w:ascii="Aptos" w:hAnsi="Aptos"/>
          <w:b/>
          <w:i w:val="0"/>
          <w:color w:val="1C766C"/>
          <w:sz w:val="21"/>
        </w:rPr>
        <w:t xml:space="preserve">Specification boundary: </w:t>
      </w:r>
      <w:r>
        <w:rPr>
          <w:rFonts w:ascii="Aptos" w:hAnsi="Aptos"/>
          <w:b w:val="0"/>
          <w:i w:val="0"/>
          <w:color w:val="1E252B"/>
          <w:sz w:val="21"/>
        </w:rPr>
        <w:t>This section defines the complete generic product behavior needed to build and accept an on-premises dental scheduling system. It deliberately uses policy-driven values instead of organization-specific names, counts, prices, credentials, network details, or proprietary weights.</w:t>
      </w:r>
    </w:p>
    <w:p>
      <w:pPr>
        <w:pStyle w:val="Heading2"/>
        <w:keepNext/>
      </w:pPr>
      <w:r>
        <w:rPr>
          <w:rFonts w:ascii="Aptos" w:hAnsi="Aptos"/>
          <w:b/>
          <w:i w:val="0"/>
          <w:color w:val="1C766C"/>
          <w:sz w:val="26"/>
        </w:rPr>
        <w:t>15.1 Product Definition</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20344A"/>
            <w:vAlign w:val="center"/>
            <w:tcMar>
              <w:top w:w="90" w:type="dxa"/>
              <w:left w:w="120" w:type="dxa"/>
              <w:bottom w:w="90" w:type="dxa"/>
              <w:right w:w="120" w:type="dxa"/>
            </w:tcMar>
          </w:tcPr>
          <w:p>
            <w:pPr>
              <w:spacing w:after="0"/>
              <w:jc w:val="center"/>
            </w:pPr>
            <w:r>
              <w:rPr>
                <w:rFonts w:ascii="Aptos" w:hAnsi="Aptos"/>
                <w:b/>
                <w:i w:val="0"/>
                <w:color w:val="FFFFFF"/>
                <w:sz w:val="17"/>
              </w:rPr>
              <w:t>Attribute</w:t>
            </w:r>
          </w:p>
        </w:tc>
        <w:tc>
          <w:tcPr>
            <w:tcW w:type="dxa" w:w="7260"/>
            <w:shd w:fill="20344A"/>
            <w:vAlign w:val="center"/>
            <w:tcMar>
              <w:top w:w="90" w:type="dxa"/>
              <w:left w:w="120" w:type="dxa"/>
              <w:bottom w:w="90" w:type="dxa"/>
              <w:right w:w="120" w:type="dxa"/>
            </w:tcMar>
          </w:tcPr>
          <w:p>
            <w:pPr>
              <w:spacing w:after="0"/>
              <w:jc w:val="center"/>
            </w:pPr>
            <w:r>
              <w:rPr>
                <w:rFonts w:ascii="Aptos" w:hAnsi="Aptos"/>
                <w:b/>
                <w:i w:val="0"/>
                <w:color w:val="FFFFFF"/>
                <w:sz w:val="17"/>
              </w:rPr>
              <w:t>Specification</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Product type</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Internal web application for appointment recommendation, confirmation, annual calendar management, patient-flow operations, waitlist recovery, and controlled administration</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Primary outcome</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Return one or more feasible clinician-and-timeslot options from procedure, patient identity, scheduling context, availability, and current capacity</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Planning model</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Incremental scheduling against a rolling annual horizon; existing confirmed appointments remain fixed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AI role</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Local intake normalization into an approved scheduling vocabulary; no diagnosis, treatment selection, booking, cancellation, or rescheduling authority</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Scheduling authority</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Deterministic constraints and ranking, followed by transaction-time database validation and explicit human confirmation</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Deployment</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Fully on premises with no runtime internet dependency, cloud inference, telemetry, content delivery network, or automatic download</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Compliance posture</w:t>
            </w:r>
          </w:p>
        </w:tc>
        <w:tc>
          <w:tcPr>
            <w:tcW w:type="dxa" w:w="7260"/>
            <w:vAlign w:val="center"/>
            <w:tcMar>
              <w:top w:w="90" w:type="dxa"/>
              <w:left w:w="120" w:type="dxa"/>
              <w:bottom w:w="90" w:type="dxa"/>
              <w:right w:w="120" w:type="dxa"/>
            </w:tcMar>
          </w:tcPr>
          <w:p>
            <w:pPr>
              <w:spacing w:after="0" w:line="259" w:lineRule="auto"/>
            </w:pPr>
            <w:r>
              <w:rPr>
                <w:rFonts w:ascii="Aptos" w:hAnsi="Aptos"/>
                <w:b w:val="0"/>
                <w:i w:val="0"/>
                <w:color w:val="1E252B"/>
                <w:sz w:val="16"/>
              </w:rPr>
              <w:t>Supports HIPAA-aligned safeguards; organizational compliance requires approved administrative, physical, and technical controls</w:t>
            </w:r>
          </w:p>
        </w:tc>
      </w:tr>
    </w:tbl>
    <w:p>
      <w:pPr>
        <w:spacing w:after="60"/>
      </w:pPr>
    </w:p>
    <w:p>
      <w:pPr>
        <w:pStyle w:val="Heading2"/>
        <w:keepNext/>
      </w:pPr>
      <w:r>
        <w:rPr>
          <w:rFonts w:ascii="Aptos" w:hAnsi="Aptos"/>
          <w:b/>
          <w:i w:val="0"/>
          <w:color w:val="1C766C"/>
          <w:sz w:val="26"/>
        </w:rPr>
        <w:t>15.2 Goals and Exclusions</w:t>
      </w:r>
    </w:p>
    <w:tbl>
      <w:tblPr>
        <w:tblStyle w:val="TableGrid"/>
        <w:tblW w:type="dxa" w:w="9360"/>
        <w:jc w:val="left"/>
        <w:tblLayout w:type="fixed"/>
        <w:tblLook w:firstColumn="1" w:firstRow="1" w:lastColumn="0" w:lastRow="0" w:noHBand="0" w:noVBand="1" w:val="04A0"/>
        <w:tblInd w:type="dxa" w:w="120"/>
      </w:tblPr>
      <w:tblGrid>
        <w:gridCol w:w="1400"/>
        <w:gridCol w:w="7960"/>
      </w:tblGrid>
      <w:tr>
        <w:trPr>
          <w:tblHeader w:val="true"/>
        </w:trPr>
        <w:tc>
          <w:tcPr>
            <w:tcW w:type="dxa" w:w="1400"/>
            <w:shd w:fill="20344A"/>
            <w:vAlign w:val="center"/>
            <w:tcMar>
              <w:top w:w="90" w:type="dxa"/>
              <w:left w:w="120" w:type="dxa"/>
              <w:bottom w:w="90" w:type="dxa"/>
              <w:right w:w="120" w:type="dxa"/>
            </w:tcMar>
          </w:tcPr>
          <w:p>
            <w:pPr>
              <w:spacing w:after="0"/>
              <w:jc w:val="center"/>
            </w:pPr>
            <w:r>
              <w:rPr>
                <w:rFonts w:ascii="Aptos" w:hAnsi="Aptos"/>
                <w:b/>
                <w:i w:val="0"/>
                <w:color w:val="FFFFFF"/>
                <w:sz w:val="17"/>
              </w:rPr>
              <w:t>Type</w:t>
            </w:r>
          </w:p>
        </w:tc>
        <w:tc>
          <w:tcPr>
            <w:tcW w:type="dxa" w:w="7960"/>
            <w:shd w:fill="20344A"/>
            <w:vAlign w:val="center"/>
            <w:tcMar>
              <w:top w:w="90" w:type="dxa"/>
              <w:left w:w="120" w:type="dxa"/>
              <w:bottom w:w="90" w:type="dxa"/>
              <w:right w:w="120" w:type="dxa"/>
            </w:tcMar>
          </w:tcPr>
          <w:p>
            <w:pPr>
              <w:spacing w:after="0"/>
              <w:jc w:val="center"/>
            </w:pPr>
            <w:r>
              <w:rPr>
                <w:rFonts w:ascii="Aptos" w:hAnsi="Aptos"/>
                <w:b/>
                <w:i w:val="0"/>
                <w:color w:val="FFFFFF"/>
                <w:sz w:val="17"/>
              </w:rPr>
              <w:t>Statement</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6"/>
              </w:rPr>
              <w:t>Goal</w:t>
            </w:r>
          </w:p>
        </w:tc>
        <w:tc>
          <w:tcPr>
            <w:tcW w:type="dxa" w:w="7960"/>
            <w:vAlign w:val="center"/>
            <w:tcMar>
              <w:top w:w="90" w:type="dxa"/>
              <w:left w:w="120" w:type="dxa"/>
              <w:bottom w:w="90" w:type="dxa"/>
              <w:right w:w="120" w:type="dxa"/>
            </w:tcMar>
          </w:tcPr>
          <w:p>
            <w:pPr>
              <w:spacing w:after="0" w:line="259" w:lineRule="auto"/>
            </w:pPr>
            <w:r>
              <w:rPr>
                <w:rFonts w:ascii="Aptos" w:hAnsi="Aptos"/>
                <w:b w:val="0"/>
                <w:i w:val="0"/>
                <w:color w:val="1E252B"/>
                <w:sz w:val="16"/>
              </w:rPr>
              <w:t>Safely find feasible appointments while representing phased work across clinicians, support staff, rooms, equipment, buffers, and supervision capacity.</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6"/>
              </w:rPr>
              <w:t>Goal</w:t>
            </w:r>
          </w:p>
        </w:tc>
        <w:tc>
          <w:tcPr>
            <w:tcW w:type="dxa" w:w="7960"/>
            <w:vAlign w:val="center"/>
            <w:tcMar>
              <w:top w:w="90" w:type="dxa"/>
              <w:left w:w="120" w:type="dxa"/>
              <w:bottom w:w="90" w:type="dxa"/>
              <w:right w:w="120" w:type="dxa"/>
            </w:tcMar>
          </w:tcPr>
          <w:p>
            <w:pPr>
              <w:spacing w:after="0" w:line="259" w:lineRule="auto"/>
            </w:pPr>
            <w:r>
              <w:rPr>
                <w:rFonts w:ascii="Aptos" w:hAnsi="Aptos"/>
                <w:b w:val="0"/>
                <w:i w:val="0"/>
                <w:color w:val="1E252B"/>
                <w:sz w:val="16"/>
              </w:rPr>
              <w:t>Make recommendations understandable and confirmation resistant to stale data, retries, and concurrent users.</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6"/>
              </w:rPr>
              <w:t>Goal</w:t>
            </w:r>
          </w:p>
        </w:tc>
        <w:tc>
          <w:tcPr>
            <w:tcW w:type="dxa" w:w="7960"/>
            <w:vAlign w:val="center"/>
            <w:tcMar>
              <w:top w:w="90" w:type="dxa"/>
              <w:left w:w="120" w:type="dxa"/>
              <w:bottom w:w="90" w:type="dxa"/>
              <w:right w:w="120" w:type="dxa"/>
            </w:tcMar>
          </w:tcPr>
          <w:p>
            <w:pPr>
              <w:spacing w:after="0" w:line="259" w:lineRule="auto"/>
            </w:pPr>
            <w:r>
              <w:rPr>
                <w:rFonts w:ascii="Aptos" w:hAnsi="Aptos"/>
                <w:b w:val="0"/>
                <w:i w:val="0"/>
                <w:color w:val="1E252B"/>
                <w:sz w:val="16"/>
              </w:rPr>
              <w:t>Support ordinary visits, urgent capacity, walk-ins, waitlists, linked follow-ups, outcomes, and a complete navigable annual calendar.</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6"/>
              </w:rPr>
              <w:t>Goal</w:t>
            </w:r>
          </w:p>
        </w:tc>
        <w:tc>
          <w:tcPr>
            <w:tcW w:type="dxa" w:w="7960"/>
            <w:vAlign w:val="center"/>
            <w:tcMar>
              <w:top w:w="90" w:type="dxa"/>
              <w:left w:w="120" w:type="dxa"/>
              <w:bottom w:w="90" w:type="dxa"/>
              <w:right w:w="120" w:type="dxa"/>
            </w:tcMar>
          </w:tcPr>
          <w:p>
            <w:pPr>
              <w:spacing w:after="0" w:line="259" w:lineRule="auto"/>
            </w:pPr>
            <w:r>
              <w:rPr>
                <w:rFonts w:ascii="Aptos" w:hAnsi="Aptos"/>
                <w:b w:val="0"/>
                <w:i w:val="0"/>
                <w:color w:val="1E252B"/>
                <w:sz w:val="16"/>
              </w:rPr>
              <w:t>Protect booked visits from automatic movement and require exact, auditable authorization for rescheduling.</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6"/>
              </w:rPr>
              <w:t>Goal</w:t>
            </w:r>
          </w:p>
        </w:tc>
        <w:tc>
          <w:tcPr>
            <w:tcW w:type="dxa" w:w="7960"/>
            <w:vAlign w:val="center"/>
            <w:tcMar>
              <w:top w:w="90" w:type="dxa"/>
              <w:left w:w="120" w:type="dxa"/>
              <w:bottom w:w="90" w:type="dxa"/>
              <w:right w:w="120" w:type="dxa"/>
            </w:tcMar>
          </w:tcPr>
          <w:p>
            <w:pPr>
              <w:spacing w:after="0" w:line="259" w:lineRule="auto"/>
            </w:pPr>
            <w:r>
              <w:rPr>
                <w:rFonts w:ascii="Aptos" w:hAnsi="Aptos"/>
                <w:b w:val="0"/>
                <w:i w:val="0"/>
                <w:color w:val="1E252B"/>
                <w:sz w:val="16"/>
              </w:rPr>
              <w:t>Operate and recover inside a restricted local environment while minimizing patient data.</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6"/>
              </w:rPr>
              <w:t>Exclusion</w:t>
            </w:r>
          </w:p>
        </w:tc>
        <w:tc>
          <w:tcPr>
            <w:tcW w:type="dxa" w:w="7960"/>
            <w:vAlign w:val="center"/>
            <w:tcMar>
              <w:top w:w="90" w:type="dxa"/>
              <w:left w:w="120" w:type="dxa"/>
              <w:bottom w:w="90" w:type="dxa"/>
              <w:right w:w="120" w:type="dxa"/>
            </w:tcMar>
          </w:tcPr>
          <w:p>
            <w:pPr>
              <w:spacing w:after="0" w:line="259" w:lineRule="auto"/>
            </w:pPr>
            <w:r>
              <w:rPr>
                <w:rFonts w:ascii="Aptos" w:hAnsi="Aptos"/>
                <w:b w:val="0"/>
                <w:i w:val="0"/>
                <w:color w:val="1E252B"/>
                <w:sz w:val="16"/>
              </w:rPr>
              <w:t>The product does not diagnose, prescribe, choose treatment, replace clinical triage, or determine medical fitness.</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6"/>
              </w:rPr>
              <w:t>Exclusion</w:t>
            </w:r>
          </w:p>
        </w:tc>
        <w:tc>
          <w:tcPr>
            <w:tcW w:type="dxa" w:w="7960"/>
            <w:vAlign w:val="center"/>
            <w:tcMar>
              <w:top w:w="90" w:type="dxa"/>
              <w:left w:w="120" w:type="dxa"/>
              <w:bottom w:w="90" w:type="dxa"/>
              <w:right w:w="120" w:type="dxa"/>
            </w:tcMar>
          </w:tcPr>
          <w:p>
            <w:pPr>
              <w:spacing w:after="0" w:line="259" w:lineRule="auto"/>
            </w:pPr>
            <w:r>
              <w:rPr>
                <w:rFonts w:ascii="Aptos" w:hAnsi="Aptos"/>
                <w:b w:val="0"/>
                <w:i w:val="0"/>
                <w:color w:val="1E252B"/>
                <w:sz w:val="16"/>
              </w:rPr>
              <w:t>The product does not contact patients, submit claims, process payments, or exchange health data with another system unless a separately approved local integration is added.</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6"/>
              </w:rPr>
              <w:t>Exclusion</w:t>
            </w:r>
          </w:p>
        </w:tc>
        <w:tc>
          <w:tcPr>
            <w:tcW w:type="dxa" w:w="7960"/>
            <w:vAlign w:val="center"/>
            <w:tcMar>
              <w:top w:w="90" w:type="dxa"/>
              <w:left w:w="120" w:type="dxa"/>
              <w:bottom w:w="90" w:type="dxa"/>
              <w:right w:w="120" w:type="dxa"/>
            </w:tcMar>
          </w:tcPr>
          <w:p>
            <w:pPr>
              <w:spacing w:after="0" w:line="259" w:lineRule="auto"/>
            </w:pPr>
            <w:r>
              <w:rPr>
                <w:rFonts w:ascii="Aptos" w:hAnsi="Aptos"/>
                <w:b w:val="0"/>
                <w:i w:val="0"/>
                <w:color w:val="1E252B"/>
                <w:sz w:val="16"/>
              </w:rPr>
              <w:t>The product does not train a language model on operational patient data by default.</w:t>
            </w:r>
          </w:p>
        </w:tc>
      </w:tr>
      <w:tr>
        <w:tc>
          <w:tcPr>
            <w:tcW w:type="dxa" w:w="1400"/>
            <w:vAlign w:val="center"/>
            <w:tcMar>
              <w:top w:w="90" w:type="dxa"/>
              <w:left w:w="120" w:type="dxa"/>
              <w:bottom w:w="90" w:type="dxa"/>
              <w:right w:w="120" w:type="dxa"/>
            </w:tcMar>
          </w:tcPr>
          <w:p>
            <w:pPr>
              <w:spacing w:after="0" w:line="259" w:lineRule="auto"/>
            </w:pPr>
            <w:r>
              <w:rPr>
                <w:rFonts w:ascii="Aptos" w:hAnsi="Aptos"/>
                <w:b w:val="0"/>
                <w:i w:val="0"/>
                <w:color w:val="1E252B"/>
                <w:sz w:val="16"/>
              </w:rPr>
              <w:t>Exclusion</w:t>
            </w:r>
          </w:p>
        </w:tc>
        <w:tc>
          <w:tcPr>
            <w:tcW w:type="dxa" w:w="7960"/>
            <w:vAlign w:val="center"/>
            <w:tcMar>
              <w:top w:w="90" w:type="dxa"/>
              <w:left w:w="120" w:type="dxa"/>
              <w:bottom w:w="90" w:type="dxa"/>
              <w:right w:w="120" w:type="dxa"/>
            </w:tcMar>
          </w:tcPr>
          <w:p>
            <w:pPr>
              <w:spacing w:after="0" w:line="259" w:lineRule="auto"/>
            </w:pPr>
            <w:r>
              <w:rPr>
                <w:rFonts w:ascii="Aptos" w:hAnsi="Aptos"/>
                <w:b w:val="0"/>
                <w:i w:val="0"/>
                <w:color w:val="1E252B"/>
                <w:sz w:val="16"/>
              </w:rPr>
              <w:t>The product does not autonomously rearrange confirmed appointments to improve a score.</w:t>
            </w:r>
          </w:p>
        </w:tc>
      </w:tr>
    </w:tbl>
    <w:p>
      <w:pPr>
        <w:spacing w:after="60"/>
      </w:pPr>
    </w:p>
    <w:p>
      <w:pPr>
        <w:pStyle w:val="Heading2"/>
        <w:keepNext/>
      </w:pPr>
      <w:r>
        <w:rPr>
          <w:rFonts w:ascii="Aptos" w:hAnsi="Aptos"/>
          <w:b/>
          <w:i w:val="0"/>
          <w:color w:val="1C766C"/>
          <w:sz w:val="26"/>
        </w:rPr>
        <w:t>15.3 Users and Responsibilities</w:t>
      </w:r>
    </w:p>
    <w:tbl>
      <w:tblPr>
        <w:tblStyle w:val="TableGrid"/>
        <w:tblW w:type="dxa" w:w="9360"/>
        <w:jc w:val="left"/>
        <w:tblLayout w:type="fixed"/>
        <w:tblLook w:firstColumn="1" w:firstRow="1" w:lastColumn="0" w:lastRow="0" w:noHBand="0" w:noVBand="1" w:val="04A0"/>
        <w:tblInd w:type="dxa" w:w="120"/>
      </w:tblPr>
      <w:tblGrid>
        <w:gridCol w:w="1800"/>
        <w:gridCol w:w="4300"/>
        <w:gridCol w:w="3260"/>
      </w:tblGrid>
      <w:tr>
        <w:trPr>
          <w:tblHeader w:val="true"/>
        </w:trPr>
        <w:tc>
          <w:tcPr>
            <w:tcW w:type="dxa" w:w="1800"/>
            <w:shd w:fill="20344A"/>
            <w:vAlign w:val="center"/>
            <w:tcMar>
              <w:top w:w="90" w:type="dxa"/>
              <w:left w:w="120" w:type="dxa"/>
              <w:bottom w:w="90" w:type="dxa"/>
              <w:right w:w="120" w:type="dxa"/>
            </w:tcMar>
          </w:tcPr>
          <w:p>
            <w:pPr>
              <w:spacing w:after="0"/>
              <w:jc w:val="center"/>
            </w:pPr>
            <w:r>
              <w:rPr>
                <w:rFonts w:ascii="Aptos" w:hAnsi="Aptos"/>
                <w:b/>
                <w:i w:val="0"/>
                <w:color w:val="FFFFFF"/>
                <w:sz w:val="17"/>
              </w:rPr>
              <w:t>Persona</w:t>
            </w:r>
          </w:p>
        </w:tc>
        <w:tc>
          <w:tcPr>
            <w:tcW w:type="dxa" w:w="4300"/>
            <w:shd w:fill="20344A"/>
            <w:vAlign w:val="center"/>
            <w:tcMar>
              <w:top w:w="90" w:type="dxa"/>
              <w:left w:w="120" w:type="dxa"/>
              <w:bottom w:w="90" w:type="dxa"/>
              <w:right w:w="120" w:type="dxa"/>
            </w:tcMar>
          </w:tcPr>
          <w:p>
            <w:pPr>
              <w:spacing w:after="0"/>
              <w:jc w:val="center"/>
            </w:pPr>
            <w:r>
              <w:rPr>
                <w:rFonts w:ascii="Aptos" w:hAnsi="Aptos"/>
                <w:b/>
                <w:i w:val="0"/>
                <w:color w:val="FFFFFF"/>
                <w:sz w:val="17"/>
              </w:rPr>
              <w:t>Primary tasks</w:t>
            </w:r>
          </w:p>
        </w:tc>
        <w:tc>
          <w:tcPr>
            <w:tcW w:type="dxa" w:w="3260"/>
            <w:shd w:fill="20344A"/>
            <w:vAlign w:val="center"/>
            <w:tcMar>
              <w:top w:w="90" w:type="dxa"/>
              <w:left w:w="120" w:type="dxa"/>
              <w:bottom w:w="90" w:type="dxa"/>
              <w:right w:w="120" w:type="dxa"/>
            </w:tcMar>
          </w:tcPr>
          <w:p>
            <w:pPr>
              <w:spacing w:after="0"/>
              <w:jc w:val="center"/>
            </w:pPr>
            <w:r>
              <w:rPr>
                <w:rFonts w:ascii="Aptos" w:hAnsi="Aptos"/>
                <w:b/>
                <w:i w:val="0"/>
                <w:color w:val="FFFFFF"/>
                <w:sz w:val="17"/>
              </w:rPr>
              <w:t>Key restrictions</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Scheduler</w:t>
            </w:r>
          </w:p>
        </w:tc>
        <w:tc>
          <w:tcPr>
            <w:tcW w:type="dxa" w:w="4300"/>
            <w:vAlign w:val="center"/>
            <w:tcMar>
              <w:top w:w="90" w:type="dxa"/>
              <w:left w:w="120" w:type="dxa"/>
              <w:bottom w:w="90" w:type="dxa"/>
              <w:right w:w="120" w:type="dxa"/>
            </w:tcMar>
          </w:tcPr>
          <w:p>
            <w:pPr>
              <w:spacing w:after="0" w:line="259" w:lineRule="auto"/>
            </w:pPr>
            <w:r>
              <w:rPr>
                <w:rFonts w:ascii="Aptos" w:hAnsi="Aptos"/>
                <w:b w:val="0"/>
                <w:i w:val="0"/>
                <w:color w:val="1E252B"/>
                <w:sz w:val="16"/>
              </w:rPr>
              <w:t>Create requests, review options, confirm visits, manage waitlists, preview authorized rescheduling</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Cannot alter clinical policy or bypass feasibility checks</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Front desk</w:t>
            </w:r>
          </w:p>
        </w:tc>
        <w:tc>
          <w:tcPr>
            <w:tcW w:type="dxa" w:w="4300"/>
            <w:vAlign w:val="center"/>
            <w:tcMar>
              <w:top w:w="90" w:type="dxa"/>
              <w:left w:w="120" w:type="dxa"/>
              <w:bottom w:w="90" w:type="dxa"/>
              <w:right w:w="120" w:type="dxa"/>
            </w:tcMar>
          </w:tcPr>
          <w:p>
            <w:pPr>
              <w:spacing w:after="0" w:line="259" w:lineRule="auto"/>
            </w:pPr>
            <w:r>
              <w:rPr>
                <w:rFonts w:ascii="Aptos" w:hAnsi="Aptos"/>
                <w:b w:val="0"/>
                <w:i w:val="0"/>
                <w:color w:val="1E252B"/>
                <w:sz w:val="16"/>
              </w:rPr>
              <w:t>Find patients, manage arrivals and permitted outcomes, record contact results</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Sees only minimum necessary clinical context</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Clinical reviewer</w:t>
            </w:r>
          </w:p>
        </w:tc>
        <w:tc>
          <w:tcPr>
            <w:tcW w:type="dxa" w:w="4300"/>
            <w:vAlign w:val="center"/>
            <w:tcMar>
              <w:top w:w="90" w:type="dxa"/>
              <w:left w:w="120" w:type="dxa"/>
              <w:bottom w:w="90" w:type="dxa"/>
              <w:right w:w="120" w:type="dxa"/>
            </w:tcMar>
          </w:tcPr>
          <w:p>
            <w:pPr>
              <w:spacing w:after="0" w:line="259" w:lineRule="auto"/>
            </w:pPr>
            <w:r>
              <w:rPr>
                <w:rFonts w:ascii="Aptos" w:hAnsi="Aptos"/>
                <w:b w:val="0"/>
                <w:i w:val="0"/>
                <w:color w:val="1E252B"/>
                <w:sz w:val="16"/>
              </w:rPr>
              <w:t>Approve tags, urgency policy, procedures, phases, qualifications, calibration, and safety rules</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Does not gain security administration by default</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Administrator</w:t>
            </w:r>
          </w:p>
        </w:tc>
        <w:tc>
          <w:tcPr>
            <w:tcW w:type="dxa" w:w="4300"/>
            <w:vAlign w:val="center"/>
            <w:tcMar>
              <w:top w:w="90" w:type="dxa"/>
              <w:left w:w="120" w:type="dxa"/>
              <w:bottom w:w="90" w:type="dxa"/>
              <w:right w:w="120" w:type="dxa"/>
            </w:tcMar>
          </w:tcPr>
          <w:p>
            <w:pPr>
              <w:spacing w:after="0" w:line="259" w:lineRule="auto"/>
            </w:pPr>
            <w:r>
              <w:rPr>
                <w:rFonts w:ascii="Aptos" w:hAnsi="Aptos"/>
                <w:b w:val="0"/>
                <w:i w:val="0"/>
                <w:color w:val="1E252B"/>
                <w:sz w:val="16"/>
              </w:rPr>
              <w:t>Manage accounts, roles, calendars, resources, policy versions, local operations, and approved exports</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High-risk changes require reason, audit, and segregation where configured</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Privacy/security reviewer</w:t>
            </w:r>
          </w:p>
        </w:tc>
        <w:tc>
          <w:tcPr>
            <w:tcW w:type="dxa" w:w="4300"/>
            <w:vAlign w:val="center"/>
            <w:tcMar>
              <w:top w:w="90" w:type="dxa"/>
              <w:left w:w="120" w:type="dxa"/>
              <w:bottom w:w="90" w:type="dxa"/>
              <w:right w:w="120" w:type="dxa"/>
            </w:tcMar>
          </w:tcPr>
          <w:p>
            <w:pPr>
              <w:spacing w:after="0" w:line="259" w:lineRule="auto"/>
            </w:pPr>
            <w:r>
              <w:rPr>
                <w:rFonts w:ascii="Aptos" w:hAnsi="Aptos"/>
                <w:b w:val="0"/>
                <w:i w:val="0"/>
                <w:color w:val="1E252B"/>
                <w:sz w:val="16"/>
              </w:rPr>
              <w:t>Review access, audit evidence, control health, retention, exports, incidents, and release evidence</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Read-only unless separately assigned operational authority</w:t>
            </w:r>
          </w:p>
        </w:tc>
      </w:tr>
      <w:tr>
        <w:tc>
          <w:tcPr>
            <w:tcW w:type="dxa" w:w="1800"/>
            <w:vAlign w:val="center"/>
            <w:tcMar>
              <w:top w:w="90" w:type="dxa"/>
              <w:left w:w="120" w:type="dxa"/>
              <w:bottom w:w="90" w:type="dxa"/>
              <w:right w:w="120" w:type="dxa"/>
            </w:tcMar>
          </w:tcPr>
          <w:p>
            <w:pPr>
              <w:spacing w:after="0" w:line="259" w:lineRule="auto"/>
            </w:pPr>
            <w:r>
              <w:rPr>
                <w:rFonts w:ascii="Aptos" w:hAnsi="Aptos"/>
                <w:b w:val="0"/>
                <w:i w:val="0"/>
                <w:color w:val="1E252B"/>
                <w:sz w:val="16"/>
              </w:rPr>
              <w:t>System operator</w:t>
            </w:r>
          </w:p>
        </w:tc>
        <w:tc>
          <w:tcPr>
            <w:tcW w:type="dxa" w:w="4300"/>
            <w:vAlign w:val="center"/>
            <w:tcMar>
              <w:top w:w="90" w:type="dxa"/>
              <w:left w:w="120" w:type="dxa"/>
              <w:bottom w:w="90" w:type="dxa"/>
              <w:right w:w="120" w:type="dxa"/>
            </w:tcMar>
          </w:tcPr>
          <w:p>
            <w:pPr>
              <w:spacing w:after="0" w:line="259" w:lineRule="auto"/>
            </w:pPr>
            <w:r>
              <w:rPr>
                <w:rFonts w:ascii="Aptos" w:hAnsi="Aptos"/>
                <w:b w:val="0"/>
                <w:i w:val="0"/>
                <w:color w:val="1E252B"/>
                <w:sz w:val="16"/>
              </w:rPr>
              <w:t>Start, stop, back up, restore, monitor, update, and recover the local service</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Does not receive routine patient-content access merely by operating infrastructure</w:t>
            </w:r>
          </w:p>
        </w:tc>
      </w:tr>
    </w:tbl>
    <w:p>
      <w:pPr>
        <w:spacing w:after="60"/>
      </w:pPr>
    </w:p>
    <w:p>
      <w:pPr>
        <w:pStyle w:val="Heading2"/>
        <w:keepNext/>
      </w:pPr>
      <w:r>
        <w:rPr>
          <w:rFonts w:ascii="Aptos" w:hAnsi="Aptos"/>
          <w:b/>
          <w:i w:val="0"/>
          <w:color w:val="1C766C"/>
          <w:sz w:val="26"/>
        </w:rPr>
        <w:t>15.4 Core User Journeys</w:t>
      </w:r>
    </w:p>
    <w:tbl>
      <w:tblPr>
        <w:tblStyle w:val="TableGrid"/>
        <w:tblW w:type="dxa" w:w="9360"/>
        <w:jc w:val="left"/>
        <w:tblLayout w:type="fixed"/>
        <w:tblLook w:firstColumn="1" w:firstRow="1" w:lastColumn="0" w:lastRow="0" w:noHBand="0" w:noVBand="1" w:val="04A0"/>
        <w:tblInd w:type="dxa" w:w="120"/>
      </w:tblPr>
      <w:tblGrid>
        <w:gridCol w:w="2150"/>
        <w:gridCol w:w="3600"/>
        <w:gridCol w:w="3610"/>
      </w:tblGrid>
      <w:tr>
        <w:trPr>
          <w:tblHeader w:val="true"/>
        </w:trPr>
        <w:tc>
          <w:tcPr>
            <w:tcW w:type="dxa" w:w="2150"/>
            <w:shd w:fill="20344A"/>
            <w:vAlign w:val="center"/>
            <w:tcMar>
              <w:top w:w="90" w:type="dxa"/>
              <w:left w:w="120" w:type="dxa"/>
              <w:bottom w:w="90" w:type="dxa"/>
              <w:right w:w="120" w:type="dxa"/>
            </w:tcMar>
          </w:tcPr>
          <w:p>
            <w:pPr>
              <w:spacing w:after="0"/>
              <w:jc w:val="center"/>
            </w:pPr>
            <w:r>
              <w:rPr>
                <w:rFonts w:ascii="Aptos" w:hAnsi="Aptos"/>
                <w:b/>
                <w:i w:val="0"/>
                <w:color w:val="FFFFFF"/>
                <w:sz w:val="17"/>
              </w:rPr>
              <w:t>Journey</w:t>
            </w:r>
          </w:p>
        </w:tc>
        <w:tc>
          <w:tcPr>
            <w:tcW w:type="dxa" w:w="3600"/>
            <w:shd w:fill="20344A"/>
            <w:vAlign w:val="center"/>
            <w:tcMar>
              <w:top w:w="90" w:type="dxa"/>
              <w:left w:w="120" w:type="dxa"/>
              <w:bottom w:w="90" w:type="dxa"/>
              <w:right w:w="120" w:type="dxa"/>
            </w:tcMar>
          </w:tcPr>
          <w:p>
            <w:pPr>
              <w:spacing w:after="0"/>
              <w:jc w:val="center"/>
            </w:pPr>
            <w:r>
              <w:rPr>
                <w:rFonts w:ascii="Aptos" w:hAnsi="Aptos"/>
                <w:b/>
                <w:i w:val="0"/>
                <w:color w:val="FFFFFF"/>
                <w:sz w:val="17"/>
              </w:rPr>
              <w:t>Entry condition</w:t>
            </w:r>
          </w:p>
        </w:tc>
        <w:tc>
          <w:tcPr>
            <w:tcW w:type="dxa" w:w="3610"/>
            <w:shd w:fill="20344A"/>
            <w:vAlign w:val="center"/>
            <w:tcMar>
              <w:top w:w="90" w:type="dxa"/>
              <w:left w:w="120" w:type="dxa"/>
              <w:bottom w:w="90" w:type="dxa"/>
              <w:right w:w="120" w:type="dxa"/>
            </w:tcMar>
          </w:tcPr>
          <w:p>
            <w:pPr>
              <w:spacing w:after="0"/>
              <w:jc w:val="left"/>
            </w:pPr>
            <w:r>
              <w:rPr>
                <w:rFonts w:ascii="Aptos" w:hAnsi="Aptos"/>
                <w:b/>
                <w:i w:val="0"/>
                <w:color w:val="FFFFFF"/>
                <w:sz w:val="17"/>
              </w:rPr>
              <w:t>Successful end state</w:t>
            </w:r>
          </w:p>
        </w:tc>
      </w:tr>
      <w:tr>
        <w:tc>
          <w:tcPr>
            <w:tcW w:type="dxa" w:w="2150"/>
            <w:vAlign w:val="center"/>
            <w:tcMar>
              <w:top w:w="90" w:type="dxa"/>
              <w:left w:w="120" w:type="dxa"/>
              <w:bottom w:w="90" w:type="dxa"/>
              <w:right w:w="120" w:type="dxa"/>
            </w:tcMar>
          </w:tcPr>
          <w:p>
            <w:pPr>
              <w:spacing w:after="0" w:line="259" w:lineRule="auto"/>
            </w:pPr>
            <w:r>
              <w:rPr>
                <w:rFonts w:ascii="Aptos" w:hAnsi="Aptos"/>
                <w:b w:val="0"/>
                <w:i w:val="0"/>
                <w:color w:val="1E252B"/>
                <w:sz w:val="16"/>
              </w:rPr>
              <w:t>Schedule a new patient</w:t>
            </w:r>
          </w:p>
        </w:tc>
        <w:tc>
          <w:tcPr>
            <w:tcW w:type="dxa" w:w="3600"/>
            <w:vAlign w:val="center"/>
            <w:tcMar>
              <w:top w:w="90" w:type="dxa"/>
              <w:left w:w="120" w:type="dxa"/>
              <w:bottom w:w="90" w:type="dxa"/>
              <w:right w:w="120" w:type="dxa"/>
            </w:tcMar>
          </w:tcPr>
          <w:p>
            <w:pPr>
              <w:spacing w:after="0" w:line="259" w:lineRule="auto"/>
            </w:pPr>
            <w:r>
              <w:rPr>
                <w:rFonts w:ascii="Aptos" w:hAnsi="Aptos"/>
                <w:b w:val="0"/>
                <w:i w:val="0"/>
                <w:color w:val="1E252B"/>
                <w:sz w:val="16"/>
              </w:rPr>
              <w:t>Authorized user has identity, procedure, scheduling context, and acceptable window</w:t>
            </w:r>
          </w:p>
        </w:tc>
        <w:tc>
          <w:tcPr>
            <w:tcW w:type="dxa" w:w="3610"/>
            <w:vAlign w:val="center"/>
            <w:tcMar>
              <w:top w:w="90" w:type="dxa"/>
              <w:left w:w="120" w:type="dxa"/>
              <w:bottom w:w="90" w:type="dxa"/>
              <w:right w:w="120" w:type="dxa"/>
            </w:tcMar>
          </w:tcPr>
          <w:p>
            <w:pPr>
              <w:spacing w:after="0" w:line="259" w:lineRule="auto"/>
            </w:pPr>
            <w:r>
              <w:rPr>
                <w:rFonts w:ascii="Aptos" w:hAnsi="Aptos"/>
                <w:b w:val="0"/>
                <w:i w:val="0"/>
                <w:color w:val="1E252B"/>
                <w:sz w:val="16"/>
              </w:rPr>
              <w:t>One reviewed recommendation is transactionally confirmed with exact resources and audit evidence</w:t>
            </w:r>
          </w:p>
        </w:tc>
      </w:tr>
      <w:tr>
        <w:tc>
          <w:tcPr>
            <w:tcW w:type="dxa" w:w="2150"/>
            <w:vAlign w:val="center"/>
            <w:tcMar>
              <w:top w:w="90" w:type="dxa"/>
              <w:left w:w="120" w:type="dxa"/>
              <w:bottom w:w="90" w:type="dxa"/>
              <w:right w:w="120" w:type="dxa"/>
            </w:tcMar>
          </w:tcPr>
          <w:p>
            <w:pPr>
              <w:spacing w:after="0" w:line="259" w:lineRule="auto"/>
            </w:pPr>
            <w:r>
              <w:rPr>
                <w:rFonts w:ascii="Aptos" w:hAnsi="Aptos"/>
                <w:b w:val="0"/>
                <w:i w:val="0"/>
                <w:color w:val="1E252B"/>
                <w:sz w:val="16"/>
              </w:rPr>
              <w:t>Schedule an existing patient</w:t>
            </w:r>
          </w:p>
        </w:tc>
        <w:tc>
          <w:tcPr>
            <w:tcW w:type="dxa" w:w="36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 is uniquely identified and has no conflicting active visit</w:t>
            </w:r>
          </w:p>
        </w:tc>
        <w:tc>
          <w:tcPr>
            <w:tcW w:type="dxa" w:w="3610"/>
            <w:vAlign w:val="center"/>
            <w:tcMar>
              <w:top w:w="90" w:type="dxa"/>
              <w:left w:w="120" w:type="dxa"/>
              <w:bottom w:w="90" w:type="dxa"/>
              <w:right w:w="120" w:type="dxa"/>
            </w:tcMar>
          </w:tcPr>
          <w:p>
            <w:pPr>
              <w:spacing w:after="0" w:line="259" w:lineRule="auto"/>
            </w:pPr>
            <w:r>
              <w:rPr>
                <w:rFonts w:ascii="Aptos" w:hAnsi="Aptos"/>
                <w:b w:val="0"/>
                <w:i w:val="0"/>
                <w:color w:val="1E252B"/>
                <w:sz w:val="16"/>
              </w:rPr>
              <w:t>Request is linked to the correct patient and confirmed without duplicating identity</w:t>
            </w:r>
          </w:p>
        </w:tc>
      </w:tr>
      <w:tr>
        <w:tc>
          <w:tcPr>
            <w:tcW w:type="dxa" w:w="2150"/>
            <w:vAlign w:val="center"/>
            <w:tcMar>
              <w:top w:w="90" w:type="dxa"/>
              <w:left w:w="120" w:type="dxa"/>
              <w:bottom w:w="90" w:type="dxa"/>
              <w:right w:w="120" w:type="dxa"/>
            </w:tcMar>
          </w:tcPr>
          <w:p>
            <w:pPr>
              <w:spacing w:after="0" w:line="259" w:lineRule="auto"/>
            </w:pPr>
            <w:r>
              <w:rPr>
                <w:rFonts w:ascii="Aptos" w:hAnsi="Aptos"/>
                <w:b w:val="0"/>
                <w:i w:val="0"/>
                <w:color w:val="1E252B"/>
                <w:sz w:val="16"/>
              </w:rPr>
              <w:t>Handle an urgent request</w:t>
            </w:r>
          </w:p>
        </w:tc>
        <w:tc>
          <w:tcPr>
            <w:tcW w:type="dxa" w:w="3600"/>
            <w:vAlign w:val="center"/>
            <w:tcMar>
              <w:top w:w="90" w:type="dxa"/>
              <w:left w:w="120" w:type="dxa"/>
              <w:bottom w:w="90" w:type="dxa"/>
              <w:right w:w="120" w:type="dxa"/>
            </w:tcMar>
          </w:tcPr>
          <w:p>
            <w:pPr>
              <w:spacing w:after="0" w:line="259" w:lineRule="auto"/>
            </w:pPr>
            <w:r>
              <w:rPr>
                <w:rFonts w:ascii="Aptos" w:hAnsi="Aptos"/>
                <w:b w:val="0"/>
                <w:i w:val="0"/>
                <w:color w:val="1E252B"/>
                <w:sz w:val="16"/>
              </w:rPr>
              <w:t>Qualified staff or approved policy marks the request eligible</w:t>
            </w:r>
          </w:p>
        </w:tc>
        <w:tc>
          <w:tcPr>
            <w:tcW w:type="dxa" w:w="3610"/>
            <w:vAlign w:val="center"/>
            <w:tcMar>
              <w:top w:w="90" w:type="dxa"/>
              <w:left w:w="120" w:type="dxa"/>
              <w:bottom w:w="90" w:type="dxa"/>
              <w:right w:w="120" w:type="dxa"/>
            </w:tcMar>
          </w:tcPr>
          <w:p>
            <w:pPr>
              <w:spacing w:after="0" w:line="259" w:lineRule="auto"/>
            </w:pPr>
            <w:r>
              <w:rPr>
                <w:rFonts w:ascii="Aptos" w:hAnsi="Aptos"/>
                <w:b w:val="0"/>
                <w:i w:val="0"/>
                <w:color w:val="1E252B"/>
                <w:sz w:val="16"/>
              </w:rPr>
              <w:t>A feasible ordinary or protected-capacity option is confirmed without weakening constraints</w:t>
            </w:r>
          </w:p>
        </w:tc>
      </w:tr>
      <w:tr>
        <w:tc>
          <w:tcPr>
            <w:tcW w:type="dxa" w:w="2150"/>
            <w:vAlign w:val="center"/>
            <w:tcMar>
              <w:top w:w="90" w:type="dxa"/>
              <w:left w:w="120" w:type="dxa"/>
              <w:bottom w:w="90" w:type="dxa"/>
              <w:right w:w="120" w:type="dxa"/>
            </w:tcMar>
          </w:tcPr>
          <w:p>
            <w:pPr>
              <w:spacing w:after="0" w:line="259" w:lineRule="auto"/>
            </w:pPr>
            <w:r>
              <w:rPr>
                <w:rFonts w:ascii="Aptos" w:hAnsi="Aptos"/>
                <w:b w:val="0"/>
                <w:i w:val="0"/>
                <w:color w:val="1E252B"/>
                <w:sz w:val="16"/>
              </w:rPr>
              <w:t>Fill a cancellation</w:t>
            </w:r>
          </w:p>
        </w:tc>
        <w:tc>
          <w:tcPr>
            <w:tcW w:type="dxa" w:w="3600"/>
            <w:vAlign w:val="center"/>
            <w:tcMar>
              <w:top w:w="90" w:type="dxa"/>
              <w:left w:w="120" w:type="dxa"/>
              <w:bottom w:w="90" w:type="dxa"/>
              <w:right w:w="120" w:type="dxa"/>
            </w:tcMar>
          </w:tcPr>
          <w:p>
            <w:pPr>
              <w:spacing w:after="0" w:line="259" w:lineRule="auto"/>
            </w:pPr>
            <w:r>
              <w:rPr>
                <w:rFonts w:ascii="Aptos" w:hAnsi="Aptos"/>
                <w:b w:val="0"/>
                <w:i w:val="0"/>
                <w:color w:val="1E252B"/>
                <w:sz w:val="16"/>
              </w:rPr>
              <w:t>An active visit becomes inactive and releases resources</w:t>
            </w:r>
          </w:p>
        </w:tc>
        <w:tc>
          <w:tcPr>
            <w:tcW w:type="dxa" w:w="3610"/>
            <w:vAlign w:val="center"/>
            <w:tcMar>
              <w:top w:w="90" w:type="dxa"/>
              <w:left w:w="120" w:type="dxa"/>
              <w:bottom w:w="90" w:type="dxa"/>
              <w:right w:w="120" w:type="dxa"/>
            </w:tcMar>
          </w:tcPr>
          <w:p>
            <w:pPr>
              <w:spacing w:after="0" w:line="259" w:lineRule="auto"/>
            </w:pPr>
            <w:r>
              <w:rPr>
                <w:rFonts w:ascii="Aptos" w:hAnsi="Aptos"/>
                <w:b w:val="0"/>
                <w:i w:val="0"/>
                <w:color w:val="1E252B"/>
                <w:sz w:val="16"/>
              </w:rPr>
              <w:t>A compatible consented waitlist patient receives an offer and may be booked through normal confirmation</w:t>
            </w:r>
          </w:p>
        </w:tc>
      </w:tr>
      <w:tr>
        <w:tc>
          <w:tcPr>
            <w:tcW w:type="dxa" w:w="2150"/>
            <w:vAlign w:val="center"/>
            <w:tcMar>
              <w:top w:w="90" w:type="dxa"/>
              <w:left w:w="120" w:type="dxa"/>
              <w:bottom w:w="90" w:type="dxa"/>
              <w:right w:w="120" w:type="dxa"/>
            </w:tcMar>
          </w:tcPr>
          <w:p>
            <w:pPr>
              <w:spacing w:after="0" w:line="259" w:lineRule="auto"/>
            </w:pPr>
            <w:r>
              <w:rPr>
                <w:rFonts w:ascii="Aptos" w:hAnsi="Aptos"/>
                <w:b w:val="0"/>
                <w:i w:val="0"/>
                <w:color w:val="1E252B"/>
                <w:sz w:val="16"/>
              </w:rPr>
              <w:t>Process a walk-in</w:t>
            </w:r>
          </w:p>
        </w:tc>
        <w:tc>
          <w:tcPr>
            <w:tcW w:type="dxa" w:w="36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 is present and clinically triaged by qualified staff</w:t>
            </w:r>
          </w:p>
        </w:tc>
        <w:tc>
          <w:tcPr>
            <w:tcW w:type="dxa" w:w="3610"/>
            <w:vAlign w:val="center"/>
            <w:tcMar>
              <w:top w:w="90" w:type="dxa"/>
              <w:left w:w="120" w:type="dxa"/>
              <w:bottom w:w="90" w:type="dxa"/>
              <w:right w:w="120" w:type="dxa"/>
            </w:tcMar>
          </w:tcPr>
          <w:p>
            <w:pPr>
              <w:spacing w:after="0" w:line="259" w:lineRule="auto"/>
            </w:pPr>
            <w:r>
              <w:rPr>
                <w:rFonts w:ascii="Aptos" w:hAnsi="Aptos"/>
                <w:b w:val="0"/>
                <w:i w:val="0"/>
                <w:color w:val="1E252B"/>
                <w:sz w:val="16"/>
              </w:rPr>
              <w:t>A feasible visit is confirmed and arrival timestamps are tracked</w:t>
            </w:r>
          </w:p>
        </w:tc>
      </w:tr>
      <w:tr>
        <w:tc>
          <w:tcPr>
            <w:tcW w:type="dxa" w:w="2150"/>
            <w:vAlign w:val="center"/>
            <w:tcMar>
              <w:top w:w="90" w:type="dxa"/>
              <w:left w:w="120" w:type="dxa"/>
              <w:bottom w:w="90" w:type="dxa"/>
              <w:right w:w="120" w:type="dxa"/>
            </w:tcMar>
          </w:tcPr>
          <w:p>
            <w:pPr>
              <w:spacing w:after="0" w:line="259" w:lineRule="auto"/>
            </w:pPr>
            <w:r>
              <w:rPr>
                <w:rFonts w:ascii="Aptos" w:hAnsi="Aptos"/>
                <w:b w:val="0"/>
                <w:i w:val="0"/>
                <w:color w:val="1E252B"/>
                <w:sz w:val="16"/>
              </w:rPr>
              <w:t>Reschedule a locked visit</w:t>
            </w:r>
          </w:p>
        </w:tc>
        <w:tc>
          <w:tcPr>
            <w:tcW w:type="dxa" w:w="3600"/>
            <w:vAlign w:val="center"/>
            <w:tcMar>
              <w:top w:w="90" w:type="dxa"/>
              <w:left w:w="120" w:type="dxa"/>
              <w:bottom w:w="90" w:type="dxa"/>
              <w:right w:w="120" w:type="dxa"/>
            </w:tcMar>
          </w:tcPr>
          <w:p>
            <w:pPr>
              <w:spacing w:after="0" w:line="259" w:lineRule="auto"/>
            </w:pPr>
            <w:r>
              <w:rPr>
                <w:rFonts w:ascii="Aptos" w:hAnsi="Aptos"/>
                <w:b w:val="0"/>
                <w:i w:val="0"/>
                <w:color w:val="1E252B"/>
                <w:sz w:val="16"/>
              </w:rPr>
              <w:t>Authorized user needs a different exact slot</w:t>
            </w:r>
          </w:p>
        </w:tc>
        <w:tc>
          <w:tcPr>
            <w:tcW w:type="dxa" w:w="3610"/>
            <w:vAlign w:val="center"/>
            <w:tcMar>
              <w:top w:w="90" w:type="dxa"/>
              <w:left w:w="120" w:type="dxa"/>
              <w:bottom w:w="90" w:type="dxa"/>
              <w:right w:w="120" w:type="dxa"/>
            </w:tcMar>
          </w:tcPr>
          <w:p>
            <w:pPr>
              <w:spacing w:after="0" w:line="259" w:lineRule="auto"/>
            </w:pPr>
            <w:r>
              <w:rPr>
                <w:rFonts w:ascii="Aptos" w:hAnsi="Aptos"/>
                <w:b w:val="0"/>
                <w:i w:val="0"/>
                <w:color w:val="1E252B"/>
                <w:sz w:val="16"/>
              </w:rPr>
              <w:t>Original remains until a scoped permission and atomic replacement succeed</w:t>
            </w:r>
          </w:p>
        </w:tc>
      </w:tr>
      <w:tr>
        <w:tc>
          <w:tcPr>
            <w:tcW w:type="dxa" w:w="2150"/>
            <w:vAlign w:val="center"/>
            <w:tcMar>
              <w:top w:w="90" w:type="dxa"/>
              <w:left w:w="120" w:type="dxa"/>
              <w:bottom w:w="90" w:type="dxa"/>
              <w:right w:w="120" w:type="dxa"/>
            </w:tcMar>
          </w:tcPr>
          <w:p>
            <w:pPr>
              <w:spacing w:after="0" w:line="259" w:lineRule="auto"/>
            </w:pPr>
            <w:r>
              <w:rPr>
                <w:rFonts w:ascii="Aptos" w:hAnsi="Aptos"/>
                <w:b w:val="0"/>
                <w:i w:val="0"/>
                <w:color w:val="1E252B"/>
                <w:sz w:val="16"/>
              </w:rPr>
              <w:t>Manage a linked follow-up</w:t>
            </w:r>
          </w:p>
        </w:tc>
        <w:tc>
          <w:tcPr>
            <w:tcW w:type="dxa" w:w="3600"/>
            <w:vAlign w:val="center"/>
            <w:tcMar>
              <w:top w:w="90" w:type="dxa"/>
              <w:left w:w="120" w:type="dxa"/>
              <w:bottom w:w="90" w:type="dxa"/>
              <w:right w:w="120" w:type="dxa"/>
            </w:tcMar>
          </w:tcPr>
          <w:p>
            <w:pPr>
              <w:spacing w:after="0" w:line="259" w:lineRule="auto"/>
            </w:pPr>
            <w:r>
              <w:rPr>
                <w:rFonts w:ascii="Aptos" w:hAnsi="Aptos"/>
                <w:b w:val="0"/>
                <w:i w:val="0"/>
                <w:color w:val="1E252B"/>
                <w:sz w:val="16"/>
              </w:rPr>
              <w:t>A configured source procedure creates a future dependency</w:t>
            </w:r>
          </w:p>
        </w:tc>
        <w:tc>
          <w:tcPr>
            <w:tcW w:type="dxa" w:w="3610"/>
            <w:vAlign w:val="center"/>
            <w:tcMar>
              <w:top w:w="90" w:type="dxa"/>
              <w:left w:w="120" w:type="dxa"/>
              <w:bottom w:w="90" w:type="dxa"/>
              <w:right w:w="120" w:type="dxa"/>
            </w:tcMar>
          </w:tcPr>
          <w:p>
            <w:pPr>
              <w:spacing w:after="0" w:line="259" w:lineRule="auto"/>
            </w:pPr>
            <w:r>
              <w:rPr>
                <w:rFonts w:ascii="Aptos" w:hAnsi="Aptos"/>
                <w:b w:val="0"/>
                <w:i w:val="0"/>
                <w:color w:val="1E252B"/>
                <w:sz w:val="16"/>
              </w:rPr>
              <w:t>A separate accepted visit is confirmed inside the allowed lead-time window and linked to the source</w:t>
            </w:r>
          </w:p>
        </w:tc>
      </w:tr>
      <w:tr>
        <w:tc>
          <w:tcPr>
            <w:tcW w:type="dxa" w:w="2150"/>
            <w:vAlign w:val="center"/>
            <w:tcMar>
              <w:top w:w="90" w:type="dxa"/>
              <w:left w:w="120" w:type="dxa"/>
              <w:bottom w:w="90" w:type="dxa"/>
              <w:right w:w="120" w:type="dxa"/>
            </w:tcMar>
          </w:tcPr>
          <w:p>
            <w:pPr>
              <w:spacing w:after="0" w:line="259" w:lineRule="auto"/>
            </w:pPr>
            <w:r>
              <w:rPr>
                <w:rFonts w:ascii="Aptos" w:hAnsi="Aptos"/>
                <w:b w:val="0"/>
                <w:i w:val="0"/>
                <w:color w:val="1E252B"/>
                <w:sz w:val="16"/>
              </w:rPr>
              <w:t>Calibrate duration policy</w:t>
            </w:r>
          </w:p>
        </w:tc>
        <w:tc>
          <w:tcPr>
            <w:tcW w:type="dxa" w:w="3600"/>
            <w:vAlign w:val="center"/>
            <w:tcMar>
              <w:top w:w="90" w:type="dxa"/>
              <w:left w:w="120" w:type="dxa"/>
              <w:bottom w:w="90" w:type="dxa"/>
              <w:right w:w="120" w:type="dxa"/>
            </w:tcMar>
          </w:tcPr>
          <w:p>
            <w:pPr>
              <w:spacing w:after="0" w:line="259" w:lineRule="auto"/>
            </w:pPr>
            <w:r>
              <w:rPr>
                <w:rFonts w:ascii="Aptos" w:hAnsi="Aptos"/>
                <w:b w:val="0"/>
                <w:i w:val="0"/>
                <w:color w:val="1E252B"/>
                <w:sz w:val="16"/>
              </w:rPr>
              <w:t>Approved de-identified observations are available</w:t>
            </w:r>
          </w:p>
        </w:tc>
        <w:tc>
          <w:tcPr>
            <w:tcW w:type="dxa" w:w="3610"/>
            <w:vAlign w:val="center"/>
            <w:tcMar>
              <w:top w:w="90" w:type="dxa"/>
              <w:left w:w="120" w:type="dxa"/>
              <w:bottom w:w="90" w:type="dxa"/>
              <w:right w:w="120" w:type="dxa"/>
            </w:tcMar>
          </w:tcPr>
          <w:p>
            <w:pPr>
              <w:spacing w:after="0" w:line="259" w:lineRule="auto"/>
            </w:pPr>
            <w:r>
              <w:rPr>
                <w:rFonts w:ascii="Aptos" w:hAnsi="Aptos"/>
                <w:b w:val="0"/>
                <w:i w:val="0"/>
                <w:color w:val="1E252B"/>
                <w:sz w:val="16"/>
              </w:rPr>
              <w:t>A staged recommendation is reviewed and a new prospective policy version is explicitly approved</w:t>
            </w:r>
          </w:p>
        </w:tc>
      </w:tr>
    </w:tbl>
    <w:p>
      <w:pPr>
        <w:spacing w:after="60"/>
      </w:pPr>
    </w:p>
    <w:p>
      <w:pPr>
        <w:pStyle w:val="Heading2"/>
        <w:keepNext/>
      </w:pPr>
      <w:r>
        <w:rPr>
          <w:rFonts w:ascii="Aptos" w:hAnsi="Aptos"/>
          <w:b/>
          <w:i w:val="0"/>
          <w:color w:val="1C766C"/>
          <w:sz w:val="26"/>
        </w:rPr>
        <w:t>15.5 Functional Requirements — Identity and Access</w:t>
      </w:r>
    </w:p>
    <w:tbl>
      <w:tblPr>
        <w:tblStyle w:val="TableGrid"/>
        <w:tblW w:type="dxa" w:w="9360"/>
        <w:jc w:val="left"/>
        <w:tblLayout w:type="fixed"/>
        <w:tblLook w:firstColumn="1" w:firstRow="1" w:lastColumn="0" w:lastRow="0" w:noHBand="0" w:noVBand="1" w:val="04A0"/>
        <w:tblInd w:type="dxa" w:w="120"/>
      </w:tblPr>
      <w:tblGrid>
        <w:gridCol w:w="1450"/>
        <w:gridCol w:w="5050"/>
        <w:gridCol w:w="2860"/>
      </w:tblGrid>
      <w:tr>
        <w:trPr>
          <w:tblHeader w:val="true"/>
        </w:trPr>
        <w:tc>
          <w:tcPr>
            <w:tcW w:type="dxa" w:w="1450"/>
            <w:shd w:fill="20344A"/>
            <w:vAlign w:val="center"/>
            <w:tcMar>
              <w:top w:w="90" w:type="dxa"/>
              <w:left w:w="120" w:type="dxa"/>
              <w:bottom w:w="90" w:type="dxa"/>
              <w:right w:w="120" w:type="dxa"/>
            </w:tcMar>
          </w:tcPr>
          <w:p>
            <w:pPr>
              <w:spacing w:after="0"/>
              <w:jc w:val="center"/>
            </w:pPr>
            <w:r>
              <w:rPr>
                <w:rFonts w:ascii="Aptos" w:hAnsi="Aptos"/>
                <w:b/>
                <w:i w:val="0"/>
                <w:color w:val="FFFFFF"/>
                <w:sz w:val="17"/>
              </w:rPr>
              <w:t>ID</w:t>
            </w:r>
          </w:p>
        </w:tc>
        <w:tc>
          <w:tcPr>
            <w:tcW w:type="dxa" w:w="505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Requirement</w:t>
            </w:r>
          </w:p>
        </w:tc>
        <w:tc>
          <w:tcPr>
            <w:tcW w:type="dxa" w:w="2860"/>
            <w:shd w:fill="20344A"/>
            <w:vAlign w:val="center"/>
            <w:tcMar>
              <w:top w:w="90" w:type="dxa"/>
              <w:left w:w="120" w:type="dxa"/>
              <w:bottom w:w="90" w:type="dxa"/>
              <w:right w:w="120" w:type="dxa"/>
            </w:tcMar>
          </w:tcPr>
          <w:p>
            <w:pPr>
              <w:spacing w:after="0"/>
              <w:jc w:val="left"/>
            </w:pPr>
            <w:r>
              <w:rPr>
                <w:rFonts w:ascii="Aptos" w:hAnsi="Aptos"/>
                <w:b/>
                <w:i w:val="0"/>
                <w:color w:val="FFFFFF"/>
                <w:sz w:val="17"/>
              </w:rPr>
              <w:t>Acceptance evidence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FR-IAM-01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Every workforce user shall use a unique account; shared operational accounts are prohibited.</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Two users can be attributed independently in audit evidence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FR-IAM-02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server shall authenticate every protected request and terminate sessions according to approved inactivity and absolute-lifetime policy.</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Expired, revoked, and inactive sessions are rejected</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FR-IAM-03</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Authorization shall be enforced server-side by action and role, with deny-by-default behavior.</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Role matrix tests cover all protected operations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FR-IAM-04</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Account create, disable, recovery, role change, and privileged configuration change shall be audited without secrets.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Audit entries identify actor, target, action, result, and time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FR-IAM-05</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Patient search and view shall be limited to authorized job function and audited according to approved policy.</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Unauthorized lookup fails; authorized lookup records minimal evidence</w:t>
            </w:r>
          </w:p>
        </w:tc>
      </w:tr>
    </w:tbl>
    <w:p>
      <w:pPr>
        <w:spacing w:after="60"/>
      </w:pPr>
    </w:p>
    <w:p>
      <w:pPr>
        <w:pStyle w:val="Heading2"/>
        <w:keepNext/>
      </w:pPr>
      <w:r>
        <w:rPr>
          <w:rFonts w:ascii="Aptos" w:hAnsi="Aptos"/>
          <w:b/>
          <w:i w:val="0"/>
          <w:color w:val="1C766C"/>
          <w:sz w:val="26"/>
        </w:rPr>
        <w:t>15.6 Functional Requirements — Patient and Intake</w:t>
      </w:r>
    </w:p>
    <w:tbl>
      <w:tblPr>
        <w:tblStyle w:val="TableGrid"/>
        <w:tblW w:type="dxa" w:w="9360"/>
        <w:jc w:val="left"/>
        <w:tblLayout w:type="fixed"/>
        <w:tblLook w:firstColumn="1" w:firstRow="1" w:lastColumn="0" w:lastRow="0" w:noHBand="0" w:noVBand="1" w:val="04A0"/>
        <w:tblInd w:type="dxa" w:w="120"/>
      </w:tblPr>
      <w:tblGrid>
        <w:gridCol w:w="1450"/>
        <w:gridCol w:w="5050"/>
        <w:gridCol w:w="2860"/>
      </w:tblGrid>
      <w:tr>
        <w:trPr>
          <w:tblHeader w:val="true"/>
        </w:trPr>
        <w:tc>
          <w:tcPr>
            <w:tcW w:type="dxa" w:w="1450"/>
            <w:shd w:fill="20344A"/>
            <w:vAlign w:val="center"/>
            <w:tcMar>
              <w:top w:w="90" w:type="dxa"/>
              <w:left w:w="120" w:type="dxa"/>
              <w:bottom w:w="90" w:type="dxa"/>
              <w:right w:w="120" w:type="dxa"/>
            </w:tcMar>
          </w:tcPr>
          <w:p>
            <w:pPr>
              <w:spacing w:after="0"/>
              <w:jc w:val="center"/>
            </w:pPr>
            <w:r>
              <w:rPr>
                <w:rFonts w:ascii="Aptos" w:hAnsi="Aptos"/>
                <w:b/>
                <w:i w:val="0"/>
                <w:color w:val="FFFFFF"/>
                <w:sz w:val="17"/>
              </w:rPr>
              <w:t>ID</w:t>
            </w:r>
          </w:p>
        </w:tc>
        <w:tc>
          <w:tcPr>
            <w:tcW w:type="dxa" w:w="505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Requirement</w:t>
            </w:r>
          </w:p>
        </w:tc>
        <w:tc>
          <w:tcPr>
            <w:tcW w:type="dxa" w:w="2860"/>
            <w:shd w:fill="20344A"/>
            <w:vAlign w:val="center"/>
            <w:tcMar>
              <w:top w:w="90" w:type="dxa"/>
              <w:left w:w="120" w:type="dxa"/>
              <w:bottom w:w="90" w:type="dxa"/>
              <w:right w:w="120" w:type="dxa"/>
            </w:tcMar>
          </w:tcPr>
          <w:p>
            <w:pPr>
              <w:spacing w:after="0"/>
              <w:jc w:val="left"/>
            </w:pPr>
            <w:r>
              <w:rPr>
                <w:rFonts w:ascii="Aptos" w:hAnsi="Aptos"/>
                <w:b/>
                <w:i w:val="0"/>
                <w:color w:val="FFFFFF"/>
                <w:sz w:val="17"/>
              </w:rPr>
              <w:t>Acceptance evidence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FR-INT-01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user shall locate an existing patient by approved identifiers or create a new patient with a unique local record identifier.</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Duplicate identifier is rejected; name alone is not treated as unique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FR-INT-02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 scheduling request shall capture procedure, condition/context, complexity, date window, daily time windows, preferences, restrictions, and consent-dependent options as applicable.</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fields and cross-field validation are enforced</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FR-INT-03</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application shall minimize condition text and display a reminder that the field supports scheduling rather than diagnosis.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UI and server enforce length and permitted structure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FR-INT-04</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local model shall return only schema-valid allowlisted tags and confidence; deterministic rules shall validate or replace invalid output.</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Malformed, invented, or unavailable model output cannot block safe rules-only intake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FR-INT-05</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Low-confidence or policy-sensitive normalization shall require visible human review before confirmation.</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Confirmation remains disabled or explicitly acknowledged as policy requires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FR-INT-06</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request shall preserve source provenance for human, rule-derived, model-proposed, imported, and system-derived values.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A reviewer can identify the origin and version of each derived scheduling field</w:t>
            </w:r>
          </w:p>
        </w:tc>
      </w:tr>
    </w:tbl>
    <w:p>
      <w:pPr>
        <w:spacing w:after="60"/>
      </w:pPr>
    </w:p>
    <w:p>
      <w:pPr>
        <w:pStyle w:val="Heading2"/>
        <w:keepNext/>
      </w:pPr>
      <w:r>
        <w:rPr>
          <w:rFonts w:ascii="Aptos" w:hAnsi="Aptos"/>
          <w:b/>
          <w:i w:val="0"/>
          <w:color w:val="1C766C"/>
          <w:sz w:val="26"/>
        </w:rPr>
        <w:t>15.7 Functional Requirements — Recommendation and Annual Schedule</w:t>
      </w:r>
    </w:p>
    <w:tbl>
      <w:tblPr>
        <w:tblStyle w:val="TableGrid"/>
        <w:tblW w:type="dxa" w:w="9360"/>
        <w:jc w:val="left"/>
        <w:tblLayout w:type="fixed"/>
        <w:tblLook w:firstColumn="1" w:firstRow="1" w:lastColumn="0" w:lastRow="0" w:noHBand="0" w:noVBand="1" w:val="04A0"/>
        <w:tblInd w:type="dxa" w:w="120"/>
      </w:tblPr>
      <w:tblGrid>
        <w:gridCol w:w="1450"/>
        <w:gridCol w:w="5050"/>
        <w:gridCol w:w="2860"/>
      </w:tblGrid>
      <w:tr>
        <w:trPr>
          <w:tblHeader w:val="true"/>
        </w:trPr>
        <w:tc>
          <w:tcPr>
            <w:tcW w:type="dxa" w:w="1450"/>
            <w:shd w:fill="20344A"/>
            <w:vAlign w:val="center"/>
            <w:tcMar>
              <w:top w:w="90" w:type="dxa"/>
              <w:left w:w="120" w:type="dxa"/>
              <w:bottom w:w="90" w:type="dxa"/>
              <w:right w:w="120" w:type="dxa"/>
            </w:tcMar>
          </w:tcPr>
          <w:p>
            <w:pPr>
              <w:spacing w:after="0"/>
              <w:jc w:val="center"/>
            </w:pPr>
            <w:r>
              <w:rPr>
                <w:rFonts w:ascii="Aptos" w:hAnsi="Aptos"/>
                <w:b/>
                <w:i w:val="0"/>
                <w:color w:val="FFFFFF"/>
                <w:sz w:val="17"/>
              </w:rPr>
              <w:t>ID</w:t>
            </w:r>
          </w:p>
        </w:tc>
        <w:tc>
          <w:tcPr>
            <w:tcW w:type="dxa" w:w="505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Requirement</w:t>
            </w:r>
          </w:p>
        </w:tc>
        <w:tc>
          <w:tcPr>
            <w:tcW w:type="dxa" w:w="2860"/>
            <w:shd w:fill="20344A"/>
            <w:vAlign w:val="center"/>
            <w:tcMar>
              <w:top w:w="90" w:type="dxa"/>
              <w:left w:w="120" w:type="dxa"/>
              <w:bottom w:w="90" w:type="dxa"/>
              <w:right w:w="120" w:type="dxa"/>
            </w:tcMar>
          </w:tcPr>
          <w:p>
            <w:pPr>
              <w:spacing w:after="0"/>
              <w:jc w:val="left"/>
            </w:pPr>
            <w:r>
              <w:rPr>
                <w:rFonts w:ascii="Aptos" w:hAnsi="Aptos"/>
                <w:b/>
                <w:i w:val="0"/>
                <w:color w:val="FFFFFF"/>
                <w:sz w:val="17"/>
              </w:rPr>
              <w:t>Acceptance evidence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FR-SCH-01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engine shall search the requested portion of the rolling annual horizon in the facility timezone.</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Boundary, leap-year, and daylight-saving tests pass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FR-SCH-02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engine shall model each procedure as ordered phases with role, duration, room occupancy, equipment, setup, turnover, and buffers.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Returned phase plans exactly match the effective procedure policy</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FR-SCH-03</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engine shall enforce patient, provider, room, exclusive equipment, qualification, availability, leave, closure, supervision, protected-capacity, linked-visit, and locked-booking constraints.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Property and scenario tests find no violation</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FR-SCH-04</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engine shall rank only feasible candidates using versioned soft-objective policy and a deterministic tie-break order.</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Repeated identical snapshots return identical ordering</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FR-SCH-05</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Each recommendation shall include provider, local date/time and timezone, start/end, room, phase/resource plan, score factors, policy version, and expiry.</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UI and service contract expose all required fields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FR-SCH-06</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When no slot exists, the system shall return the searched window, binding constraint categories, and safe next actions without weakening any constraint.</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No-result scenarios identify reproducible blockers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FR-SCH-07</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UI shall navigate the full rolling year and show recurring hours, dated overrides, closures, leave, protected blocks, and confirmed visits.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Users can reach any date in the horizon without pre-creating slots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FR-SCH-08</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Search shall be bounded by approved execution and result limits; timeout shall never create or move an appointment.</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Timeout returns a safe error and leaves protected state unchanged</w:t>
            </w:r>
          </w:p>
        </w:tc>
      </w:tr>
    </w:tbl>
    <w:p>
      <w:pPr>
        <w:spacing w:after="60"/>
      </w:pPr>
    </w:p>
    <w:p>
      <w:pPr>
        <w:pStyle w:val="Heading2"/>
        <w:keepNext/>
      </w:pPr>
      <w:r>
        <w:rPr>
          <w:rFonts w:ascii="Aptos" w:hAnsi="Aptos"/>
          <w:b/>
          <w:i w:val="0"/>
          <w:color w:val="1C766C"/>
          <w:sz w:val="26"/>
        </w:rPr>
        <w:t>15.8 Functional Requirements — Confirmation and Rescheduling</w:t>
      </w:r>
    </w:p>
    <w:tbl>
      <w:tblPr>
        <w:tblStyle w:val="TableGrid"/>
        <w:tblW w:type="dxa" w:w="9360"/>
        <w:jc w:val="left"/>
        <w:tblLayout w:type="fixed"/>
        <w:tblLook w:firstColumn="1" w:firstRow="1" w:lastColumn="0" w:lastRow="0" w:noHBand="0" w:noVBand="1" w:val="04A0"/>
        <w:tblInd w:type="dxa" w:w="120"/>
      </w:tblPr>
      <w:tblGrid>
        <w:gridCol w:w="1450"/>
        <w:gridCol w:w="5050"/>
        <w:gridCol w:w="2860"/>
      </w:tblGrid>
      <w:tr>
        <w:trPr>
          <w:tblHeader w:val="true"/>
        </w:trPr>
        <w:tc>
          <w:tcPr>
            <w:tcW w:type="dxa" w:w="1450"/>
            <w:shd w:fill="20344A"/>
            <w:vAlign w:val="center"/>
            <w:tcMar>
              <w:top w:w="90" w:type="dxa"/>
              <w:left w:w="120" w:type="dxa"/>
              <w:bottom w:w="90" w:type="dxa"/>
              <w:right w:w="120" w:type="dxa"/>
            </w:tcMar>
          </w:tcPr>
          <w:p>
            <w:pPr>
              <w:spacing w:after="0"/>
              <w:jc w:val="center"/>
            </w:pPr>
            <w:r>
              <w:rPr>
                <w:rFonts w:ascii="Aptos" w:hAnsi="Aptos"/>
                <w:b/>
                <w:i w:val="0"/>
                <w:color w:val="FFFFFF"/>
                <w:sz w:val="17"/>
              </w:rPr>
              <w:t>ID</w:t>
            </w:r>
          </w:p>
        </w:tc>
        <w:tc>
          <w:tcPr>
            <w:tcW w:type="dxa" w:w="505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Requirement</w:t>
            </w:r>
          </w:p>
        </w:tc>
        <w:tc>
          <w:tcPr>
            <w:tcW w:type="dxa" w:w="2860"/>
            <w:shd w:fill="20344A"/>
            <w:vAlign w:val="center"/>
            <w:tcMar>
              <w:top w:w="90" w:type="dxa"/>
              <w:left w:w="120" w:type="dxa"/>
              <w:bottom w:w="90" w:type="dxa"/>
              <w:right w:w="120" w:type="dxa"/>
            </w:tcMar>
          </w:tcPr>
          <w:p>
            <w:pPr>
              <w:spacing w:after="0"/>
              <w:jc w:val="left"/>
            </w:pPr>
            <w:r>
              <w:rPr>
                <w:rFonts w:ascii="Aptos" w:hAnsi="Aptos"/>
                <w:b/>
                <w:i w:val="0"/>
                <w:color w:val="FFFFFF"/>
                <w:sz w:val="17"/>
              </w:rPr>
              <w:t>Acceptance evidence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FR-BOOK-01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 recommendation shall remain advisory and consume no capacity until an authorized user explicitly confirms it.</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Recommendation creation causes no active reservation</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FR-BOOK-02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Confirmation shall recheck recommendation state, policy, qualification, patient availability, and every resource inside one transaction.</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A stale or conflicting candidate rolls back completely</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FR-BOOK-03</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Confirmation shall materialize the appointment, ordered phases, room occupancy, equipment units, status history, and audit event atomically.</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No partial appointment can survive a failed transaction</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FR-BOOK-04</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Protected create and confirm operations shall support scoped idempotency so a retry cannot duplicate a visit or audit event.</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Repeated identical request returns the original outcome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FR-RS-01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 confirmed appointment shall be treated as locked by all ordinary optimization and administrative operations.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Mutation attempts without permission fail and preserve protected fields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FR-RS-02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 reschedule preview shall be hypothetical and shall not change the live calendar or any third-party locked visit.</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Snapshot comparison proves no live mutation</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FR-RS-03</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Execution shall require authorized role, meaningful reason, explicit acknowledgement, current appointment version, and a short-lived single-use permission bound to exact old/new values.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Missing or mismatched evidence is rejected</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FR-RS-04</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exact replacement and its resource plan shall be revalidated and committed atomically with old/new audit evidence.</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Concurrent conflict leaves the original confirmed visit intact</w:t>
            </w:r>
          </w:p>
        </w:tc>
      </w:tr>
    </w:tbl>
    <w:p>
      <w:pPr>
        <w:spacing w:after="60"/>
      </w:pPr>
    </w:p>
    <w:p>
      <w:pPr>
        <w:pStyle w:val="Heading2"/>
        <w:keepNext/>
      </w:pPr>
      <w:r>
        <w:rPr>
          <w:rFonts w:ascii="Aptos" w:hAnsi="Aptos"/>
          <w:b/>
          <w:i w:val="0"/>
          <w:color w:val="1C766C"/>
          <w:sz w:val="26"/>
        </w:rPr>
        <w:t>15.9 Functional Requirements — Daily Operations</w:t>
      </w:r>
    </w:p>
    <w:tbl>
      <w:tblPr>
        <w:tblStyle w:val="TableGrid"/>
        <w:tblW w:type="dxa" w:w="9360"/>
        <w:jc w:val="left"/>
        <w:tblLayout w:type="fixed"/>
        <w:tblLook w:firstColumn="1" w:firstRow="1" w:lastColumn="0" w:lastRow="0" w:noHBand="0" w:noVBand="1" w:val="04A0"/>
        <w:tblInd w:type="dxa" w:w="120"/>
      </w:tblPr>
      <w:tblGrid>
        <w:gridCol w:w="1450"/>
        <w:gridCol w:w="5050"/>
        <w:gridCol w:w="2860"/>
      </w:tblGrid>
      <w:tr>
        <w:trPr>
          <w:tblHeader w:val="true"/>
        </w:trPr>
        <w:tc>
          <w:tcPr>
            <w:tcW w:type="dxa" w:w="1450"/>
            <w:shd w:fill="20344A"/>
            <w:vAlign w:val="center"/>
            <w:tcMar>
              <w:top w:w="90" w:type="dxa"/>
              <w:left w:w="120" w:type="dxa"/>
              <w:bottom w:w="90" w:type="dxa"/>
              <w:right w:w="120" w:type="dxa"/>
            </w:tcMar>
          </w:tcPr>
          <w:p>
            <w:pPr>
              <w:spacing w:after="0"/>
              <w:jc w:val="center"/>
            </w:pPr>
            <w:r>
              <w:rPr>
                <w:rFonts w:ascii="Aptos" w:hAnsi="Aptos"/>
                <w:b/>
                <w:i w:val="0"/>
                <w:color w:val="FFFFFF"/>
                <w:sz w:val="17"/>
              </w:rPr>
              <w:t>ID</w:t>
            </w:r>
          </w:p>
        </w:tc>
        <w:tc>
          <w:tcPr>
            <w:tcW w:type="dxa" w:w="505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Requirement</w:t>
            </w:r>
          </w:p>
        </w:tc>
        <w:tc>
          <w:tcPr>
            <w:tcW w:type="dxa" w:w="2860"/>
            <w:shd w:fill="20344A"/>
            <w:vAlign w:val="center"/>
            <w:tcMar>
              <w:top w:w="90" w:type="dxa"/>
              <w:left w:w="120" w:type="dxa"/>
              <w:bottom w:w="90" w:type="dxa"/>
              <w:right w:w="120" w:type="dxa"/>
            </w:tcMar>
          </w:tcPr>
          <w:p>
            <w:pPr>
              <w:spacing w:after="0"/>
              <w:jc w:val="left"/>
            </w:pPr>
            <w:r>
              <w:rPr>
                <w:rFonts w:ascii="Aptos" w:hAnsi="Aptos"/>
                <w:b/>
                <w:i w:val="0"/>
                <w:color w:val="FFFFFF"/>
                <w:sz w:val="17"/>
              </w:rPr>
              <w:t>Acceptance evidence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FR-OPS-01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Authorized users shall transition confirmed visits to completed, cancelled, or no-show without deleting history.</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State history and audit remain available after capacity release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FR-OPS-02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daily board shall support check-in, seating, and completion timestamps with valid sequence and role checks.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Invalid order is rejected; scheduled interval remains unchanged</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FR-OPS-03</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Walk-ins shall use the standard feasibility and confirmation path after qualified clinical triage.</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Walk-in cannot bypass room, provider, equipment, or supervision rules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FR-OPS-04</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Cancellation or no-show shall release active reservations and may return compatible waitlist demand for staff action.</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Historical appointment persists while capacity becomes searchable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FR-WL-01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Waitlist enrollment shall record consent, procedure, window, preferences, priority, expiry, and minimum necessary notes.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Entry cannot be offered outside consent and availability</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FR-WL-02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 match or offer shall not create an appointment; acceptance shall use ordinary transactional confirmation.</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Offered and scheduled states remain distinct</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FR-WL-03</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Contact attempts shall record channel, outcome, actor, time, and approved incentive data without uncontrolled clinical narrative.</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Contact history is auditable and minimal</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FR-URG-01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Protected urgent capacity shall be created, consumed, released, and reported according to effective policy.</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Ordinary requests cannot consume protected time before release unless eligible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FR-LINK-01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Configured multi-visit procedures shall create linked future scheduling needs with enforceable minimum and maximum lead times.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Follow-up recommendation outside the window is rejected</w:t>
            </w:r>
          </w:p>
        </w:tc>
      </w:tr>
    </w:tbl>
    <w:p>
      <w:pPr>
        <w:spacing w:after="60"/>
      </w:pPr>
    </w:p>
    <w:p>
      <w:pPr>
        <w:pStyle w:val="Heading2"/>
        <w:keepNext/>
      </w:pPr>
      <w:r>
        <w:rPr>
          <w:rFonts w:ascii="Aptos" w:hAnsi="Aptos"/>
          <w:b/>
          <w:i w:val="0"/>
          <w:color w:val="1C766C"/>
          <w:sz w:val="26"/>
        </w:rPr>
        <w:t>15.10 Functional Requirements — Administration, Calibration, and Evidence</w:t>
      </w:r>
    </w:p>
    <w:tbl>
      <w:tblPr>
        <w:tblStyle w:val="TableGrid"/>
        <w:tblW w:type="dxa" w:w="9360"/>
        <w:jc w:val="left"/>
        <w:tblLayout w:type="fixed"/>
        <w:tblLook w:firstColumn="1" w:firstRow="1" w:lastColumn="0" w:lastRow="0" w:noHBand="0" w:noVBand="1" w:val="04A0"/>
        <w:tblInd w:type="dxa" w:w="120"/>
      </w:tblPr>
      <w:tblGrid>
        <w:gridCol w:w="1450"/>
        <w:gridCol w:w="5050"/>
        <w:gridCol w:w="2860"/>
      </w:tblGrid>
      <w:tr>
        <w:trPr>
          <w:tblHeader w:val="true"/>
        </w:trPr>
        <w:tc>
          <w:tcPr>
            <w:tcW w:type="dxa" w:w="1450"/>
            <w:shd w:fill="20344A"/>
            <w:vAlign w:val="center"/>
            <w:tcMar>
              <w:top w:w="90" w:type="dxa"/>
              <w:left w:w="120" w:type="dxa"/>
              <w:bottom w:w="90" w:type="dxa"/>
              <w:right w:w="120" w:type="dxa"/>
            </w:tcMar>
          </w:tcPr>
          <w:p>
            <w:pPr>
              <w:spacing w:after="0"/>
              <w:jc w:val="center"/>
            </w:pPr>
            <w:r>
              <w:rPr>
                <w:rFonts w:ascii="Aptos" w:hAnsi="Aptos"/>
                <w:b/>
                <w:i w:val="0"/>
                <w:color w:val="FFFFFF"/>
                <w:sz w:val="17"/>
              </w:rPr>
              <w:t>ID</w:t>
            </w:r>
          </w:p>
        </w:tc>
        <w:tc>
          <w:tcPr>
            <w:tcW w:type="dxa" w:w="505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Requirement</w:t>
            </w:r>
          </w:p>
        </w:tc>
        <w:tc>
          <w:tcPr>
            <w:tcW w:type="dxa" w:w="2860"/>
            <w:shd w:fill="20344A"/>
            <w:vAlign w:val="center"/>
            <w:tcMar>
              <w:top w:w="90" w:type="dxa"/>
              <w:left w:w="120" w:type="dxa"/>
              <w:bottom w:w="90" w:type="dxa"/>
              <w:right w:w="120" w:type="dxa"/>
            </w:tcMar>
          </w:tcPr>
          <w:p>
            <w:pPr>
              <w:spacing w:after="0"/>
              <w:jc w:val="left"/>
            </w:pPr>
            <w:r>
              <w:rPr>
                <w:rFonts w:ascii="Aptos" w:hAnsi="Aptos"/>
                <w:b/>
                <w:i w:val="0"/>
                <w:color w:val="FFFFFF"/>
                <w:sz w:val="17"/>
              </w:rPr>
              <w:t>Acceptance evidence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FR-ADM-01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Authorized administrators shall manage effective-dated hours, exceptions, shifts, cover, leave, rooms, capabilities, equipment, procedure phases, qualifications, targets, protected blocks, and ranking policy.</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Change history identifies actor, reason, effective date, and version</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FR-ADM-02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Policy changes shall apply prospectively according to effective date and shall not silently rewrite confirmed appointments.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Existing protected records remain unchanged</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FR-CAL-00</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Scheduling shall remain fully operational from versioned reference defaults when no local duration observations exist; the deploying practice shall validate or edit those defaults before real-patient use.</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A new installation can search and book without importing historical data</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FR-CAL-01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The system may collect de-identified duration observations from completed visits and optional imports, and shall reject patient identifiers, unknown entities, invalid durations, and uncontrolled fields.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Native collection contains no patient fields; import validation produces row-level safe errors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FR-CAL-02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Calibration shall stage recommendations only after the configured evidence threshold, with sample size and distribution evidence, and shall never auto-apply them.</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Insufficient evidence leaves defaults active; unapproved recommendations do not affect scheduling</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FR-CAL-03</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An authorized clinical or administrative reviewer shall approve or reject a proposed duration change with reason and a new policy version.</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Decision and prospective effect are auditable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FR-AUD-01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security and scheduling events shall be append-only or tamper-evident and shall minimize patient content.</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Audit mutation is prevented and required event coverage is tested</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FR-EXP-01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Export and print shall be separately authorized, minimum necessary, destination-controlled, and audited.</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Unauthorized export fails; approved output omits unrequested fields</w:t>
            </w:r>
          </w:p>
        </w:tc>
      </w:tr>
    </w:tbl>
    <w:p>
      <w:pPr>
        <w:spacing w:after="60"/>
      </w:pPr>
    </w:p>
    <w:p>
      <w:pPr>
        <w:pStyle w:val="Heading2"/>
        <w:keepNext/>
      </w:pPr>
      <w:r>
        <w:rPr>
          <w:rFonts w:ascii="Aptos" w:hAnsi="Aptos"/>
          <w:b/>
          <w:i w:val="0"/>
          <w:color w:val="1C766C"/>
          <w:sz w:val="26"/>
        </w:rPr>
        <w:t>15.11 Screen-Level Product Specification</w:t>
      </w:r>
    </w:p>
    <w:tbl>
      <w:tblPr>
        <w:tblStyle w:val="TableGrid"/>
        <w:tblW w:type="dxa" w:w="9360"/>
        <w:jc w:val="left"/>
        <w:tblLayout w:type="fixed"/>
        <w:tblLook w:firstColumn="1" w:firstRow="1" w:lastColumn="0" w:lastRow="0" w:noHBand="0" w:noVBand="1" w:val="04A0"/>
        <w:tblInd w:type="dxa" w:w="120"/>
      </w:tblPr>
      <w:tblGrid>
        <w:gridCol w:w="1850"/>
        <w:gridCol w:w="5000"/>
        <w:gridCol w:w="2510"/>
      </w:tblGrid>
      <w:tr>
        <w:trPr>
          <w:tblHeader w:val="true"/>
        </w:trPr>
        <w:tc>
          <w:tcPr>
            <w:tcW w:type="dxa" w:w="1850"/>
            <w:shd w:fill="20344A"/>
            <w:vAlign w:val="center"/>
            <w:tcMar>
              <w:top w:w="90" w:type="dxa"/>
              <w:left w:w="120" w:type="dxa"/>
              <w:bottom w:w="90" w:type="dxa"/>
              <w:right w:w="120" w:type="dxa"/>
            </w:tcMar>
          </w:tcPr>
          <w:p>
            <w:pPr>
              <w:spacing w:after="0"/>
              <w:jc w:val="left"/>
            </w:pPr>
            <w:r>
              <w:rPr>
                <w:rFonts w:ascii="Aptos" w:hAnsi="Aptos"/>
                <w:b/>
                <w:i w:val="0"/>
                <w:color w:val="FFFFFF"/>
                <w:sz w:val="17"/>
              </w:rPr>
              <w:t>Screen or component</w:t>
            </w:r>
          </w:p>
        </w:tc>
        <w:tc>
          <w:tcPr>
            <w:tcW w:type="dxa" w:w="5000"/>
            <w:shd w:fill="20344A"/>
            <w:vAlign w:val="center"/>
            <w:tcMar>
              <w:top w:w="90" w:type="dxa"/>
              <w:left w:w="120" w:type="dxa"/>
              <w:bottom w:w="90" w:type="dxa"/>
              <w:right w:w="120" w:type="dxa"/>
            </w:tcMar>
          </w:tcPr>
          <w:p>
            <w:pPr>
              <w:spacing w:after="0"/>
              <w:jc w:val="left"/>
            </w:pPr>
            <w:r>
              <w:rPr>
                <w:rFonts w:ascii="Aptos" w:hAnsi="Aptos"/>
                <w:b/>
                <w:i w:val="0"/>
                <w:color w:val="FFFFFF"/>
                <w:sz w:val="17"/>
              </w:rPr>
              <w:t>Required content and actions</w:t>
            </w:r>
          </w:p>
        </w:tc>
        <w:tc>
          <w:tcPr>
            <w:tcW w:type="dxa" w:w="2510"/>
            <w:shd w:fill="20344A"/>
            <w:vAlign w:val="center"/>
            <w:tcMar>
              <w:top w:w="90" w:type="dxa"/>
              <w:left w:w="120" w:type="dxa"/>
              <w:bottom w:w="90" w:type="dxa"/>
              <w:right w:w="120" w:type="dxa"/>
            </w:tcMar>
          </w:tcPr>
          <w:p>
            <w:pPr>
              <w:spacing w:after="0"/>
              <w:jc w:val="center"/>
            </w:pPr>
            <w:r>
              <w:rPr>
                <w:rFonts w:ascii="Aptos" w:hAnsi="Aptos"/>
                <w:b/>
                <w:i w:val="0"/>
                <w:color w:val="FFFFFF"/>
                <w:sz w:val="17"/>
              </w:rPr>
              <w:t>Important states</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Sign in</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User identifier, authentication factor(s), clear error, recovery/break-glass route according to policy</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initial, submitting, success, generic failure, locked/disabled, session expired</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Dashboard</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Today summary, urgent demand, arrivals, waitlist opportunities, capacity/control health appropriate to role</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loading, normal, degraded, downtime, no authorized data</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Patient search/create</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Approved search keys, unambiguous result identity, duplicate prevention, minimum new-patient fields</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no match, one match, multiple matches, restricted, validation error</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Schedule request</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 procedure, condition/context, complexity, dates, daily windows, preferences, restrictions, consent, model-review result</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draft, validating, model fallback, review required, ready, error</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Recommendations</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Ranked options, provider/timezone, phase/resource strip, explanation, expiry, blocking categories, confirm action</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searching, feasible, none, expired, stale, timeout, conflict</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Confirmation dialog</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Exact selected appointment, patient/procedure summary, resource plan, explicit create-booking language</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ready, submitting, confirmed, stale/conflict, authorization failure</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Calendar</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Day/week/year navigation, provider/room filters, hours, closures, leave, protected blocks, active visits</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loading, empty, partial authorization, degraded read-only</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Appointment detail</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Scheduled interval, provider, room, phases, resources, status, links, history, permitted actions</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confirmed, arrival substates, completed, cancelled, no-show</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Reschedule dialog</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Original immutable summary, alternatives, exact replacement, reason, acknowledgement, permission expiry</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preview, permission required, authorized, conflict, expired, committed</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Today board</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Arrival queue, scheduled time, check-in/seating/completion actions, wait indicators, role-limited context</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not arrived, checked in, seated, completed, cancelled, no-show</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Waitlist</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Consent, request, window, preferences, priority, contact history, offer, match and confirm handoff</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active, offered, scheduled, declined, expired</w:t>
            </w:r>
          </w:p>
        </w:tc>
      </w:tr>
      <w:tr>
        <w:tc>
          <w:tcPr>
            <w:tcW w:type="dxa" w:w="1850"/>
            <w:vAlign w:val="center"/>
            <w:tcMar>
              <w:top w:w="90" w:type="dxa"/>
              <w:left w:w="120" w:type="dxa"/>
              <w:bottom w:w="90" w:type="dxa"/>
              <w:right w:w="120" w:type="dxa"/>
            </w:tcMar>
          </w:tcPr>
          <w:p>
            <w:pPr>
              <w:spacing w:after="0" w:line="259" w:lineRule="auto"/>
            </w:pPr>
            <w:r>
              <w:rPr>
                <w:rFonts w:ascii="Aptos" w:hAnsi="Aptos"/>
                <w:b w:val="0"/>
                <w:i w:val="0"/>
                <w:color w:val="1E252B"/>
                <w:sz w:val="16"/>
              </w:rPr>
              <w:t>Administration</w:t>
            </w:r>
          </w:p>
        </w:tc>
        <w:tc>
          <w:tcPr>
            <w:tcW w:type="dxa" w:w="5000"/>
            <w:vAlign w:val="center"/>
            <w:tcMar>
              <w:top w:w="90" w:type="dxa"/>
              <w:left w:w="120" w:type="dxa"/>
              <w:bottom w:w="90" w:type="dxa"/>
              <w:right w:w="120" w:type="dxa"/>
            </w:tcMar>
          </w:tcPr>
          <w:p>
            <w:pPr>
              <w:spacing w:after="0" w:line="259" w:lineRule="auto"/>
            </w:pPr>
            <w:r>
              <w:rPr>
                <w:rFonts w:ascii="Aptos" w:hAnsi="Aptos"/>
                <w:b w:val="0"/>
                <w:i w:val="0"/>
                <w:color w:val="1E252B"/>
                <w:sz w:val="16"/>
              </w:rPr>
              <w:t>Versioned policy editors, users/roles, resources, procedures, qualifications, calendars, calibration, audit search</w:t>
            </w:r>
          </w:p>
        </w:tc>
        <w:tc>
          <w:tcPr>
            <w:tcW w:type="dxa" w:w="2510"/>
            <w:vAlign w:val="center"/>
            <w:tcMar>
              <w:top w:w="90" w:type="dxa"/>
              <w:left w:w="120" w:type="dxa"/>
              <w:bottom w:w="90" w:type="dxa"/>
              <w:right w:w="120" w:type="dxa"/>
            </w:tcMar>
          </w:tcPr>
          <w:p>
            <w:pPr>
              <w:spacing w:after="0" w:line="259" w:lineRule="auto"/>
            </w:pPr>
            <w:r>
              <w:rPr>
                <w:rFonts w:ascii="Aptos" w:hAnsi="Aptos"/>
                <w:b w:val="0"/>
                <w:i w:val="0"/>
                <w:color w:val="1E252B"/>
                <w:sz w:val="16"/>
              </w:rPr>
              <w:t>view, draft, validation error, approval required, effective, superseded</w:t>
            </w:r>
          </w:p>
        </w:tc>
      </w:tr>
    </w:tbl>
    <w:p>
      <w:pPr>
        <w:spacing w:after="60"/>
      </w:pPr>
    </w:p>
    <w:p>
      <w:pPr>
        <w:pStyle w:val="Heading2"/>
        <w:keepNext/>
      </w:pPr>
      <w:r>
        <w:rPr>
          <w:rFonts w:ascii="Aptos" w:hAnsi="Aptos"/>
          <w:b/>
          <w:i w:val="0"/>
          <w:color w:val="1C766C"/>
          <w:sz w:val="26"/>
        </w:rPr>
        <w:t>15.12 Input and Output Contracts</w:t>
      </w:r>
    </w:p>
    <w:p>
      <w:pPr>
        <w:pStyle w:val="Heading3"/>
        <w:keepNext/>
      </w:pPr>
      <w:r>
        <w:rPr>
          <w:rFonts w:ascii="Aptos" w:hAnsi="Aptos"/>
          <w:b/>
          <w:i w:val="0"/>
          <w:color w:val="20344A"/>
          <w:sz w:val="22"/>
        </w:rPr>
        <w:t>Scheduling Request Contract</w:t>
      </w:r>
    </w:p>
    <w:tbl>
      <w:tblPr>
        <w:tblStyle w:val="TableGrid"/>
        <w:tblW w:type="dxa" w:w="9360"/>
        <w:jc w:val="left"/>
        <w:tblLayout w:type="fixed"/>
        <w:tblLook w:firstColumn="1" w:firstRow="1" w:lastColumn="0" w:lastRow="0" w:noHBand="0" w:noVBand="1" w:val="04A0"/>
        <w:tblInd w:type="dxa" w:w="120"/>
      </w:tblPr>
      <w:tblGrid>
        <w:gridCol w:w="2200"/>
        <w:gridCol w:w="3900"/>
        <w:gridCol w:w="3260"/>
      </w:tblGrid>
      <w:tr>
        <w:trPr>
          <w:tblHeader w:val="true"/>
        </w:trPr>
        <w:tc>
          <w:tcPr>
            <w:tcW w:type="dxa" w:w="2200"/>
            <w:shd w:fill="20344A"/>
            <w:vAlign w:val="center"/>
            <w:tcMar>
              <w:top w:w="90" w:type="dxa"/>
              <w:left w:w="120" w:type="dxa"/>
              <w:bottom w:w="90" w:type="dxa"/>
              <w:right w:w="120" w:type="dxa"/>
            </w:tcMar>
          </w:tcPr>
          <w:p>
            <w:pPr>
              <w:spacing w:after="0"/>
              <w:jc w:val="center"/>
            </w:pPr>
            <w:r>
              <w:rPr>
                <w:rFonts w:ascii="Aptos" w:hAnsi="Aptos"/>
                <w:b/>
                <w:i w:val="0"/>
                <w:color w:val="FFFFFF"/>
                <w:sz w:val="17"/>
              </w:rPr>
              <w:t>Field</w:t>
            </w:r>
          </w:p>
        </w:tc>
        <w:tc>
          <w:tcPr>
            <w:tcW w:type="dxa" w:w="390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Requirement</w:t>
            </w:r>
          </w:p>
        </w:tc>
        <w:tc>
          <w:tcPr>
            <w:tcW w:type="dxa" w:w="3260"/>
            <w:shd w:fill="20344A"/>
            <w:vAlign w:val="center"/>
            <w:tcMar>
              <w:top w:w="90" w:type="dxa"/>
              <w:left w:w="120" w:type="dxa"/>
              <w:bottom w:w="90" w:type="dxa"/>
              <w:right w:w="120" w:type="dxa"/>
            </w:tcMar>
          </w:tcPr>
          <w:p>
            <w:pPr>
              <w:spacing w:after="0"/>
              <w:jc w:val="center"/>
            </w:pPr>
            <w:r>
              <w:rPr>
                <w:rFonts w:ascii="Aptos" w:hAnsi="Aptos"/>
                <w:b/>
                <w:i w:val="0"/>
                <w:color w:val="FFFFFF"/>
                <w:sz w:val="17"/>
              </w:rPr>
              <w:t>Validation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patient_reference</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opaque reference to an existing or newly created patient</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Must resolve uniquely and user must be authorized</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procedure_reference</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approved procedure identifier</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Must be active for at least one relevant date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condition_context</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Optional minimum necessary scheduling text</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Length bounded; treated as untrusted; not logged by default</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complexity</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approved duration class or review state</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Allowlisted; uncertain value requires human review</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earliest_date / latest_date</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inclusive local-date window</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Ordered, inside supported horizon, and consistent with linked-visit rules</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daily_windows</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One or more allowed local-time intervals by applicable day/date</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Start before end; normalized; DST-safe</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preferred_provider</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Optional qualified preference</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Preference may affect rank but cannot relax qualification</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restrictions_and_tags</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Validated scheduling constraints and accommodations</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Allowlisted with provenance and sensitivity handling</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waitlist_consent</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Optional explicit consent state</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before waitlist enrollment or outreach</w:t>
            </w:r>
          </w:p>
        </w:tc>
      </w:tr>
      <w:tr>
        <w:tc>
          <w:tcPr>
            <w:tcW w:type="dxa" w:w="2200"/>
            <w:vAlign w:val="center"/>
            <w:tcMar>
              <w:top w:w="90" w:type="dxa"/>
              <w:left w:w="120" w:type="dxa"/>
              <w:bottom w:w="90" w:type="dxa"/>
              <w:right w:w="120" w:type="dxa"/>
            </w:tcMar>
          </w:tcPr>
          <w:p>
            <w:pPr>
              <w:spacing w:after="0" w:line="259" w:lineRule="auto"/>
            </w:pPr>
            <w:r>
              <w:rPr>
                <w:rFonts w:ascii="Aptos" w:hAnsi="Aptos"/>
                <w:b w:val="0"/>
                <w:i w:val="0"/>
                <w:color w:val="1E252B"/>
                <w:sz w:val="16"/>
              </w:rPr>
              <w:t>idempotency_key</w:t>
            </w:r>
          </w:p>
        </w:tc>
        <w:tc>
          <w:tcPr>
            <w:tcW w:type="dxa" w:w="390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for protected creation/confirmation retry safety</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Scoped to actor, operation, and canonical request</w:t>
            </w:r>
          </w:p>
        </w:tc>
      </w:tr>
    </w:tbl>
    <w:p>
      <w:pPr>
        <w:spacing w:after="60"/>
      </w:pPr>
    </w:p>
    <w:p>
      <w:pPr>
        <w:pStyle w:val="Heading3"/>
        <w:keepNext/>
      </w:pPr>
      <w:r>
        <w:rPr>
          <w:rFonts w:ascii="Aptos" w:hAnsi="Aptos"/>
          <w:b/>
          <w:i w:val="0"/>
          <w:color w:val="20344A"/>
          <w:sz w:val="22"/>
        </w:rPr>
        <w:t>Recommendation Contract</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shd w:fill="20344A"/>
            <w:vAlign w:val="center"/>
            <w:tcMar>
              <w:top w:w="90" w:type="dxa"/>
              <w:left w:w="120" w:type="dxa"/>
              <w:bottom w:w="90" w:type="dxa"/>
              <w:right w:w="120" w:type="dxa"/>
            </w:tcMar>
          </w:tcPr>
          <w:p>
            <w:pPr>
              <w:spacing w:after="0"/>
              <w:jc w:val="center"/>
            </w:pPr>
            <w:r>
              <w:rPr>
                <w:rFonts w:ascii="Aptos" w:hAnsi="Aptos"/>
                <w:b/>
                <w:i w:val="0"/>
                <w:color w:val="FFFFFF"/>
                <w:sz w:val="17"/>
              </w:rPr>
              <w:t>Field</w:t>
            </w:r>
          </w:p>
        </w:tc>
        <w:tc>
          <w:tcPr>
            <w:tcW w:type="dxa" w:w="6960"/>
            <w:shd w:fill="20344A"/>
            <w:vAlign w:val="center"/>
            <w:tcMar>
              <w:top w:w="90" w:type="dxa"/>
              <w:left w:w="120" w:type="dxa"/>
              <w:bottom w:w="90" w:type="dxa"/>
              <w:right w:w="120" w:type="dxa"/>
            </w:tcMar>
          </w:tcPr>
          <w:p>
            <w:pPr>
              <w:spacing w:after="0"/>
              <w:jc w:val="center"/>
            </w:pPr>
            <w:r>
              <w:rPr>
                <w:rFonts w:ascii="Aptos" w:hAnsi="Aptos"/>
                <w:b/>
                <w:i w:val="0"/>
                <w:color w:val="FFFFFF"/>
                <w:sz w:val="17"/>
              </w:rPr>
              <w:t>Meaning</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6"/>
              </w:rPr>
              <w:t>recommendation_reference</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6"/>
              </w:rPr>
              <w:t>Opaque server-generated identifier bound to the snapshot and authorized user context</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6"/>
              </w:rPr>
              <w:t>status_and_expiry</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6"/>
              </w:rPr>
              <w:t>Active/invalid state and UTC expiry with local display</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6"/>
              </w:rPr>
              <w:t>appointment_interval</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6"/>
              </w:rPr>
              <w:t>Local date/time and timezone plus authoritative UTC start/end</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6"/>
              </w:rPr>
              <w:t>primary_provider</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6"/>
              </w:rPr>
              <w:t>Opaque provider reference and role-safe display label</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6"/>
              </w:rPr>
              <w:t>room_and_phases</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6"/>
              </w:rPr>
              <w:t>Room, ordered phase intervals, assigned roles/providers, and occupancy</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6"/>
              </w:rPr>
              <w:t>equipment_plan</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equipment types and exact units when selected</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6"/>
              </w:rPr>
              <w:t>explanation</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6"/>
              </w:rPr>
              <w:t>Deterministic score components, preference results, protected-capacity use, and important constraints</w:t>
            </w:r>
          </w:p>
        </w:tc>
      </w:tr>
      <w:tr>
        <w:tc>
          <w:tcPr>
            <w:tcW w:type="dxa" w:w="2400"/>
            <w:vAlign w:val="center"/>
            <w:tcMar>
              <w:top w:w="90" w:type="dxa"/>
              <w:left w:w="120" w:type="dxa"/>
              <w:bottom w:w="90" w:type="dxa"/>
              <w:right w:w="120" w:type="dxa"/>
            </w:tcMar>
          </w:tcPr>
          <w:p>
            <w:pPr>
              <w:spacing w:after="0" w:line="259" w:lineRule="auto"/>
            </w:pPr>
            <w:r>
              <w:rPr>
                <w:rFonts w:ascii="Aptos" w:hAnsi="Aptos"/>
                <w:b w:val="0"/>
                <w:i w:val="0"/>
                <w:color w:val="1E252B"/>
                <w:sz w:val="16"/>
              </w:rPr>
              <w:t>provenance</w:t>
            </w:r>
          </w:p>
        </w:tc>
        <w:tc>
          <w:tcPr>
            <w:tcW w:type="dxa" w:w="6960"/>
            <w:vAlign w:val="center"/>
            <w:tcMar>
              <w:top w:w="90" w:type="dxa"/>
              <w:left w:w="120" w:type="dxa"/>
              <w:bottom w:w="90" w:type="dxa"/>
              <w:right w:w="120" w:type="dxa"/>
            </w:tcMar>
          </w:tcPr>
          <w:p>
            <w:pPr>
              <w:spacing w:after="0" w:line="259" w:lineRule="auto"/>
            </w:pPr>
            <w:r>
              <w:rPr>
                <w:rFonts w:ascii="Aptos" w:hAnsi="Aptos"/>
                <w:b w:val="0"/>
                <w:i w:val="0"/>
                <w:color w:val="1E252B"/>
                <w:sz w:val="16"/>
              </w:rPr>
              <w:t>Optimizer, snapshot, procedure-policy, and ranking-policy versions</w:t>
            </w:r>
          </w:p>
        </w:tc>
      </w:tr>
    </w:tbl>
    <w:p>
      <w:pPr>
        <w:spacing w:after="60"/>
      </w:pPr>
    </w:p>
    <w:p>
      <w:pPr>
        <w:pStyle w:val="Heading3"/>
        <w:keepNext/>
      </w:pPr>
      <w:r>
        <w:rPr>
          <w:rFonts w:ascii="Aptos" w:hAnsi="Aptos"/>
          <w:b/>
          <w:i w:val="0"/>
          <w:color w:val="20344A"/>
          <w:sz w:val="22"/>
        </w:rPr>
        <w:t>Protected Reschedule Contract</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trPr>
        <w:tc>
          <w:tcPr>
            <w:tcW w:type="dxa" w:w="2800"/>
            <w:shd w:fill="20344A"/>
            <w:vAlign w:val="center"/>
            <w:tcMar>
              <w:top w:w="90" w:type="dxa"/>
              <w:left w:w="120" w:type="dxa"/>
              <w:bottom w:w="90" w:type="dxa"/>
              <w:right w:w="120" w:type="dxa"/>
            </w:tcMar>
          </w:tcPr>
          <w:p>
            <w:pPr>
              <w:spacing w:after="0"/>
              <w:jc w:val="center"/>
            </w:pPr>
            <w:r>
              <w:rPr>
                <w:rFonts w:ascii="Aptos" w:hAnsi="Aptos"/>
                <w:b/>
                <w:i w:val="0"/>
                <w:color w:val="FFFFFF"/>
                <w:sz w:val="17"/>
              </w:rPr>
              <w:t>Field</w:t>
            </w:r>
          </w:p>
        </w:tc>
        <w:tc>
          <w:tcPr>
            <w:tcW w:type="dxa" w:w="6560"/>
            <w:shd w:fill="20344A"/>
            <w:vAlign w:val="center"/>
            <w:tcMar>
              <w:top w:w="90" w:type="dxa"/>
              <w:left w:w="120" w:type="dxa"/>
              <w:bottom w:w="90" w:type="dxa"/>
              <w:right w:w="120" w:type="dxa"/>
            </w:tcMar>
          </w:tcPr>
          <w:p>
            <w:pPr>
              <w:spacing w:after="0"/>
              <w:jc w:val="center"/>
            </w:pPr>
            <w:r>
              <w:rPr>
                <w:rFonts w:ascii="Aptos" w:hAnsi="Aptos"/>
                <w:b/>
                <w:i w:val="0"/>
                <w:color w:val="FFFFFF"/>
                <w:sz w:val="17"/>
              </w:rPr>
              <w:t>Meaning</w:t>
            </w:r>
          </w:p>
        </w:tc>
      </w:tr>
      <w:tr>
        <w:tc>
          <w:tcPr>
            <w:tcW w:type="dxa" w:w="2800"/>
            <w:vAlign w:val="center"/>
            <w:tcMar>
              <w:top w:w="90" w:type="dxa"/>
              <w:left w:w="120" w:type="dxa"/>
              <w:bottom w:w="90" w:type="dxa"/>
              <w:right w:w="120" w:type="dxa"/>
            </w:tcMar>
          </w:tcPr>
          <w:p>
            <w:pPr>
              <w:spacing w:after="0" w:line="259" w:lineRule="auto"/>
            </w:pPr>
            <w:r>
              <w:rPr>
                <w:rFonts w:ascii="Aptos" w:hAnsi="Aptos"/>
                <w:b w:val="0"/>
                <w:i w:val="0"/>
                <w:color w:val="1E252B"/>
                <w:sz w:val="16"/>
              </w:rPr>
              <w:t>appointment_reference and version</w:t>
            </w:r>
          </w:p>
        </w:tc>
        <w:tc>
          <w:tcPr>
            <w:tcW w:type="dxa" w:w="6560"/>
            <w:vAlign w:val="center"/>
            <w:tcMar>
              <w:top w:w="90" w:type="dxa"/>
              <w:left w:w="120" w:type="dxa"/>
              <w:bottom w:w="90" w:type="dxa"/>
              <w:right w:w="120" w:type="dxa"/>
            </w:tcMar>
          </w:tcPr>
          <w:p>
            <w:pPr>
              <w:spacing w:after="0" w:line="259" w:lineRule="auto"/>
            </w:pPr>
            <w:r>
              <w:rPr>
                <w:rFonts w:ascii="Aptos" w:hAnsi="Aptos"/>
                <w:b w:val="0"/>
                <w:i w:val="0"/>
                <w:color w:val="1E252B"/>
                <w:sz w:val="16"/>
              </w:rPr>
              <w:t>Exact locked appointment and current optimistic version</w:t>
            </w:r>
          </w:p>
        </w:tc>
      </w:tr>
      <w:tr>
        <w:tc>
          <w:tcPr>
            <w:tcW w:type="dxa" w:w="2800"/>
            <w:vAlign w:val="center"/>
            <w:tcMar>
              <w:top w:w="90" w:type="dxa"/>
              <w:left w:w="120" w:type="dxa"/>
              <w:bottom w:w="90" w:type="dxa"/>
              <w:right w:w="120" w:type="dxa"/>
            </w:tcMar>
          </w:tcPr>
          <w:p>
            <w:pPr>
              <w:spacing w:after="0" w:line="259" w:lineRule="auto"/>
            </w:pPr>
            <w:r>
              <w:rPr>
                <w:rFonts w:ascii="Aptos" w:hAnsi="Aptos"/>
                <w:b w:val="0"/>
                <w:i w:val="0"/>
                <w:color w:val="1E252B"/>
                <w:sz w:val="16"/>
              </w:rPr>
              <w:t>old_values</w:t>
            </w:r>
          </w:p>
        </w:tc>
        <w:tc>
          <w:tcPr>
            <w:tcW w:type="dxa" w:w="6560"/>
            <w:vAlign w:val="center"/>
            <w:tcMar>
              <w:top w:w="90" w:type="dxa"/>
              <w:left w:w="120" w:type="dxa"/>
              <w:bottom w:w="90" w:type="dxa"/>
              <w:right w:w="120" w:type="dxa"/>
            </w:tcMar>
          </w:tcPr>
          <w:p>
            <w:pPr>
              <w:spacing w:after="0" w:line="259" w:lineRule="auto"/>
            </w:pPr>
            <w:r>
              <w:rPr>
                <w:rFonts w:ascii="Aptos" w:hAnsi="Aptos"/>
                <w:b w:val="0"/>
                <w:i w:val="0"/>
                <w:color w:val="1E252B"/>
                <w:sz w:val="16"/>
              </w:rPr>
              <w:t>Current provider, room, UTC/local interval, phases, and protected fields</w:t>
            </w:r>
          </w:p>
        </w:tc>
      </w:tr>
      <w:tr>
        <w:tc>
          <w:tcPr>
            <w:tcW w:type="dxa" w:w="2800"/>
            <w:vAlign w:val="center"/>
            <w:tcMar>
              <w:top w:w="90" w:type="dxa"/>
              <w:left w:w="120" w:type="dxa"/>
              <w:bottom w:w="90" w:type="dxa"/>
              <w:right w:w="120" w:type="dxa"/>
            </w:tcMar>
          </w:tcPr>
          <w:p>
            <w:pPr>
              <w:spacing w:after="0" w:line="259" w:lineRule="auto"/>
            </w:pPr>
            <w:r>
              <w:rPr>
                <w:rFonts w:ascii="Aptos" w:hAnsi="Aptos"/>
                <w:b w:val="0"/>
                <w:i w:val="0"/>
                <w:color w:val="1E252B"/>
                <w:sz w:val="16"/>
              </w:rPr>
              <w:t>new_recommendation_reference</w:t>
            </w:r>
          </w:p>
        </w:tc>
        <w:tc>
          <w:tcPr>
            <w:tcW w:type="dxa" w:w="6560"/>
            <w:vAlign w:val="center"/>
            <w:tcMar>
              <w:top w:w="90" w:type="dxa"/>
              <w:left w:w="120" w:type="dxa"/>
              <w:bottom w:w="90" w:type="dxa"/>
              <w:right w:w="120" w:type="dxa"/>
            </w:tcMar>
          </w:tcPr>
          <w:p>
            <w:pPr>
              <w:spacing w:after="0" w:line="259" w:lineRule="auto"/>
            </w:pPr>
            <w:r>
              <w:rPr>
                <w:rFonts w:ascii="Aptos" w:hAnsi="Aptos"/>
                <w:b w:val="0"/>
                <w:i w:val="0"/>
                <w:color w:val="1E252B"/>
                <w:sz w:val="16"/>
              </w:rPr>
              <w:t>Exact active alternative previously reviewed</w:t>
            </w:r>
          </w:p>
        </w:tc>
      </w:tr>
      <w:tr>
        <w:tc>
          <w:tcPr>
            <w:tcW w:type="dxa" w:w="2800"/>
            <w:vAlign w:val="center"/>
            <w:tcMar>
              <w:top w:w="90" w:type="dxa"/>
              <w:left w:w="120" w:type="dxa"/>
              <w:bottom w:w="90" w:type="dxa"/>
              <w:right w:w="120" w:type="dxa"/>
            </w:tcMar>
          </w:tcPr>
          <w:p>
            <w:pPr>
              <w:spacing w:after="0" w:line="259" w:lineRule="auto"/>
            </w:pPr>
            <w:r>
              <w:rPr>
                <w:rFonts w:ascii="Aptos" w:hAnsi="Aptos"/>
                <w:b w:val="0"/>
                <w:i w:val="0"/>
                <w:color w:val="1E252B"/>
                <w:sz w:val="16"/>
              </w:rPr>
              <w:t>reason</w:t>
            </w:r>
          </w:p>
        </w:tc>
        <w:tc>
          <w:tcPr>
            <w:tcW w:type="dxa" w:w="6560"/>
            <w:vAlign w:val="center"/>
            <w:tcMar>
              <w:top w:w="90" w:type="dxa"/>
              <w:left w:w="120" w:type="dxa"/>
              <w:bottom w:w="90" w:type="dxa"/>
              <w:right w:w="120" w:type="dxa"/>
            </w:tcMar>
          </w:tcPr>
          <w:p>
            <w:pPr>
              <w:spacing w:after="0" w:line="259" w:lineRule="auto"/>
            </w:pPr>
            <w:r>
              <w:rPr>
                <w:rFonts w:ascii="Aptos" w:hAnsi="Aptos"/>
                <w:b w:val="0"/>
                <w:i w:val="0"/>
                <w:color w:val="1E252B"/>
                <w:sz w:val="16"/>
              </w:rPr>
              <w:t>Meaningful operational reason; minimum necessary and length bounded</w:t>
            </w:r>
          </w:p>
        </w:tc>
      </w:tr>
      <w:tr>
        <w:tc>
          <w:tcPr>
            <w:tcW w:type="dxa" w:w="2800"/>
            <w:vAlign w:val="center"/>
            <w:tcMar>
              <w:top w:w="90" w:type="dxa"/>
              <w:left w:w="120" w:type="dxa"/>
              <w:bottom w:w="90" w:type="dxa"/>
              <w:right w:w="120" w:type="dxa"/>
            </w:tcMar>
          </w:tcPr>
          <w:p>
            <w:pPr>
              <w:spacing w:after="0" w:line="259" w:lineRule="auto"/>
            </w:pPr>
            <w:r>
              <w:rPr>
                <w:rFonts w:ascii="Aptos" w:hAnsi="Aptos"/>
                <w:b w:val="0"/>
                <w:i w:val="0"/>
                <w:color w:val="1E252B"/>
                <w:sz w:val="16"/>
              </w:rPr>
              <w:t>acknowledgement</w:t>
            </w:r>
          </w:p>
        </w:tc>
        <w:tc>
          <w:tcPr>
            <w:tcW w:type="dxa" w:w="6560"/>
            <w:vAlign w:val="center"/>
            <w:tcMar>
              <w:top w:w="90" w:type="dxa"/>
              <w:left w:w="120" w:type="dxa"/>
              <w:bottom w:w="90" w:type="dxa"/>
              <w:right w:w="120" w:type="dxa"/>
            </w:tcMar>
          </w:tcPr>
          <w:p>
            <w:pPr>
              <w:spacing w:after="0" w:line="259" w:lineRule="auto"/>
            </w:pPr>
            <w:r>
              <w:rPr>
                <w:rFonts w:ascii="Aptos" w:hAnsi="Aptos"/>
                <w:b w:val="0"/>
                <w:i w:val="0"/>
                <w:color w:val="1E252B"/>
                <w:sz w:val="16"/>
              </w:rPr>
              <w:t>Explicit user confirmation that the existing booking will be replaced</w:t>
            </w:r>
          </w:p>
        </w:tc>
      </w:tr>
      <w:tr>
        <w:tc>
          <w:tcPr>
            <w:tcW w:type="dxa" w:w="2800"/>
            <w:vAlign w:val="center"/>
            <w:tcMar>
              <w:top w:w="90" w:type="dxa"/>
              <w:left w:w="120" w:type="dxa"/>
              <w:bottom w:w="90" w:type="dxa"/>
              <w:right w:w="120" w:type="dxa"/>
            </w:tcMar>
          </w:tcPr>
          <w:p>
            <w:pPr>
              <w:spacing w:after="0" w:line="259" w:lineRule="auto"/>
            </w:pPr>
            <w:r>
              <w:rPr>
                <w:rFonts w:ascii="Aptos" w:hAnsi="Aptos"/>
                <w:b w:val="0"/>
                <w:i w:val="0"/>
                <w:color w:val="1E252B"/>
                <w:sz w:val="16"/>
              </w:rPr>
              <w:t>permission</w:t>
            </w:r>
          </w:p>
        </w:tc>
        <w:tc>
          <w:tcPr>
            <w:tcW w:type="dxa" w:w="6560"/>
            <w:vAlign w:val="center"/>
            <w:tcMar>
              <w:top w:w="90" w:type="dxa"/>
              <w:left w:w="120" w:type="dxa"/>
              <w:bottom w:w="90" w:type="dxa"/>
              <w:right w:w="120" w:type="dxa"/>
            </w:tcMar>
          </w:tcPr>
          <w:p>
            <w:pPr>
              <w:spacing w:after="0" w:line="259" w:lineRule="auto"/>
            </w:pPr>
            <w:r>
              <w:rPr>
                <w:rFonts w:ascii="Aptos" w:hAnsi="Aptos"/>
                <w:b w:val="0"/>
                <w:i w:val="0"/>
                <w:color w:val="1E252B"/>
                <w:sz w:val="16"/>
              </w:rPr>
              <w:t>Server-issued actor-bound, exact-change, single-use, short-lived authorization</w:t>
            </w:r>
          </w:p>
        </w:tc>
      </w:tr>
      <w:tr>
        <w:tc>
          <w:tcPr>
            <w:tcW w:type="dxa" w:w="2800"/>
            <w:vAlign w:val="center"/>
            <w:tcMar>
              <w:top w:w="90" w:type="dxa"/>
              <w:left w:w="120" w:type="dxa"/>
              <w:bottom w:w="90" w:type="dxa"/>
              <w:right w:w="120" w:type="dxa"/>
            </w:tcMar>
          </w:tcPr>
          <w:p>
            <w:pPr>
              <w:spacing w:after="0" w:line="259" w:lineRule="auto"/>
            </w:pPr>
            <w:r>
              <w:rPr>
                <w:rFonts w:ascii="Aptos" w:hAnsi="Aptos"/>
                <w:b w:val="0"/>
                <w:i w:val="0"/>
                <w:color w:val="1E252B"/>
                <w:sz w:val="16"/>
              </w:rPr>
              <w:t>result</w:t>
            </w:r>
          </w:p>
        </w:tc>
        <w:tc>
          <w:tcPr>
            <w:tcW w:type="dxa" w:w="6560"/>
            <w:vAlign w:val="center"/>
            <w:tcMar>
              <w:top w:w="90" w:type="dxa"/>
              <w:left w:w="120" w:type="dxa"/>
              <w:bottom w:w="90" w:type="dxa"/>
              <w:right w:w="120" w:type="dxa"/>
            </w:tcMar>
          </w:tcPr>
          <w:p>
            <w:pPr>
              <w:spacing w:after="0" w:line="259" w:lineRule="auto"/>
            </w:pPr>
            <w:r>
              <w:rPr>
                <w:rFonts w:ascii="Aptos" w:hAnsi="Aptos"/>
                <w:b w:val="0"/>
                <w:i w:val="0"/>
                <w:color w:val="1E252B"/>
                <w:sz w:val="16"/>
              </w:rPr>
              <w:t>Committed old/new evidence or a safe conflict/expiry/authorization failure with no mutation</w:t>
            </w:r>
          </w:p>
        </w:tc>
      </w:tr>
    </w:tbl>
    <w:p>
      <w:pPr>
        <w:spacing w:after="60"/>
      </w:pPr>
    </w:p>
    <w:p>
      <w:pPr>
        <w:pStyle w:val="Heading2"/>
        <w:keepNext/>
      </w:pPr>
      <w:r>
        <w:rPr>
          <w:rFonts w:ascii="Aptos" w:hAnsi="Aptos"/>
          <w:b/>
          <w:i w:val="0"/>
          <w:color w:val="1C766C"/>
          <w:sz w:val="26"/>
        </w:rPr>
        <w:t>15.13 Service Operation Contracts</w:t>
      </w:r>
    </w:p>
    <w:tbl>
      <w:tblPr>
        <w:tblStyle w:val="TableGrid"/>
        <w:tblW w:type="dxa" w:w="9360"/>
        <w:jc w:val="left"/>
        <w:tblLayout w:type="fixed"/>
        <w:tblLook w:firstColumn="1" w:firstRow="1" w:lastColumn="0" w:lastRow="0" w:noHBand="0" w:noVBand="1" w:val="04A0"/>
        <w:tblInd w:type="dxa" w:w="120"/>
      </w:tblPr>
      <w:tblGrid>
        <w:gridCol w:w="2250"/>
        <w:gridCol w:w="3850"/>
        <w:gridCol w:w="3260"/>
      </w:tblGrid>
      <w:tr>
        <w:trPr>
          <w:tblHeader w:val="true"/>
        </w:trPr>
        <w:tc>
          <w:tcPr>
            <w:tcW w:type="dxa" w:w="2250"/>
            <w:shd w:fill="20344A"/>
            <w:vAlign w:val="center"/>
            <w:tcMar>
              <w:top w:w="90" w:type="dxa"/>
              <w:left w:w="120" w:type="dxa"/>
              <w:bottom w:w="90" w:type="dxa"/>
              <w:right w:w="120" w:type="dxa"/>
            </w:tcMar>
          </w:tcPr>
          <w:p>
            <w:pPr>
              <w:spacing w:after="0"/>
              <w:jc w:val="center"/>
            </w:pPr>
            <w:r>
              <w:rPr>
                <w:rFonts w:ascii="Aptos" w:hAnsi="Aptos"/>
                <w:b/>
                <w:i w:val="0"/>
                <w:color w:val="FFFFFF"/>
                <w:sz w:val="17"/>
              </w:rPr>
              <w:t>Operation</w:t>
            </w:r>
          </w:p>
        </w:tc>
        <w:tc>
          <w:tcPr>
            <w:tcW w:type="dxa" w:w="3850"/>
            <w:shd w:fill="20344A"/>
            <w:vAlign w:val="center"/>
            <w:tcMar>
              <w:top w:w="90" w:type="dxa"/>
              <w:left w:w="120" w:type="dxa"/>
              <w:bottom w:w="90" w:type="dxa"/>
              <w:right w:w="120" w:type="dxa"/>
            </w:tcMar>
          </w:tcPr>
          <w:p>
            <w:pPr>
              <w:spacing w:after="0"/>
              <w:jc w:val="center"/>
            </w:pPr>
            <w:r>
              <w:rPr>
                <w:rFonts w:ascii="Aptos" w:hAnsi="Aptos"/>
                <w:b/>
                <w:i w:val="0"/>
                <w:color w:val="FFFFFF"/>
                <w:sz w:val="17"/>
              </w:rPr>
              <w:t>Successful result</w:t>
            </w:r>
          </w:p>
        </w:tc>
        <w:tc>
          <w:tcPr>
            <w:tcW w:type="dxa" w:w="3260"/>
            <w:shd w:fill="20344A"/>
            <w:vAlign w:val="center"/>
            <w:tcMar>
              <w:top w:w="90" w:type="dxa"/>
              <w:left w:w="120" w:type="dxa"/>
              <w:bottom w:w="90" w:type="dxa"/>
              <w:right w:w="120" w:type="dxa"/>
            </w:tcMar>
          </w:tcPr>
          <w:p>
            <w:pPr>
              <w:spacing w:after="0"/>
              <w:jc w:val="left"/>
            </w:pPr>
            <w:r>
              <w:rPr>
                <w:rFonts w:ascii="Aptos" w:hAnsi="Aptos"/>
                <w:b/>
                <w:i w:val="0"/>
                <w:color w:val="FFFFFF"/>
                <w:sz w:val="17"/>
              </w:rPr>
              <w:t>Safe failure categories</w:t>
            </w:r>
          </w:p>
        </w:tc>
      </w:tr>
      <w:tr>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Normalize intake</w:t>
            </w:r>
          </w:p>
        </w:tc>
        <w:tc>
          <w:tcPr>
            <w:tcW w:type="dxa" w:w="3850"/>
            <w:vAlign w:val="center"/>
            <w:tcMar>
              <w:top w:w="90" w:type="dxa"/>
              <w:left w:w="120" w:type="dxa"/>
              <w:bottom w:w="90" w:type="dxa"/>
              <w:right w:w="120" w:type="dxa"/>
            </w:tcMar>
          </w:tcPr>
          <w:p>
            <w:pPr>
              <w:spacing w:after="0" w:line="259" w:lineRule="auto"/>
            </w:pPr>
            <w:r>
              <w:rPr>
                <w:rFonts w:ascii="Aptos" w:hAnsi="Aptos"/>
                <w:b w:val="0"/>
                <w:i w:val="0"/>
                <w:color w:val="1E252B"/>
                <w:sz w:val="16"/>
              </w:rPr>
              <w:t>Validated tags, confidence, provenance, review state</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model unavailable, timeout, malformed output, rejected tag; rules fallback remains available</w:t>
            </w:r>
          </w:p>
        </w:tc>
      </w:tr>
      <w:tr>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Generate recommendations</w:t>
            </w:r>
          </w:p>
        </w:tc>
        <w:tc>
          <w:tcPr>
            <w:tcW w:type="dxa" w:w="3850"/>
            <w:vAlign w:val="center"/>
            <w:tcMar>
              <w:top w:w="90" w:type="dxa"/>
              <w:left w:w="120" w:type="dxa"/>
              <w:bottom w:w="90" w:type="dxa"/>
              <w:right w:w="120" w:type="dxa"/>
            </w:tcMar>
          </w:tcPr>
          <w:p>
            <w:pPr>
              <w:spacing w:after="0" w:line="259" w:lineRule="auto"/>
            </w:pPr>
            <w:r>
              <w:rPr>
                <w:rFonts w:ascii="Aptos" w:hAnsi="Aptos"/>
                <w:b w:val="0"/>
                <w:i w:val="0"/>
                <w:color w:val="1E252B"/>
                <w:sz w:val="16"/>
              </w:rPr>
              <w:t>Bound ranked candidates or structured no-slot result</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invalid request, authorization, no feasible slot, timeout, dependency unavailable</w:t>
            </w:r>
          </w:p>
        </w:tc>
      </w:tr>
      <w:tr>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Confirm recommendation</w:t>
            </w:r>
          </w:p>
        </w:tc>
        <w:tc>
          <w:tcPr>
            <w:tcW w:type="dxa" w:w="3850"/>
            <w:vAlign w:val="center"/>
            <w:tcMar>
              <w:top w:w="90" w:type="dxa"/>
              <w:left w:w="120" w:type="dxa"/>
              <w:bottom w:w="90" w:type="dxa"/>
              <w:right w:w="120" w:type="dxa"/>
            </w:tcMar>
          </w:tcPr>
          <w:p>
            <w:pPr>
              <w:spacing w:after="0" w:line="259" w:lineRule="auto"/>
            </w:pPr>
            <w:r>
              <w:rPr>
                <w:rFonts w:ascii="Aptos" w:hAnsi="Aptos"/>
                <w:b w:val="0"/>
                <w:i w:val="0"/>
                <w:color w:val="1E252B"/>
                <w:sz w:val="16"/>
              </w:rPr>
              <w:t>One confirmed appointment with exact reservations and audit evidence</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expired/stale candidate, collision, qualification change, invalid state, authorization</w:t>
            </w:r>
          </w:p>
        </w:tc>
      </w:tr>
      <w:tr>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Preview reschedule</w:t>
            </w:r>
          </w:p>
        </w:tc>
        <w:tc>
          <w:tcPr>
            <w:tcW w:type="dxa" w:w="3850"/>
            <w:vAlign w:val="center"/>
            <w:tcMar>
              <w:top w:w="90" w:type="dxa"/>
              <w:left w:w="120" w:type="dxa"/>
              <w:bottom w:w="90" w:type="dxa"/>
              <w:right w:w="120" w:type="dxa"/>
            </w:tcMar>
          </w:tcPr>
          <w:p>
            <w:pPr>
              <w:spacing w:after="0" w:line="259" w:lineRule="auto"/>
            </w:pPr>
            <w:r>
              <w:rPr>
                <w:rFonts w:ascii="Aptos" w:hAnsi="Aptos"/>
                <w:b w:val="0"/>
                <w:i w:val="0"/>
                <w:color w:val="1E252B"/>
                <w:sz w:val="16"/>
              </w:rPr>
              <w:t>Hypothetical alternatives with no live mutation</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invalid appointment state, authorization, no feasible alternative</w:t>
            </w:r>
          </w:p>
        </w:tc>
      </w:tr>
      <w:tr>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Execute reschedule</w:t>
            </w:r>
          </w:p>
        </w:tc>
        <w:tc>
          <w:tcPr>
            <w:tcW w:type="dxa" w:w="3850"/>
            <w:vAlign w:val="center"/>
            <w:tcMar>
              <w:top w:w="90" w:type="dxa"/>
              <w:left w:w="120" w:type="dxa"/>
              <w:bottom w:w="90" w:type="dxa"/>
              <w:right w:w="120" w:type="dxa"/>
            </w:tcMar>
          </w:tcPr>
          <w:p>
            <w:pPr>
              <w:spacing w:after="0" w:line="259" w:lineRule="auto"/>
            </w:pPr>
            <w:r>
              <w:rPr>
                <w:rFonts w:ascii="Aptos" w:hAnsi="Aptos"/>
                <w:b w:val="0"/>
                <w:i w:val="0"/>
                <w:color w:val="1E252B"/>
                <w:sz w:val="16"/>
              </w:rPr>
              <w:t>Atomic exact replacement and old/new audit evidence</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permission missing/expired/used/mismatch, version conflict, new collision</w:t>
            </w:r>
          </w:p>
        </w:tc>
      </w:tr>
      <w:tr>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Record outcome</w:t>
            </w:r>
          </w:p>
        </w:tc>
        <w:tc>
          <w:tcPr>
            <w:tcW w:type="dxa" w:w="3850"/>
            <w:vAlign w:val="center"/>
            <w:tcMar>
              <w:top w:w="90" w:type="dxa"/>
              <w:left w:w="120" w:type="dxa"/>
              <w:bottom w:w="90" w:type="dxa"/>
              <w:right w:w="120" w:type="dxa"/>
            </w:tcMar>
          </w:tcPr>
          <w:p>
            <w:pPr>
              <w:spacing w:after="0" w:line="259" w:lineRule="auto"/>
            </w:pPr>
            <w:r>
              <w:rPr>
                <w:rFonts w:ascii="Aptos" w:hAnsi="Aptos"/>
                <w:b w:val="0"/>
                <w:i w:val="0"/>
                <w:color w:val="1E252B"/>
                <w:sz w:val="16"/>
              </w:rPr>
              <w:t>Valid state transition, capacity release, history, and audit</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invalid transition, stale version, authorization, audit failure</w:t>
            </w:r>
          </w:p>
        </w:tc>
      </w:tr>
      <w:tr>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Match waitlist</w:t>
            </w:r>
          </w:p>
        </w:tc>
        <w:tc>
          <w:tcPr>
            <w:tcW w:type="dxa" w:w="3850"/>
            <w:vAlign w:val="center"/>
            <w:tcMar>
              <w:top w:w="90" w:type="dxa"/>
              <w:left w:w="120" w:type="dxa"/>
              <w:bottom w:w="90" w:type="dxa"/>
              <w:right w:w="120" w:type="dxa"/>
            </w:tcMar>
          </w:tcPr>
          <w:p>
            <w:pPr>
              <w:spacing w:after="0" w:line="259" w:lineRule="auto"/>
            </w:pPr>
            <w:r>
              <w:rPr>
                <w:rFonts w:ascii="Aptos" w:hAnsi="Aptos"/>
                <w:b w:val="0"/>
                <w:i w:val="0"/>
                <w:color w:val="1E252B"/>
                <w:sz w:val="16"/>
              </w:rPr>
              <w:t>Compatible offers or structured no-match result</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consent missing, expired entry, invalid window, no feasible slot</w:t>
            </w:r>
          </w:p>
        </w:tc>
      </w:tr>
      <w:tr>
        <w:tc>
          <w:tcPr>
            <w:tcW w:type="dxa" w:w="2250"/>
            <w:vAlign w:val="center"/>
            <w:tcMar>
              <w:top w:w="90" w:type="dxa"/>
              <w:left w:w="120" w:type="dxa"/>
              <w:bottom w:w="90" w:type="dxa"/>
              <w:right w:w="120" w:type="dxa"/>
            </w:tcMar>
          </w:tcPr>
          <w:p>
            <w:pPr>
              <w:spacing w:after="0" w:line="259" w:lineRule="auto"/>
            </w:pPr>
            <w:r>
              <w:rPr>
                <w:rFonts w:ascii="Aptos" w:hAnsi="Aptos"/>
                <w:b w:val="0"/>
                <w:i w:val="0"/>
                <w:color w:val="1E252B"/>
                <w:sz w:val="16"/>
              </w:rPr>
              <w:t>Apply policy/calibration</w:t>
            </w:r>
          </w:p>
        </w:tc>
        <w:tc>
          <w:tcPr>
            <w:tcW w:type="dxa" w:w="3850"/>
            <w:vAlign w:val="center"/>
            <w:tcMar>
              <w:top w:w="90" w:type="dxa"/>
              <w:left w:w="120" w:type="dxa"/>
              <w:bottom w:w="90" w:type="dxa"/>
              <w:right w:w="120" w:type="dxa"/>
            </w:tcMar>
          </w:tcPr>
          <w:p>
            <w:pPr>
              <w:spacing w:after="0" w:line="259" w:lineRule="auto"/>
            </w:pPr>
            <w:r>
              <w:rPr>
                <w:rFonts w:ascii="Aptos" w:hAnsi="Aptos"/>
                <w:b w:val="0"/>
                <w:i w:val="0"/>
                <w:color w:val="1E252B"/>
                <w:sz w:val="16"/>
              </w:rPr>
              <w:t>New approved effective version</w:t>
            </w:r>
          </w:p>
        </w:tc>
        <w:tc>
          <w:tcPr>
            <w:tcW w:type="dxa" w:w="3260"/>
            <w:vAlign w:val="center"/>
            <w:tcMar>
              <w:top w:w="90" w:type="dxa"/>
              <w:left w:w="120" w:type="dxa"/>
              <w:bottom w:w="90" w:type="dxa"/>
              <w:right w:w="120" w:type="dxa"/>
            </w:tcMar>
          </w:tcPr>
          <w:p>
            <w:pPr>
              <w:spacing w:after="0" w:line="259" w:lineRule="auto"/>
            </w:pPr>
            <w:r>
              <w:rPr>
                <w:rFonts w:ascii="Aptos" w:hAnsi="Aptos"/>
                <w:b w:val="0"/>
                <w:i w:val="0"/>
                <w:color w:val="1E252B"/>
                <w:sz w:val="16"/>
              </w:rPr>
              <w:t>validation failure, missing reason/approval, overlap in effective versions</w:t>
            </w:r>
          </w:p>
        </w:tc>
      </w:tr>
    </w:tbl>
    <w:p>
      <w:pPr>
        <w:spacing w:after="60"/>
      </w:pPr>
    </w:p>
    <w:p>
      <w:pPr>
        <w:spacing w:before="60" w:after="160" w:line="283" w:lineRule="auto"/>
        <w:ind w:left="173" w:right="173"/>
        <w:shd w:fill="FFF6E3"/>
        <w:pBdr>
          <w:left w:val="single" w:sz="18" w:space="6" w:color="9A6500"/>
        </w:pBdr>
      </w:pPr>
      <w:r>
        <w:rPr>
          <w:rFonts w:ascii="Aptos" w:hAnsi="Aptos"/>
          <w:b/>
          <w:i w:val="0"/>
          <w:color w:val="9A6500"/>
          <w:sz w:val="21"/>
        </w:rPr>
        <w:t xml:space="preserve">Error contract: </w:t>
      </w:r>
      <w:r>
        <w:rPr>
          <w:rFonts w:ascii="Aptos" w:hAnsi="Aptos"/>
          <w:b w:val="0"/>
          <w:i w:val="0"/>
          <w:color w:val="1E252B"/>
          <w:sz w:val="21"/>
        </w:rPr>
        <w:t>Errors must use stable machine-readable categories, a safe human message, a correlation identifier, and recoverability guidance. They must not expose stack traces, queries, secrets, unrelated patient records, raw prompts, or infrastructure details.</w:t>
      </w:r>
    </w:p>
    <w:p>
      <w:pPr>
        <w:pStyle w:val="Heading2"/>
        <w:keepNext/>
      </w:pPr>
      <w:r>
        <w:rPr>
          <w:rFonts w:ascii="Aptos" w:hAnsi="Aptos"/>
          <w:b/>
          <w:i w:val="0"/>
          <w:color w:val="1C766C"/>
          <w:sz w:val="26"/>
        </w:rPr>
        <w:t>15.14 Business Rules</w:t>
      </w:r>
    </w:p>
    <w:tbl>
      <w:tblPr>
        <w:tblStyle w:val="TableGrid"/>
        <w:tblW w:type="dxa" w:w="9360"/>
        <w:jc w:val="left"/>
        <w:tblLayout w:type="fixed"/>
        <w:tblLook w:firstColumn="1" w:firstRow="1" w:lastColumn="0" w:lastRow="0" w:noHBand="0" w:noVBand="1" w:val="04A0"/>
        <w:tblInd w:type="dxa" w:w="120"/>
      </w:tblPr>
      <w:tblGrid>
        <w:gridCol w:w="1200"/>
        <w:gridCol w:w="8160"/>
      </w:tblGrid>
      <w:tr>
        <w:trPr>
          <w:tblHeader w:val="true"/>
        </w:trPr>
        <w:tc>
          <w:tcPr>
            <w:tcW w:type="dxa" w:w="1200"/>
            <w:shd w:fill="20344A"/>
            <w:vAlign w:val="center"/>
            <w:tcMar>
              <w:top w:w="90" w:type="dxa"/>
              <w:left w:w="120" w:type="dxa"/>
              <w:bottom w:w="90" w:type="dxa"/>
              <w:right w:w="120" w:type="dxa"/>
            </w:tcMar>
          </w:tcPr>
          <w:p>
            <w:pPr>
              <w:spacing w:after="0"/>
              <w:jc w:val="center"/>
            </w:pPr>
            <w:r>
              <w:rPr>
                <w:rFonts w:ascii="Aptos" w:hAnsi="Aptos"/>
                <w:b/>
                <w:i w:val="0"/>
                <w:color w:val="FFFFFF"/>
                <w:sz w:val="17"/>
              </w:rPr>
              <w:t>ID</w:t>
            </w:r>
          </w:p>
        </w:tc>
        <w:tc>
          <w:tcPr>
            <w:tcW w:type="dxa" w:w="8160"/>
            <w:shd w:fill="20344A"/>
            <w:vAlign w:val="center"/>
            <w:tcMar>
              <w:top w:w="90" w:type="dxa"/>
              <w:left w:w="120" w:type="dxa"/>
              <w:bottom w:w="90" w:type="dxa"/>
              <w:right w:w="120" w:type="dxa"/>
            </w:tcMar>
          </w:tcPr>
          <w:p>
            <w:pPr>
              <w:spacing w:after="0"/>
              <w:jc w:val="center"/>
            </w:pPr>
            <w:r>
              <w:rPr>
                <w:rFonts w:ascii="Aptos" w:hAnsi="Aptos"/>
                <w:b/>
                <w:i w:val="0"/>
                <w:color w:val="FFFFFF"/>
                <w:sz w:val="17"/>
              </w:rPr>
              <w:t>Rule</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BR-01</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A hard constraint can never be offset by a soft-objective score.</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BR-02</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Only an explicit confirmation transaction creates an appointment from a recommendation.</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BR-03</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Confirmed appointments remain locked unless exact reschedule permission is consumed in the same successful transaction.</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BR-04</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A hypothetical preview cannot change live state or assume permission to move another patient's booking.</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BR-05</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All provider work is phase-based; patient and room occupancy include configured setup, treatment, and turnover intervals.</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BR-06</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A provider cannot occupy overlapping exclusive phases, and supervised concurrent visits cannot exceed approved capacity.</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BR-07</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An offered waitlist option is not a hold or booking unless an approved hold policy explicitly says otherwise.</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BR-08</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Urgent priority and protected-capacity eligibility come from approved clinical policy, never unconstrained model text.</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BR-09</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Production and preference factors may rank feasible options but cannot reduce safety, qualification, privacy, or locked-booking protection.</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BR-10</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Policy and duration changes are versioned, effective-dated, prospective, and auditable.</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BR-11</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All scheduling calculations use facility-local policy while persisted instants remain authoritative in UTC.</w:t>
            </w:r>
          </w:p>
        </w:tc>
      </w:tr>
      <w:tr>
        <w:tc>
          <w:tcPr>
            <w:tcW w:type="dxa" w:w="1200"/>
            <w:vAlign w:val="center"/>
            <w:tcMar>
              <w:top w:w="90" w:type="dxa"/>
              <w:left w:w="120" w:type="dxa"/>
              <w:bottom w:w="90" w:type="dxa"/>
              <w:right w:w="120" w:type="dxa"/>
            </w:tcMar>
          </w:tcPr>
          <w:p>
            <w:pPr>
              <w:spacing w:after="0" w:line="259" w:lineRule="auto"/>
            </w:pPr>
            <w:r>
              <w:rPr>
                <w:rFonts w:ascii="Aptos" w:hAnsi="Aptos"/>
                <w:b w:val="0"/>
                <w:i w:val="0"/>
                <w:color w:val="1E252B"/>
                <w:sz w:val="16"/>
              </w:rPr>
              <w:t>BR-12</w:t>
            </w:r>
          </w:p>
        </w:tc>
        <w:tc>
          <w:tcPr>
            <w:tcW w:type="dxa" w:w="8160"/>
            <w:vAlign w:val="center"/>
            <w:tcMar>
              <w:top w:w="90" w:type="dxa"/>
              <w:left w:w="120" w:type="dxa"/>
              <w:bottom w:w="90" w:type="dxa"/>
              <w:right w:w="120" w:type="dxa"/>
            </w:tcMar>
          </w:tcPr>
          <w:p>
            <w:pPr>
              <w:spacing w:after="0" w:line="259" w:lineRule="auto"/>
            </w:pPr>
            <w:r>
              <w:rPr>
                <w:rFonts w:ascii="Aptos" w:hAnsi="Aptos"/>
                <w:b w:val="0"/>
                <w:i w:val="0"/>
                <w:color w:val="1E252B"/>
                <w:sz w:val="16"/>
              </w:rPr>
              <w:t>Required audit evidence is part of a protected mutation; if it cannot be written, the mutation fails.</w:t>
            </w:r>
          </w:p>
        </w:tc>
      </w:tr>
    </w:tbl>
    <w:p>
      <w:pPr>
        <w:spacing w:after="60"/>
      </w:pPr>
    </w:p>
    <w:p>
      <w:pPr>
        <w:pStyle w:val="Heading2"/>
        <w:keepNext/>
      </w:pPr>
      <w:r>
        <w:rPr>
          <w:rFonts w:ascii="Aptos" w:hAnsi="Aptos"/>
          <w:b/>
          <w:i w:val="0"/>
          <w:color w:val="1C766C"/>
          <w:sz w:val="26"/>
        </w:rPr>
        <w:t>15.15 Nonfunctional Requirements</w:t>
      </w:r>
    </w:p>
    <w:tbl>
      <w:tblPr>
        <w:tblStyle w:val="TableGrid"/>
        <w:tblW w:type="dxa" w:w="9360"/>
        <w:jc w:val="left"/>
        <w:tblLayout w:type="fixed"/>
        <w:tblLook w:firstColumn="1" w:firstRow="1" w:lastColumn="0" w:lastRow="0" w:noHBand="0" w:noVBand="1" w:val="04A0"/>
        <w:tblInd w:type="dxa" w:w="120"/>
      </w:tblPr>
      <w:tblGrid>
        <w:gridCol w:w="1450"/>
        <w:gridCol w:w="5050"/>
        <w:gridCol w:w="2860"/>
      </w:tblGrid>
      <w:tr>
        <w:trPr>
          <w:tblHeader w:val="true"/>
        </w:trPr>
        <w:tc>
          <w:tcPr>
            <w:tcW w:type="dxa" w:w="1450"/>
            <w:shd w:fill="20344A"/>
            <w:vAlign w:val="center"/>
            <w:tcMar>
              <w:top w:w="90" w:type="dxa"/>
              <w:left w:w="120" w:type="dxa"/>
              <w:bottom w:w="90" w:type="dxa"/>
              <w:right w:w="120" w:type="dxa"/>
            </w:tcMar>
          </w:tcPr>
          <w:p>
            <w:pPr>
              <w:spacing w:after="0"/>
              <w:jc w:val="center"/>
            </w:pPr>
            <w:r>
              <w:rPr>
                <w:rFonts w:ascii="Aptos" w:hAnsi="Aptos"/>
                <w:b/>
                <w:i w:val="0"/>
                <w:color w:val="FFFFFF"/>
                <w:sz w:val="17"/>
              </w:rPr>
              <w:t>ID</w:t>
            </w:r>
          </w:p>
        </w:tc>
        <w:tc>
          <w:tcPr>
            <w:tcW w:type="dxa" w:w="5050"/>
            <w:shd w:fill="20344A"/>
            <w:vAlign w:val="center"/>
            <w:tcMar>
              <w:top w:w="90" w:type="dxa"/>
              <w:left w:w="120" w:type="dxa"/>
              <w:bottom w:w="90" w:type="dxa"/>
              <w:right w:w="120" w:type="dxa"/>
            </w:tcMar>
          </w:tcPr>
          <w:p>
            <w:pPr>
              <w:spacing w:after="0"/>
              <w:jc w:val="left"/>
            </w:pPr>
            <w:r>
              <w:rPr>
                <w:rFonts w:ascii="Aptos" w:hAnsi="Aptos"/>
                <w:b/>
                <w:i w:val="0"/>
                <w:color w:val="FFFFFF"/>
                <w:sz w:val="17"/>
              </w:rPr>
              <w:t>Quality requirement</w:t>
            </w:r>
          </w:p>
        </w:tc>
        <w:tc>
          <w:tcPr>
            <w:tcW w:type="dxa" w:w="2860"/>
            <w:shd w:fill="20344A"/>
            <w:vAlign w:val="center"/>
            <w:tcMar>
              <w:top w:w="90" w:type="dxa"/>
              <w:left w:w="120" w:type="dxa"/>
              <w:bottom w:w="90" w:type="dxa"/>
              <w:right w:w="120" w:type="dxa"/>
            </w:tcMar>
          </w:tcPr>
          <w:p>
            <w:pPr>
              <w:spacing w:after="0"/>
              <w:jc w:val="left"/>
            </w:pPr>
            <w:r>
              <w:rPr>
                <w:rFonts w:ascii="Aptos" w:hAnsi="Aptos"/>
                <w:b/>
                <w:i w:val="0"/>
                <w:color w:val="FFFFFF"/>
                <w:sz w:val="17"/>
              </w:rPr>
              <w:t>Acceptance approach</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NFR-SEC-01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No runtime internet dependency or outbound application/model traffic.</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Operate with egress denied and verify local alerts for attempted paths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NFR-SEC-02</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TLS internally and approved encryption at rest for hosts, database storage, backups, and removable media.</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Configuration review and recovery test</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NFR-PRI-01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Minimum necessary PHI in UI, logs, model input, audit, export, screenshots, and support artifacts.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Data-flow review and automated sensitive-log tests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NFR-REL-01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No partial protected mutations; retries are idempotent and concurrent conflicts fail safely.</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Fault-injection and concurrency tests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NFR-AVL-01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Approved backup, restoration, downtime, and recovery objectives shall be documented and demonstrated locally.</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Timed restoration exercise and reconciliation evidence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NFR-PERF-01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Interactive searches and schedule views shall meet approved local latency and scale thresholds on representative on-premises hardware.</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Synthetic load, annual-horizon, and soak tests</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NFR-DET-01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Same normalized request, snapshot, optimizer version, and policy shall produce the same ordered recommendations.</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Reproducibility suite</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NFR-ACC-01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Core workflows shall be keyboard accessible, semantically labeled, readable at supported zoom, and not dependent on color alone.</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Accessibility audit and assisted-technology walkthrough</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NFR-OBS-01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Local monitoring shall detect service, model, optimizer, database, audit, backup, certificate, clock, storage, and egress-control failures without PHI.</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Failure injection and alert-content inspection</w:t>
            </w:r>
          </w:p>
        </w:tc>
      </w:tr>
      <w:tr>
        <w:tc>
          <w:tcPr>
            <w:tcW w:type="dxa" w:w="1450"/>
            <w:vAlign w:val="center"/>
            <w:tcMar>
              <w:top w:w="90" w:type="dxa"/>
              <w:left w:w="120" w:type="dxa"/>
              <w:bottom w:w="90" w:type="dxa"/>
              <w:right w:w="120" w:type="dxa"/>
            </w:tcMar>
          </w:tcPr>
          <w:p>
            <w:pPr>
              <w:spacing w:after="0" w:line="259" w:lineRule="auto"/>
            </w:pPr>
            <w:r>
              <w:rPr>
                <w:rFonts w:ascii="Aptos" w:hAnsi="Aptos"/>
                <w:b w:val="0"/>
                <w:i w:val="0"/>
                <w:color w:val="1E252B"/>
                <w:sz w:val="16"/>
              </w:rPr>
              <w:t>NFR-MNT-01</w:t>
            </w:r>
          </w:p>
        </w:tc>
        <w:tc>
          <w:tcPr>
            <w:tcW w:type="dxa" w:w="5050"/>
            <w:vAlign w:val="center"/>
            <w:tcMar>
              <w:top w:w="90" w:type="dxa"/>
              <w:left w:w="120" w:type="dxa"/>
              <w:bottom w:w="90" w:type="dxa"/>
              <w:right w:w="120" w:type="dxa"/>
            </w:tcMar>
          </w:tcPr>
          <w:p>
            <w:pPr>
              <w:spacing w:after="0" w:line="259" w:lineRule="auto"/>
            </w:pPr>
            <w:r>
              <w:rPr>
                <w:rFonts w:ascii="Aptos" w:hAnsi="Aptos"/>
                <w:b w:val="0"/>
                <w:i w:val="0"/>
                <w:color w:val="1E252B"/>
                <w:sz w:val="16"/>
              </w:rPr>
              <w:t>Software, model, configuration, schema, and policy artifacts shall be versioned, hash-verifiable, rollback-aware, and installable offline.</w:t>
            </w:r>
          </w:p>
        </w:tc>
        <w:tc>
          <w:tcPr>
            <w:tcW w:type="dxa" w:w="2860"/>
            <w:vAlign w:val="center"/>
            <w:tcMar>
              <w:top w:w="90" w:type="dxa"/>
              <w:left w:w="120" w:type="dxa"/>
              <w:bottom w:w="90" w:type="dxa"/>
              <w:right w:w="120" w:type="dxa"/>
            </w:tcMar>
          </w:tcPr>
          <w:p>
            <w:pPr>
              <w:spacing w:after="0" w:line="259" w:lineRule="auto"/>
            </w:pPr>
            <w:r>
              <w:rPr>
                <w:rFonts w:ascii="Aptos" w:hAnsi="Aptos"/>
                <w:b w:val="0"/>
                <w:i w:val="0"/>
                <w:color w:val="1E252B"/>
                <w:sz w:val="16"/>
              </w:rPr>
              <w:t>Controlled release import, migration, rollback, and SBOM review</w:t>
            </w:r>
          </w:p>
        </w:tc>
      </w:tr>
    </w:tbl>
    <w:p>
      <w:pPr>
        <w:spacing w:after="60"/>
      </w:pPr>
    </w:p>
    <w:p>
      <w:pPr>
        <w:pStyle w:val="Heading2"/>
        <w:keepNext/>
      </w:pPr>
      <w:r>
        <w:rPr>
          <w:rFonts w:ascii="Aptos" w:hAnsi="Aptos"/>
          <w:b/>
          <w:i w:val="0"/>
          <w:color w:val="1C766C"/>
          <w:sz w:val="26"/>
        </w:rPr>
        <w:t>15.16 Requirement Traceability and Acceptance</w:t>
      </w:r>
    </w:p>
    <w:tbl>
      <w:tblPr>
        <w:tblStyle w:val="TableGrid"/>
        <w:tblW w:type="dxa" w:w="9360"/>
        <w:jc w:val="left"/>
        <w:tblLayout w:type="fixed"/>
        <w:tblLook w:firstColumn="1" w:firstRow="1" w:lastColumn="0" w:lastRow="0" w:noHBand="0" w:noVBand="1" w:val="04A0"/>
        <w:tblInd w:type="dxa" w:w="120"/>
      </w:tblPr>
      <w:tblGrid>
        <w:gridCol w:w="2100"/>
        <w:gridCol w:w="3350"/>
        <w:gridCol w:w="3910"/>
      </w:tblGrid>
      <w:tr>
        <w:trPr>
          <w:tblHeader w:val="true"/>
        </w:trPr>
        <w:tc>
          <w:tcPr>
            <w:tcW w:type="dxa" w:w="2100"/>
            <w:shd w:fill="20344A"/>
            <w:vAlign w:val="center"/>
            <w:tcMar>
              <w:top w:w="90" w:type="dxa"/>
              <w:left w:w="120" w:type="dxa"/>
              <w:bottom w:w="90" w:type="dxa"/>
              <w:right w:w="120" w:type="dxa"/>
            </w:tcMar>
          </w:tcPr>
          <w:p>
            <w:pPr>
              <w:spacing w:after="0"/>
              <w:jc w:val="center"/>
            </w:pPr>
            <w:r>
              <w:rPr>
                <w:rFonts w:ascii="Aptos" w:hAnsi="Aptos"/>
                <w:b/>
                <w:i w:val="0"/>
                <w:color w:val="FFFFFF"/>
                <w:sz w:val="17"/>
              </w:rPr>
              <w:t>Capability</w:t>
            </w:r>
          </w:p>
        </w:tc>
        <w:tc>
          <w:tcPr>
            <w:tcW w:type="dxa" w:w="3350"/>
            <w:shd w:fill="20344A"/>
            <w:vAlign w:val="center"/>
            <w:tcMar>
              <w:top w:w="90" w:type="dxa"/>
              <w:left w:w="120" w:type="dxa"/>
              <w:bottom w:w="90" w:type="dxa"/>
              <w:right w:w="120" w:type="dxa"/>
            </w:tcMar>
          </w:tcPr>
          <w:p>
            <w:pPr>
              <w:spacing w:after="0"/>
              <w:jc w:val="left"/>
            </w:pPr>
            <w:r>
              <w:rPr>
                <w:rFonts w:ascii="Aptos" w:hAnsi="Aptos"/>
                <w:b/>
                <w:i w:val="0"/>
                <w:color w:val="FFFFFF"/>
                <w:sz w:val="17"/>
              </w:rPr>
              <w:t>Primary requirements</w:t>
            </w:r>
          </w:p>
        </w:tc>
        <w:tc>
          <w:tcPr>
            <w:tcW w:type="dxa" w:w="3910"/>
            <w:shd w:fill="20344A"/>
            <w:vAlign w:val="center"/>
            <w:tcMar>
              <w:top w:w="90" w:type="dxa"/>
              <w:left w:w="120" w:type="dxa"/>
              <w:bottom w:w="90" w:type="dxa"/>
              <w:right w:w="120" w:type="dxa"/>
            </w:tcMar>
          </w:tcPr>
          <w:p>
            <w:pPr>
              <w:spacing w:after="0"/>
              <w:jc w:val="center"/>
            </w:pPr>
            <w:r>
              <w:rPr>
                <w:rFonts w:ascii="Aptos" w:hAnsi="Aptos"/>
                <w:b/>
                <w:i w:val="0"/>
                <w:color w:val="FFFFFF"/>
                <w:sz w:val="17"/>
              </w:rPr>
              <w:t>Release evidence</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Identity and minimum access</w:t>
            </w:r>
          </w:p>
        </w:tc>
        <w:tc>
          <w:tcPr>
            <w:tcW w:type="dxa" w:w="3350"/>
            <w:vAlign w:val="center"/>
            <w:tcMar>
              <w:top w:w="90" w:type="dxa"/>
              <w:left w:w="120" w:type="dxa"/>
              <w:bottom w:w="90" w:type="dxa"/>
              <w:right w:w="120" w:type="dxa"/>
            </w:tcMar>
          </w:tcPr>
          <w:p>
            <w:pPr>
              <w:spacing w:after="0" w:line="259" w:lineRule="auto"/>
            </w:pPr>
            <w:r>
              <w:rPr>
                <w:rFonts w:ascii="Aptos" w:hAnsi="Aptos"/>
                <w:b w:val="0"/>
                <w:i w:val="0"/>
                <w:color w:val="1E252B"/>
                <w:sz w:val="16"/>
              </w:rPr>
              <w:t>FR-IAM-01–05; NFR-SEC-02; NFR-PRI-01</w:t>
            </w:r>
          </w:p>
        </w:tc>
        <w:tc>
          <w:tcPr>
            <w:tcW w:type="dxa" w:w="3910"/>
            <w:vAlign w:val="center"/>
            <w:tcMar>
              <w:top w:w="90" w:type="dxa"/>
              <w:left w:w="120" w:type="dxa"/>
              <w:bottom w:w="90" w:type="dxa"/>
              <w:right w:w="120" w:type="dxa"/>
            </w:tcMar>
          </w:tcPr>
          <w:p>
            <w:pPr>
              <w:spacing w:after="0" w:line="259" w:lineRule="auto"/>
            </w:pPr>
            <w:r>
              <w:rPr>
                <w:rFonts w:ascii="Aptos" w:hAnsi="Aptos"/>
                <w:b w:val="0"/>
                <w:i w:val="0"/>
                <w:color w:val="1E252B"/>
                <w:sz w:val="16"/>
              </w:rPr>
              <w:t>Authentication, authorization, session, patient-view, and audit tests</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Safe intake AI</w:t>
            </w:r>
          </w:p>
        </w:tc>
        <w:tc>
          <w:tcPr>
            <w:tcW w:type="dxa" w:w="3350"/>
            <w:vAlign w:val="center"/>
            <w:tcMar>
              <w:top w:w="90" w:type="dxa"/>
              <w:left w:w="120" w:type="dxa"/>
              <w:bottom w:w="90" w:type="dxa"/>
              <w:right w:w="120" w:type="dxa"/>
            </w:tcMar>
          </w:tcPr>
          <w:p>
            <w:pPr>
              <w:spacing w:after="0" w:line="259" w:lineRule="auto"/>
            </w:pPr>
            <w:r>
              <w:rPr>
                <w:rFonts w:ascii="Aptos" w:hAnsi="Aptos"/>
                <w:b w:val="0"/>
                <w:i w:val="0"/>
                <w:color w:val="1E252B"/>
                <w:sz w:val="16"/>
              </w:rPr>
              <w:t>FR-INT-01–06; NFR-SEC-01; NFR-PRI-01</w:t>
            </w:r>
          </w:p>
        </w:tc>
        <w:tc>
          <w:tcPr>
            <w:tcW w:type="dxa" w:w="3910"/>
            <w:vAlign w:val="center"/>
            <w:tcMar>
              <w:top w:w="90" w:type="dxa"/>
              <w:left w:w="120" w:type="dxa"/>
              <w:bottom w:w="90" w:type="dxa"/>
              <w:right w:w="120" w:type="dxa"/>
            </w:tcMar>
          </w:tcPr>
          <w:p>
            <w:pPr>
              <w:spacing w:after="0" w:line="259" w:lineRule="auto"/>
            </w:pPr>
            <w:r>
              <w:rPr>
                <w:rFonts w:ascii="Aptos" w:hAnsi="Aptos"/>
                <w:b w:val="0"/>
                <w:i w:val="0"/>
                <w:color w:val="1E252B"/>
                <w:sz w:val="16"/>
              </w:rPr>
              <w:t>Model schema, allowlist, hostile-input, outage, privacy, and clinician-review evidence</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Feasible annual scheduling</w:t>
            </w:r>
          </w:p>
        </w:tc>
        <w:tc>
          <w:tcPr>
            <w:tcW w:type="dxa" w:w="3350"/>
            <w:vAlign w:val="center"/>
            <w:tcMar>
              <w:top w:w="90" w:type="dxa"/>
              <w:left w:w="120" w:type="dxa"/>
              <w:bottom w:w="90" w:type="dxa"/>
              <w:right w:w="120" w:type="dxa"/>
            </w:tcMar>
          </w:tcPr>
          <w:p>
            <w:pPr>
              <w:spacing w:after="0" w:line="259" w:lineRule="auto"/>
            </w:pPr>
            <w:r>
              <w:rPr>
                <w:rFonts w:ascii="Aptos" w:hAnsi="Aptos"/>
                <w:b w:val="0"/>
                <w:i w:val="0"/>
                <w:color w:val="1E252B"/>
                <w:sz w:val="16"/>
              </w:rPr>
              <w:t>FR-SCH-01–08; BR-01, 05, 06, 11; NFR-DET-01</w:t>
            </w:r>
          </w:p>
        </w:tc>
        <w:tc>
          <w:tcPr>
            <w:tcW w:type="dxa" w:w="3910"/>
            <w:vAlign w:val="center"/>
            <w:tcMar>
              <w:top w:w="90" w:type="dxa"/>
              <w:left w:w="120" w:type="dxa"/>
              <w:bottom w:w="90" w:type="dxa"/>
              <w:right w:w="120" w:type="dxa"/>
            </w:tcMar>
          </w:tcPr>
          <w:p>
            <w:pPr>
              <w:spacing w:after="0" w:line="259" w:lineRule="auto"/>
            </w:pPr>
            <w:r>
              <w:rPr>
                <w:rFonts w:ascii="Aptos" w:hAnsi="Aptos"/>
                <w:b w:val="0"/>
                <w:i w:val="0"/>
                <w:color w:val="1E252B"/>
                <w:sz w:val="16"/>
              </w:rPr>
              <w:t>Invariant/property, year/DST, supervision, buffer, no-slot, reproducibility, and performance tests</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Conflict-safe booking</w:t>
            </w:r>
          </w:p>
        </w:tc>
        <w:tc>
          <w:tcPr>
            <w:tcW w:type="dxa" w:w="3350"/>
            <w:vAlign w:val="center"/>
            <w:tcMar>
              <w:top w:w="90" w:type="dxa"/>
              <w:left w:w="120" w:type="dxa"/>
              <w:bottom w:w="90" w:type="dxa"/>
              <w:right w:w="120" w:type="dxa"/>
            </w:tcMar>
          </w:tcPr>
          <w:p>
            <w:pPr>
              <w:spacing w:after="0" w:line="259" w:lineRule="auto"/>
            </w:pPr>
            <w:r>
              <w:rPr>
                <w:rFonts w:ascii="Aptos" w:hAnsi="Aptos"/>
                <w:b w:val="0"/>
                <w:i w:val="0"/>
                <w:color w:val="1E252B"/>
                <w:sz w:val="16"/>
              </w:rPr>
              <w:t>FR-BOOK-01–04; NFR-REL-01</w:t>
            </w:r>
          </w:p>
        </w:tc>
        <w:tc>
          <w:tcPr>
            <w:tcW w:type="dxa" w:w="3910"/>
            <w:vAlign w:val="center"/>
            <w:tcMar>
              <w:top w:w="90" w:type="dxa"/>
              <w:left w:w="120" w:type="dxa"/>
              <w:bottom w:w="90" w:type="dxa"/>
              <w:right w:w="120" w:type="dxa"/>
            </w:tcMar>
          </w:tcPr>
          <w:p>
            <w:pPr>
              <w:spacing w:after="0" w:line="259" w:lineRule="auto"/>
            </w:pPr>
            <w:r>
              <w:rPr>
                <w:rFonts w:ascii="Aptos" w:hAnsi="Aptos"/>
                <w:b w:val="0"/>
                <w:i w:val="0"/>
                <w:color w:val="1E252B"/>
                <w:sz w:val="16"/>
              </w:rPr>
              <w:t>Concurrent confirmation, stale snapshot, rollback, idempotency, and audit atomicity tests</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Protected rescheduling</w:t>
            </w:r>
          </w:p>
        </w:tc>
        <w:tc>
          <w:tcPr>
            <w:tcW w:type="dxa" w:w="3350"/>
            <w:vAlign w:val="center"/>
            <w:tcMar>
              <w:top w:w="90" w:type="dxa"/>
              <w:left w:w="120" w:type="dxa"/>
              <w:bottom w:w="90" w:type="dxa"/>
              <w:right w:w="120" w:type="dxa"/>
            </w:tcMar>
          </w:tcPr>
          <w:p>
            <w:pPr>
              <w:spacing w:after="0" w:line="259" w:lineRule="auto"/>
            </w:pPr>
            <w:r>
              <w:rPr>
                <w:rFonts w:ascii="Aptos" w:hAnsi="Aptos"/>
                <w:b w:val="0"/>
                <w:i w:val="0"/>
                <w:color w:val="1E252B"/>
                <w:sz w:val="16"/>
              </w:rPr>
              <w:t>FR-RS-01–04; BR-03, 04</w:t>
            </w:r>
          </w:p>
        </w:tc>
        <w:tc>
          <w:tcPr>
            <w:tcW w:type="dxa" w:w="3910"/>
            <w:vAlign w:val="center"/>
            <w:tcMar>
              <w:top w:w="90" w:type="dxa"/>
              <w:left w:w="120" w:type="dxa"/>
              <w:bottom w:w="90" w:type="dxa"/>
              <w:right w:w="120" w:type="dxa"/>
            </w:tcMar>
          </w:tcPr>
          <w:p>
            <w:pPr>
              <w:spacing w:after="0" w:line="259" w:lineRule="auto"/>
            </w:pPr>
            <w:r>
              <w:rPr>
                <w:rFonts w:ascii="Aptos" w:hAnsi="Aptos"/>
                <w:b w:val="0"/>
                <w:i w:val="0"/>
                <w:color w:val="1E252B"/>
                <w:sz w:val="16"/>
              </w:rPr>
              <w:t>Unauthorized, expired, mismatched, concurrent, and successful exact-change scenarios</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Daily operations and recovery</w:t>
            </w:r>
          </w:p>
        </w:tc>
        <w:tc>
          <w:tcPr>
            <w:tcW w:type="dxa" w:w="3350"/>
            <w:vAlign w:val="center"/>
            <w:tcMar>
              <w:top w:w="90" w:type="dxa"/>
              <w:left w:w="120" w:type="dxa"/>
              <w:bottom w:w="90" w:type="dxa"/>
              <w:right w:w="120" w:type="dxa"/>
            </w:tcMar>
          </w:tcPr>
          <w:p>
            <w:pPr>
              <w:spacing w:after="0" w:line="259" w:lineRule="auto"/>
            </w:pPr>
            <w:r>
              <w:rPr>
                <w:rFonts w:ascii="Aptos" w:hAnsi="Aptos"/>
                <w:b w:val="0"/>
                <w:i w:val="0"/>
                <w:color w:val="1E252B"/>
                <w:sz w:val="16"/>
              </w:rPr>
              <w:t>FR-OPS-01–04; FR-WL-01–03; FR-URG-01; FR-LINK-01</w:t>
            </w:r>
          </w:p>
        </w:tc>
        <w:tc>
          <w:tcPr>
            <w:tcW w:type="dxa" w:w="3910"/>
            <w:vAlign w:val="center"/>
            <w:tcMar>
              <w:top w:w="90" w:type="dxa"/>
              <w:left w:w="120" w:type="dxa"/>
              <w:bottom w:w="90" w:type="dxa"/>
              <w:right w:w="120" w:type="dxa"/>
            </w:tcMar>
          </w:tcPr>
          <w:p>
            <w:pPr>
              <w:spacing w:after="0" w:line="259" w:lineRule="auto"/>
            </w:pPr>
            <w:r>
              <w:rPr>
                <w:rFonts w:ascii="Aptos" w:hAnsi="Aptos"/>
                <w:b w:val="0"/>
                <w:i w:val="0"/>
                <w:color w:val="1E252B"/>
                <w:sz w:val="16"/>
              </w:rPr>
              <w:t>Outcome, capacity release, walk-in, waitlist, urgent block, linked-visit, and contact tests</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Governed configuration</w:t>
            </w:r>
          </w:p>
        </w:tc>
        <w:tc>
          <w:tcPr>
            <w:tcW w:type="dxa" w:w="3350"/>
            <w:vAlign w:val="center"/>
            <w:tcMar>
              <w:top w:w="90" w:type="dxa"/>
              <w:left w:w="120" w:type="dxa"/>
              <w:bottom w:w="90" w:type="dxa"/>
              <w:right w:w="120" w:type="dxa"/>
            </w:tcMar>
          </w:tcPr>
          <w:p>
            <w:pPr>
              <w:spacing w:after="0" w:line="259" w:lineRule="auto"/>
            </w:pPr>
            <w:r>
              <w:rPr>
                <w:rFonts w:ascii="Aptos" w:hAnsi="Aptos"/>
                <w:b w:val="0"/>
                <w:i w:val="0"/>
                <w:color w:val="1E252B"/>
                <w:sz w:val="16"/>
              </w:rPr>
              <w:t>FR-ADM-01–02; FR-CAL-00–03; BR-10</w:t>
            </w:r>
          </w:p>
        </w:tc>
        <w:tc>
          <w:tcPr>
            <w:tcW w:type="dxa" w:w="3910"/>
            <w:vAlign w:val="center"/>
            <w:tcMar>
              <w:top w:w="90" w:type="dxa"/>
              <w:left w:w="120" w:type="dxa"/>
              <w:bottom w:w="90" w:type="dxa"/>
              <w:right w:w="120" w:type="dxa"/>
            </w:tcMar>
          </w:tcPr>
          <w:p>
            <w:pPr>
              <w:spacing w:after="0" w:line="259" w:lineRule="auto"/>
            </w:pPr>
            <w:r>
              <w:rPr>
                <w:rFonts w:ascii="Aptos" w:hAnsi="Aptos"/>
                <w:b w:val="0"/>
                <w:i w:val="0"/>
                <w:color w:val="1E252B"/>
                <w:sz w:val="16"/>
              </w:rPr>
              <w:t>Default-first operation, evidence-threshold, effective-date, invalid import, approval, and audit tests</w:t>
            </w:r>
          </w:p>
        </w:tc>
      </w:tr>
      <w:tr>
        <w:tc>
          <w:tcPr>
            <w:tcW w:type="dxa" w:w="2100"/>
            <w:vAlign w:val="center"/>
            <w:tcMar>
              <w:top w:w="90" w:type="dxa"/>
              <w:left w:w="120" w:type="dxa"/>
              <w:bottom w:w="90" w:type="dxa"/>
              <w:right w:w="120" w:type="dxa"/>
            </w:tcMar>
          </w:tcPr>
          <w:p>
            <w:pPr>
              <w:spacing w:after="0" w:line="259" w:lineRule="auto"/>
            </w:pPr>
            <w:r>
              <w:rPr>
                <w:rFonts w:ascii="Aptos" w:hAnsi="Aptos"/>
                <w:b w:val="0"/>
                <w:i w:val="0"/>
                <w:color w:val="1E252B"/>
                <w:sz w:val="16"/>
              </w:rPr>
              <w:t>Offline secure operation</w:t>
            </w:r>
          </w:p>
        </w:tc>
        <w:tc>
          <w:tcPr>
            <w:tcW w:type="dxa" w:w="3350"/>
            <w:vAlign w:val="center"/>
            <w:tcMar>
              <w:top w:w="90" w:type="dxa"/>
              <w:left w:w="120" w:type="dxa"/>
              <w:bottom w:w="90" w:type="dxa"/>
              <w:right w:w="120" w:type="dxa"/>
            </w:tcMar>
          </w:tcPr>
          <w:p>
            <w:pPr>
              <w:spacing w:after="0" w:line="259" w:lineRule="auto"/>
            </w:pPr>
            <w:r>
              <w:rPr>
                <w:rFonts w:ascii="Aptos" w:hAnsi="Aptos"/>
                <w:b w:val="0"/>
                <w:i w:val="0"/>
                <w:color w:val="1E252B"/>
                <w:sz w:val="16"/>
              </w:rPr>
              <w:t>NFR-SEC-01–02; NFR-AVL-01; NFR-OBS-01; NFR-MNT-01</w:t>
            </w:r>
          </w:p>
        </w:tc>
        <w:tc>
          <w:tcPr>
            <w:tcW w:type="dxa" w:w="3910"/>
            <w:vAlign w:val="center"/>
            <w:tcMar>
              <w:top w:w="90" w:type="dxa"/>
              <w:left w:w="120" w:type="dxa"/>
              <w:bottom w:w="90" w:type="dxa"/>
              <w:right w:w="120" w:type="dxa"/>
            </w:tcMar>
          </w:tcPr>
          <w:p>
            <w:pPr>
              <w:spacing w:after="0" w:line="259" w:lineRule="auto"/>
            </w:pPr>
            <w:r>
              <w:rPr>
                <w:rFonts w:ascii="Aptos" w:hAnsi="Aptos"/>
                <w:b w:val="0"/>
                <w:i w:val="0"/>
                <w:color w:val="1E252B"/>
                <w:sz w:val="16"/>
              </w:rPr>
              <w:t>No-egress, encryption review, monitoring, signed bundle, restore, rollback, and downtime evidence</w:t>
            </w:r>
          </w:p>
        </w:tc>
      </w:tr>
    </w:tbl>
    <w:p>
      <w:pPr>
        <w:spacing w:after="60"/>
      </w:pPr>
    </w:p>
    <w:p>
      <w:pPr>
        <w:pStyle w:val="Heading2"/>
        <w:keepNext/>
      </w:pPr>
      <w:r>
        <w:rPr>
          <w:rFonts w:ascii="Aptos" w:hAnsi="Aptos"/>
          <w:b/>
          <w:i w:val="0"/>
          <w:color w:val="1C766C"/>
          <w:sz w:val="26"/>
        </w:rPr>
        <w:t>15.17 Product Acceptance Gate</w:t>
      </w:r>
    </w:p>
    <w:p>
      <w:pPr>
        <w:spacing w:after="120" w:line="283" w:lineRule="auto"/>
      </w:pPr>
      <w:r>
        <w:rPr>
          <w:rFonts w:ascii="Aptos" w:hAnsi="Aptos"/>
          <w:b w:val="0"/>
          <w:i w:val="0"/>
          <w:color w:val="1E252B"/>
          <w:sz w:val="21"/>
        </w:rPr>
        <w:t>The product is ready for production consideration only when all conditions below are satisfied with approved local policy and retained evidence. Passing software tests alone is insufficient.</w:t>
      </w:r>
    </w:p>
    <w:p>
      <w:pPr>
        <w:pStyle w:val="ListBullet"/>
        <w:spacing w:after="80" w:line="276" w:lineRule="auto"/>
        <w:ind w:left="547" w:hanging="274"/>
      </w:pPr>
      <w:r>
        <w:rPr>
          <w:rFonts w:ascii="Aptos" w:hAnsi="Aptos"/>
          <w:b w:val="0"/>
          <w:i w:val="0"/>
          <w:color w:val="1E252B"/>
          <w:sz w:val="21"/>
        </w:rPr>
        <w:t>Clinical owners approve the procedure catalog, phases, duration classes, qualifications, urgency tags, supervision, buffers, equipment, and linked-visit rules.</w:t>
      </w:r>
    </w:p>
    <w:p>
      <w:pPr>
        <w:pStyle w:val="ListBullet"/>
        <w:spacing w:after="80" w:line="276" w:lineRule="auto"/>
        <w:ind w:left="547" w:hanging="274"/>
      </w:pPr>
      <w:r>
        <w:rPr>
          <w:rFonts w:ascii="Aptos" w:hAnsi="Aptos"/>
          <w:b w:val="0"/>
          <w:i w:val="0"/>
          <w:color w:val="1E252B"/>
          <w:sz w:val="21"/>
        </w:rPr>
        <w:t>Operations owners approve hours, shifts, cover, leave, rooms, urgent capacity, waitlist, contact, production-credit, target, and rescheduling policies.</w:t>
      </w:r>
    </w:p>
    <w:p>
      <w:pPr>
        <w:pStyle w:val="ListBullet"/>
        <w:spacing w:after="80" w:line="276" w:lineRule="auto"/>
        <w:ind w:left="547" w:hanging="274"/>
      </w:pPr>
      <w:r>
        <w:rPr>
          <w:rFonts w:ascii="Aptos" w:hAnsi="Aptos"/>
          <w:b w:val="0"/>
          <w:i w:val="0"/>
          <w:color w:val="1E252B"/>
          <w:sz w:val="21"/>
        </w:rPr>
        <w:t>Privacy and security owners approve data flows, access roles, audit, retention, exports, model handling, offline controls, risk treatment, incident response, and release evidence.</w:t>
      </w:r>
    </w:p>
    <w:p>
      <w:pPr>
        <w:pStyle w:val="ListBullet"/>
        <w:spacing w:after="80" w:line="276" w:lineRule="auto"/>
        <w:ind w:left="547" w:hanging="274"/>
      </w:pPr>
      <w:r>
        <w:rPr>
          <w:rFonts w:ascii="Aptos" w:hAnsi="Aptos"/>
          <w:b w:val="0"/>
          <w:i w:val="0"/>
          <w:color w:val="1E252B"/>
          <w:sz w:val="21"/>
        </w:rPr>
        <w:t>Technical owners demonstrate clean offline installation, no-egress operation, migration, rollback compatibility, backup restoration, clock/certificate health, monitoring, and support procedures.</w:t>
      </w:r>
    </w:p>
    <w:p>
      <w:pPr>
        <w:pStyle w:val="ListBullet"/>
        <w:spacing w:after="80" w:line="276" w:lineRule="auto"/>
        <w:ind w:left="547" w:hanging="274"/>
      </w:pPr>
      <w:r>
        <w:rPr>
          <w:rFonts w:ascii="Aptos" w:hAnsi="Aptos"/>
          <w:b w:val="0"/>
          <w:i w:val="0"/>
          <w:color w:val="1E252B"/>
          <w:sz w:val="21"/>
        </w:rPr>
        <w:t>All requirement-linked tests pass on representative synthetic scale, including concurrency, annual boundaries, daylight-saving, failure injection, performance, accessibility, and recovery.</w:t>
      </w:r>
    </w:p>
    <w:p>
      <w:pPr>
        <w:pStyle w:val="ListBullet"/>
        <w:spacing w:after="80" w:line="276" w:lineRule="auto"/>
        <w:ind w:left="547" w:hanging="274"/>
      </w:pPr>
      <w:r>
        <w:rPr>
          <w:rFonts w:ascii="Aptos" w:hAnsi="Aptos"/>
          <w:b w:val="0"/>
          <w:i w:val="0"/>
          <w:color w:val="1E252B"/>
          <w:sz w:val="21"/>
        </w:rPr>
        <w:t>Known limitations and unresolved policy decisions are documented, risk-assessed, assigned to an owner, and either closed or formally accepted before use.</w:t>
      </w:r>
    </w:p>
    <w:p>
      <w:pPr>
        <w:pStyle w:val="Heading2"/>
        <w:keepNext/>
      </w:pPr>
      <w:r>
        <w:rPr>
          <w:rFonts w:ascii="Aptos" w:hAnsi="Aptos"/>
          <w:b/>
          <w:i w:val="0"/>
          <w:color w:val="1C766C"/>
          <w:sz w:val="26"/>
        </w:rPr>
        <w:t>15.18 Product Success Measurement Specification</w:t>
      </w:r>
    </w:p>
    <w:p>
      <w:pPr>
        <w:spacing w:after="120" w:line="283" w:lineRule="auto"/>
      </w:pPr>
      <w:r>
        <w:rPr>
          <w:rFonts w:ascii="Aptos" w:hAnsi="Aptos"/>
          <w:b w:val="0"/>
          <w:i w:val="0"/>
          <w:color w:val="1E252B"/>
          <w:sz w:val="21"/>
        </w:rPr>
        <w:t>A deployment should convert the generic measures below into an approved measurement record with exact formulas, baselines, exclusions, target hardware, source fields, owners, thresholds, and cadence. These measures do not need to exist before the product can schedule from validated reference defaults.</w:t>
      </w:r>
    </w:p>
    <w:tbl>
      <w:tblPr>
        <w:tblStyle w:val="TableGrid"/>
        <w:tblW w:type="dxa" w:w="9360"/>
        <w:jc w:val="left"/>
        <w:tblLayout w:type="fixed"/>
        <w:tblLook w:firstColumn="1" w:firstRow="1" w:lastColumn="0" w:lastRow="0" w:noHBand="0" w:noVBand="1" w:val="04A0"/>
        <w:tblInd w:type="dxa" w:w="120"/>
      </w:tblPr>
      <w:tblGrid>
        <w:gridCol w:w="1900"/>
        <w:gridCol w:w="4500"/>
        <w:gridCol w:w="2960"/>
      </w:tblGrid>
      <w:tr>
        <w:trPr>
          <w:tblHeader w:val="true"/>
        </w:trPr>
        <w:tc>
          <w:tcPr>
            <w:tcW w:type="dxa" w:w="1900"/>
            <w:shd w:fill="20344A"/>
            <w:vAlign w:val="center"/>
            <w:tcMar>
              <w:top w:w="90" w:type="dxa"/>
              <w:left w:w="120" w:type="dxa"/>
              <w:bottom w:w="90" w:type="dxa"/>
              <w:right w:w="120" w:type="dxa"/>
            </w:tcMar>
          </w:tcPr>
          <w:p>
            <w:pPr>
              <w:spacing w:after="0"/>
              <w:jc w:val="center"/>
            </w:pPr>
            <w:r>
              <w:rPr>
                <w:rFonts w:ascii="Aptos" w:hAnsi="Aptos"/>
                <w:b/>
                <w:i w:val="0"/>
                <w:color w:val="FFFFFF"/>
                <w:sz w:val="17"/>
              </w:rPr>
              <w:t>Measure family</w:t>
            </w:r>
          </w:p>
        </w:tc>
        <w:tc>
          <w:tcPr>
            <w:tcW w:type="dxa" w:w="4500"/>
            <w:shd w:fill="20344A"/>
            <w:vAlign w:val="center"/>
            <w:tcMar>
              <w:top w:w="90" w:type="dxa"/>
              <w:left w:w="120" w:type="dxa"/>
              <w:bottom w:w="90" w:type="dxa"/>
              <w:right w:w="120" w:type="dxa"/>
            </w:tcMar>
          </w:tcPr>
          <w:p>
            <w:pPr>
              <w:spacing w:after="0"/>
              <w:jc w:val="center"/>
            </w:pPr>
            <w:r>
              <w:rPr>
                <w:rFonts w:ascii="Aptos" w:hAnsi="Aptos"/>
                <w:b/>
                <w:i w:val="0"/>
                <w:color w:val="FFFFFF"/>
                <w:sz w:val="17"/>
              </w:rPr>
              <w:t>Required measures</w:t>
            </w:r>
          </w:p>
        </w:tc>
        <w:tc>
          <w:tcPr>
            <w:tcW w:type="dxa" w:w="2960"/>
            <w:shd w:fill="20344A"/>
            <w:vAlign w:val="center"/>
            <w:tcMar>
              <w:top w:w="90" w:type="dxa"/>
              <w:left w:w="120" w:type="dxa"/>
              <w:bottom w:w="90" w:type="dxa"/>
              <w:right w:w="120" w:type="dxa"/>
            </w:tcMar>
          </w:tcPr>
          <w:p>
            <w:pPr>
              <w:spacing w:after="0"/>
              <w:jc w:val="left"/>
            </w:pPr>
            <w:r>
              <w:rPr>
                <w:rFonts w:ascii="Aptos" w:hAnsi="Aptos"/>
                <w:b/>
                <w:i w:val="0"/>
                <w:color w:val="FFFFFF"/>
                <w:sz w:val="17"/>
              </w:rPr>
              <w:t>Acceptance principle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Safety and control</w:t>
            </w:r>
          </w:p>
        </w:tc>
        <w:tc>
          <w:tcPr>
            <w:tcW w:type="dxa" w:w="4500"/>
            <w:vAlign w:val="center"/>
            <w:tcMar>
              <w:top w:w="90" w:type="dxa"/>
              <w:left w:w="120" w:type="dxa"/>
              <w:bottom w:w="90" w:type="dxa"/>
              <w:right w:w="120" w:type="dxa"/>
            </w:tcMar>
          </w:tcPr>
          <w:p>
            <w:pPr>
              <w:spacing w:after="0" w:line="259" w:lineRule="auto"/>
            </w:pPr>
            <w:r>
              <w:rPr>
                <w:rFonts w:ascii="Aptos" w:hAnsi="Aptos"/>
                <w:b w:val="0"/>
                <w:i w:val="0"/>
                <w:color w:val="1E252B"/>
                <w:sz w:val="16"/>
              </w:rPr>
              <w:t>Unauthorized movement, resource overlap, hard-constraint bypass, protected-action audit coverage</w:t>
            </w:r>
          </w:p>
        </w:tc>
        <w:tc>
          <w:tcPr>
            <w:tcW w:type="dxa" w:w="2960"/>
            <w:vAlign w:val="center"/>
            <w:tcMar>
              <w:top w:w="90" w:type="dxa"/>
              <w:left w:w="120" w:type="dxa"/>
              <w:bottom w:w="90" w:type="dxa"/>
              <w:right w:w="120" w:type="dxa"/>
            </w:tcMar>
          </w:tcPr>
          <w:p>
            <w:pPr>
              <w:spacing w:after="0" w:line="259" w:lineRule="auto"/>
            </w:pPr>
            <w:r>
              <w:rPr>
                <w:rFonts w:ascii="Aptos" w:hAnsi="Aptos"/>
                <w:b w:val="0"/>
                <w:i w:val="0"/>
                <w:color w:val="1E252B"/>
                <w:sz w:val="16"/>
              </w:rPr>
              <w:t>Zero unsafe events and complete audit evidence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Privacy</w:t>
            </w:r>
          </w:p>
        </w:tc>
        <w:tc>
          <w:tcPr>
            <w:tcW w:type="dxa" w:w="4500"/>
            <w:vAlign w:val="center"/>
            <w:tcMar>
              <w:top w:w="90" w:type="dxa"/>
              <w:left w:w="120" w:type="dxa"/>
              <w:bottom w:w="90" w:type="dxa"/>
              <w:right w:w="120" w:type="dxa"/>
            </w:tcMar>
          </w:tcPr>
          <w:p>
            <w:pPr>
              <w:spacing w:after="0" w:line="259" w:lineRule="auto"/>
            </w:pPr>
            <w:r>
              <w:rPr>
                <w:rFonts w:ascii="Aptos" w:hAnsi="Aptos"/>
                <w:b w:val="0"/>
                <w:i w:val="0"/>
                <w:color w:val="1E252B"/>
                <w:sz w:val="16"/>
              </w:rPr>
              <w:t>External disclosure, sensitive-log findings, prohibited calibration fields</w:t>
            </w:r>
          </w:p>
        </w:tc>
        <w:tc>
          <w:tcPr>
            <w:tcW w:type="dxa" w:w="2960"/>
            <w:vAlign w:val="center"/>
            <w:tcMar>
              <w:top w:w="90" w:type="dxa"/>
              <w:left w:w="120" w:type="dxa"/>
              <w:bottom w:w="90" w:type="dxa"/>
              <w:right w:w="120" w:type="dxa"/>
            </w:tcMar>
          </w:tcPr>
          <w:p>
            <w:pPr>
              <w:spacing w:after="0" w:line="259" w:lineRule="auto"/>
            </w:pPr>
            <w:r>
              <w:rPr>
                <w:rFonts w:ascii="Aptos" w:hAnsi="Aptos"/>
                <w:b w:val="0"/>
                <w:i w:val="0"/>
                <w:color w:val="1E252B"/>
                <w:sz w:val="16"/>
              </w:rPr>
              <w:t>Zero; investigate every finding</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Scheduling outcomes</w:t>
            </w:r>
          </w:p>
        </w:tc>
        <w:tc>
          <w:tcPr>
            <w:tcW w:type="dxa" w:w="4500"/>
            <w:vAlign w:val="center"/>
            <w:tcMar>
              <w:top w:w="90" w:type="dxa"/>
              <w:left w:w="120" w:type="dxa"/>
              <w:bottom w:w="90" w:type="dxa"/>
              <w:right w:w="120" w:type="dxa"/>
            </w:tcMar>
          </w:tcPr>
          <w:p>
            <w:pPr>
              <w:spacing w:after="0" w:line="259" w:lineRule="auto"/>
            </w:pPr>
            <w:r>
              <w:rPr>
                <w:rFonts w:ascii="Aptos" w:hAnsi="Aptos"/>
                <w:b w:val="0"/>
                <w:i w:val="0"/>
                <w:color w:val="1E252B"/>
                <w:sz w:val="16"/>
              </w:rPr>
              <w:t>Recommendation acceptance, handling time, feasible-search rate, lead time, waitlist recovery, patient wait</w:t>
            </w:r>
          </w:p>
        </w:tc>
        <w:tc>
          <w:tcPr>
            <w:tcW w:type="dxa" w:w="2960"/>
            <w:vAlign w:val="center"/>
            <w:tcMar>
              <w:top w:w="90" w:type="dxa"/>
              <w:left w:w="120" w:type="dxa"/>
              <w:bottom w:w="90" w:type="dxa"/>
              <w:right w:w="120" w:type="dxa"/>
            </w:tcMar>
          </w:tcPr>
          <w:p>
            <w:pPr>
              <w:spacing w:after="0" w:line="259" w:lineRule="auto"/>
            </w:pPr>
            <w:r>
              <w:rPr>
                <w:rFonts w:ascii="Aptos" w:hAnsi="Aptos"/>
                <w:b w:val="0"/>
                <w:i w:val="0"/>
                <w:color w:val="1E252B"/>
                <w:sz w:val="16"/>
              </w:rPr>
              <w:t>Improve against a comparable baseline without weakening constraints</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Reliability and recovery</w:t>
            </w:r>
          </w:p>
        </w:tc>
        <w:tc>
          <w:tcPr>
            <w:tcW w:type="dxa" w:w="4500"/>
            <w:vAlign w:val="center"/>
            <w:tcMar>
              <w:top w:w="90" w:type="dxa"/>
              <w:left w:w="120" w:type="dxa"/>
              <w:bottom w:w="90" w:type="dxa"/>
              <w:right w:w="120" w:type="dxa"/>
            </w:tcMar>
          </w:tcPr>
          <w:p>
            <w:pPr>
              <w:spacing w:after="0" w:line="259" w:lineRule="auto"/>
            </w:pPr>
            <w:r>
              <w:rPr>
                <w:rFonts w:ascii="Aptos" w:hAnsi="Aptos"/>
                <w:b w:val="0"/>
                <w:i w:val="0"/>
                <w:color w:val="1E252B"/>
                <w:sz w:val="16"/>
              </w:rPr>
              <w:t>Operating-hours availability, confirmation success, backup completion, restoration exercise</w:t>
            </w:r>
          </w:p>
        </w:tc>
        <w:tc>
          <w:tcPr>
            <w:tcW w:type="dxa" w:w="2960"/>
            <w:vAlign w:val="center"/>
            <w:tcMar>
              <w:top w:w="90" w:type="dxa"/>
              <w:left w:w="120" w:type="dxa"/>
              <w:bottom w:w="90" w:type="dxa"/>
              <w:right w:w="120" w:type="dxa"/>
            </w:tcMar>
          </w:tcPr>
          <w:p>
            <w:pPr>
              <w:spacing w:after="0" w:line="259" w:lineRule="auto"/>
            </w:pPr>
            <w:r>
              <w:rPr>
                <w:rFonts w:ascii="Aptos" w:hAnsi="Aptos"/>
                <w:b w:val="0"/>
                <w:i w:val="0"/>
                <w:color w:val="1E252B"/>
                <w:sz w:val="16"/>
              </w:rPr>
              <w:t>Meet approved service and recovery objectives on local infrastructure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Performance</w:t>
            </w:r>
          </w:p>
        </w:tc>
        <w:tc>
          <w:tcPr>
            <w:tcW w:type="dxa" w:w="4500"/>
            <w:vAlign w:val="center"/>
            <w:tcMar>
              <w:top w:w="90" w:type="dxa"/>
              <w:left w:w="120" w:type="dxa"/>
              <w:bottom w:w="90" w:type="dxa"/>
              <w:right w:w="120" w:type="dxa"/>
            </w:tcMar>
          </w:tcPr>
          <w:p>
            <w:pPr>
              <w:spacing w:after="0" w:line="259" w:lineRule="auto"/>
            </w:pPr>
            <w:r>
              <w:rPr>
                <w:rFonts w:ascii="Aptos" w:hAnsi="Aptos"/>
                <w:b w:val="0"/>
                <w:i w:val="0"/>
                <w:color w:val="1E252B"/>
                <w:sz w:val="16"/>
              </w:rPr>
              <w:t>Recommendation, confirmation, calendar-view, and local-model latency at representative scale</w:t>
            </w:r>
          </w:p>
        </w:tc>
        <w:tc>
          <w:tcPr>
            <w:tcW w:type="dxa" w:w="2960"/>
            <w:vAlign w:val="center"/>
            <w:tcMar>
              <w:top w:w="90" w:type="dxa"/>
              <w:left w:w="120" w:type="dxa"/>
              <w:bottom w:w="90" w:type="dxa"/>
              <w:right w:w="120" w:type="dxa"/>
            </w:tcMar>
          </w:tcPr>
          <w:p>
            <w:pPr>
              <w:spacing w:after="0" w:line="259" w:lineRule="auto"/>
            </w:pPr>
            <w:r>
              <w:rPr>
                <w:rFonts w:ascii="Aptos" w:hAnsi="Aptos"/>
                <w:b w:val="0"/>
                <w:i w:val="0"/>
                <w:color w:val="1E252B"/>
                <w:sz w:val="16"/>
              </w:rPr>
              <w:t>Meet approved p95 thresholds on target hardware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AI quality</w:t>
            </w:r>
          </w:p>
        </w:tc>
        <w:tc>
          <w:tcPr>
            <w:tcW w:type="dxa" w:w="4500"/>
            <w:vAlign w:val="center"/>
            <w:tcMar>
              <w:top w:w="90" w:type="dxa"/>
              <w:left w:w="120" w:type="dxa"/>
              <w:bottom w:w="90" w:type="dxa"/>
              <w:right w:w="120" w:type="dxa"/>
            </w:tcMar>
          </w:tcPr>
          <w:p>
            <w:pPr>
              <w:spacing w:after="0" w:line="259" w:lineRule="auto"/>
            </w:pPr>
            <w:r>
              <w:rPr>
                <w:rFonts w:ascii="Aptos" w:hAnsi="Aptos"/>
                <w:b w:val="0"/>
                <w:i w:val="0"/>
                <w:color w:val="1E252B"/>
                <w:sz w:val="16"/>
              </w:rPr>
              <w:t>Schema validity, allowlist validity, urgent sentinel recall, fallback causes</w:t>
            </w:r>
          </w:p>
        </w:tc>
        <w:tc>
          <w:tcPr>
            <w:tcW w:type="dxa" w:w="2960"/>
            <w:vAlign w:val="center"/>
            <w:tcMar>
              <w:top w:w="90" w:type="dxa"/>
              <w:left w:w="120" w:type="dxa"/>
              <w:bottom w:w="90" w:type="dxa"/>
              <w:right w:w="120" w:type="dxa"/>
            </w:tcMar>
          </w:tcPr>
          <w:p>
            <w:pPr>
              <w:spacing w:after="0" w:line="259" w:lineRule="auto"/>
            </w:pPr>
            <w:r>
              <w:rPr>
                <w:rFonts w:ascii="Aptos" w:hAnsi="Aptos"/>
                <w:b w:val="0"/>
                <w:i w:val="0"/>
                <w:color w:val="1E252B"/>
                <w:sz w:val="16"/>
              </w:rPr>
              <w:t>Safety-critical recall and deterministic fallback have priority</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Calibration</w:t>
            </w:r>
          </w:p>
        </w:tc>
        <w:tc>
          <w:tcPr>
            <w:tcW w:type="dxa" w:w="4500"/>
            <w:vAlign w:val="center"/>
            <w:tcMar>
              <w:top w:w="90" w:type="dxa"/>
              <w:left w:w="120" w:type="dxa"/>
              <w:bottom w:w="90" w:type="dxa"/>
              <w:right w:w="120" w:type="dxa"/>
            </w:tcMar>
          </w:tcPr>
          <w:p>
            <w:pPr>
              <w:spacing w:after="0" w:line="259" w:lineRule="auto"/>
            </w:pPr>
            <w:r>
              <w:rPr>
                <w:rFonts w:ascii="Aptos" w:hAnsi="Aptos"/>
                <w:b w:val="0"/>
                <w:i w:val="0"/>
                <w:color w:val="1E252B"/>
                <w:sz w:val="16"/>
              </w:rPr>
              <w:t>Threshold enforcement, approval coverage, observation validity, prospective duration error, complex-duration coverage</w:t>
            </w:r>
          </w:p>
        </w:tc>
        <w:tc>
          <w:tcPr>
            <w:tcW w:type="dxa" w:w="2960"/>
            <w:vAlign w:val="center"/>
            <w:tcMar>
              <w:top w:w="90" w:type="dxa"/>
              <w:left w:w="120" w:type="dxa"/>
              <w:bottom w:w="90" w:type="dxa"/>
              <w:right w:w="120" w:type="dxa"/>
            </w:tcMar>
          </w:tcPr>
          <w:p>
            <w:pPr>
              <w:spacing w:after="0" w:line="259" w:lineRule="auto"/>
            </w:pPr>
            <w:r>
              <w:rPr>
                <w:rFonts w:ascii="Aptos" w:hAnsi="Aptos"/>
                <w:b w:val="0"/>
                <w:i w:val="0"/>
                <w:color w:val="1E252B"/>
                <w:sz w:val="16"/>
              </w:rPr>
              <w:t>Never auto-apply; demonstrate prospective benefit before broader use</w:t>
            </w:r>
          </w:p>
        </w:tc>
      </w:tr>
      <w:tr>
        <w:tc>
          <w:tcPr>
            <w:tcW w:type="dxa" w:w="1900"/>
            <w:vAlign w:val="center"/>
            <w:tcMar>
              <w:top w:w="90" w:type="dxa"/>
              <w:left w:w="120" w:type="dxa"/>
              <w:bottom w:w="90" w:type="dxa"/>
              <w:right w:w="120" w:type="dxa"/>
            </w:tcMar>
          </w:tcPr>
          <w:p>
            <w:pPr>
              <w:spacing w:after="0" w:line="259" w:lineRule="auto"/>
            </w:pPr>
            <w:r>
              <w:rPr>
                <w:rFonts w:ascii="Aptos" w:hAnsi="Aptos"/>
                <w:b w:val="0"/>
                <w:i w:val="0"/>
                <w:color w:val="1E252B"/>
                <w:sz w:val="16"/>
              </w:rPr>
              <w:t>Adoption and governance</w:t>
            </w:r>
          </w:p>
        </w:tc>
        <w:tc>
          <w:tcPr>
            <w:tcW w:type="dxa" w:w="4500"/>
            <w:vAlign w:val="center"/>
            <w:tcMar>
              <w:top w:w="90" w:type="dxa"/>
              <w:left w:w="120" w:type="dxa"/>
              <w:bottom w:w="90" w:type="dxa"/>
              <w:right w:w="120" w:type="dxa"/>
            </w:tcMar>
          </w:tcPr>
          <w:p>
            <w:pPr>
              <w:spacing w:after="0" w:line="259" w:lineRule="auto"/>
            </w:pPr>
            <w:r>
              <w:rPr>
                <w:rFonts w:ascii="Aptos" w:hAnsi="Aptos"/>
                <w:b w:val="0"/>
                <w:i w:val="0"/>
                <w:color w:val="1E252B"/>
                <w:sz w:val="16"/>
              </w:rPr>
              <w:t>Training, supported-workflow usage, usability, on-time reviews and policy-change provenance</w:t>
            </w:r>
          </w:p>
        </w:tc>
        <w:tc>
          <w:tcPr>
            <w:tcW w:type="dxa" w:w="2960"/>
            <w:vAlign w:val="center"/>
            <w:tcMar>
              <w:top w:w="90" w:type="dxa"/>
              <w:left w:w="120" w:type="dxa"/>
              <w:bottom w:w="90" w:type="dxa"/>
              <w:right w:w="120" w:type="dxa"/>
            </w:tcMar>
          </w:tcPr>
          <w:p>
            <w:pPr>
              <w:spacing w:after="0" w:line="259" w:lineRule="auto"/>
            </w:pPr>
            <w:r>
              <w:rPr>
                <w:rFonts w:ascii="Aptos" w:hAnsi="Aptos"/>
                <w:b w:val="0"/>
                <w:i w:val="0"/>
                <w:color w:val="1E252B"/>
                <w:sz w:val="16"/>
              </w:rPr>
              <w:t>Users and owners can operate and govern the system consistently</w:t>
            </w:r>
          </w:p>
        </w:tc>
      </w:tr>
    </w:tbl>
    <w:p>
      <w:pPr>
        <w:spacing w:after="60"/>
      </w:pPr>
    </w:p>
    <w:p>
      <w:pPr>
        <w:pStyle w:val="Heading2"/>
        <w:keepNext/>
      </w:pPr>
      <w:r>
        <w:rPr>
          <w:rFonts w:ascii="Aptos" w:hAnsi="Aptos"/>
          <w:b/>
          <w:i w:val="0"/>
          <w:color w:val="1C766C"/>
          <w:sz w:val="26"/>
        </w:rPr>
        <w:t>15.19 Deployment-Specific Specification Record</w:t>
      </w:r>
    </w:p>
    <w:p>
      <w:pPr>
        <w:spacing w:after="120" w:line="283" w:lineRule="auto"/>
      </w:pPr>
      <w:r>
        <w:rPr>
          <w:rFonts w:ascii="Aptos" w:hAnsi="Aptos"/>
          <w:b w:val="0"/>
          <w:i w:val="0"/>
          <w:color w:val="1E252B"/>
          <w:sz w:val="21"/>
        </w:rPr>
        <w:t>To convert this sanitized specification into a deployable local product specification, maintain a protected policy record containing the following approved categories. Do not insert patient records, credentials, private keys, or raw production logs into this memory-bank document.</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20344A"/>
            <w:vAlign w:val="center"/>
            <w:tcMar>
              <w:top w:w="90" w:type="dxa"/>
              <w:left w:w="120" w:type="dxa"/>
              <w:bottom w:w="90" w:type="dxa"/>
              <w:right w:w="120" w:type="dxa"/>
            </w:tcMar>
          </w:tcPr>
          <w:p>
            <w:pPr>
              <w:spacing w:after="0"/>
              <w:jc w:val="center"/>
            </w:pPr>
            <w:r>
              <w:rPr>
                <w:rFonts w:ascii="Aptos" w:hAnsi="Aptos"/>
                <w:b/>
                <w:i w:val="0"/>
                <w:color w:val="FFFFFF"/>
                <w:sz w:val="17"/>
              </w:rPr>
              <w:t>Category</w:t>
            </w:r>
          </w:p>
        </w:tc>
        <w:tc>
          <w:tcPr>
            <w:tcW w:type="dxa" w:w="7060"/>
            <w:shd w:fill="20344A"/>
            <w:vAlign w:val="center"/>
            <w:tcMar>
              <w:top w:w="90" w:type="dxa"/>
              <w:left w:w="120" w:type="dxa"/>
              <w:bottom w:w="90" w:type="dxa"/>
              <w:right w:w="120" w:type="dxa"/>
            </w:tcMar>
          </w:tcPr>
          <w:p>
            <w:pPr>
              <w:spacing w:after="0"/>
              <w:jc w:val="left"/>
            </w:pPr>
            <w:r>
              <w:rPr>
                <w:rFonts w:ascii="Aptos" w:hAnsi="Aptos"/>
                <w:b/>
                <w:i w:val="0"/>
                <w:color w:val="FFFFFF"/>
                <w:sz w:val="17"/>
              </w:rPr>
              <w:t>Required approved content</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Clinical catalog</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Procedure identifiers, phase templates, standard/complex durations, buffers, roles, qualifications, equipment, linked-visit rules</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Resource model</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Providers, roles, supervision limits, rooms/capabilities, equipment types/units, working patterns, leave and cover</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Scheduling policy</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Horizon, time grid, request windows, protected capacity, priority, preferences, fairness, targets, weights, expiry and hold rules</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Security policy</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Identity, roles, sessions, workstation access, encryption, keys, audit review, export, incident, retention, and disposal</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Service objectives</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Performance, availability, recovery, restoration, backup, storage, monitoring, clock, certificate, and support thresholds</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Integration contract</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Authorized local systems, purpose, minimum fields, identifiers, authentication, reconciliation, failure, audit, and retention</w:t>
            </w:r>
          </w:p>
        </w:tc>
      </w:tr>
      <w:tr>
        <w:tc>
          <w:tcPr>
            <w:tcW w:type="dxa" w:w="2300"/>
            <w:vAlign w:val="center"/>
            <w:tcMar>
              <w:top w:w="90" w:type="dxa"/>
              <w:left w:w="120" w:type="dxa"/>
              <w:bottom w:w="90" w:type="dxa"/>
              <w:right w:w="120" w:type="dxa"/>
            </w:tcMar>
          </w:tcPr>
          <w:p>
            <w:pPr>
              <w:spacing w:after="0" w:line="259" w:lineRule="auto"/>
            </w:pPr>
            <w:r>
              <w:rPr>
                <w:rFonts w:ascii="Aptos" w:hAnsi="Aptos"/>
                <w:b w:val="0"/>
                <w:i w:val="0"/>
                <w:color w:val="1E252B"/>
                <w:sz w:val="16"/>
              </w:rPr>
              <w:t>Release evidence</w:t>
            </w:r>
          </w:p>
        </w:tc>
        <w:tc>
          <w:tcPr>
            <w:tcW w:type="dxa" w:w="7060"/>
            <w:vAlign w:val="center"/>
            <w:tcMar>
              <w:top w:w="90" w:type="dxa"/>
              <w:left w:w="120" w:type="dxa"/>
              <w:bottom w:w="90" w:type="dxa"/>
              <w:right w:w="120" w:type="dxa"/>
            </w:tcMar>
          </w:tcPr>
          <w:p>
            <w:pPr>
              <w:spacing w:after="0" w:line="259" w:lineRule="auto"/>
            </w:pPr>
            <w:r>
              <w:rPr>
                <w:rFonts w:ascii="Aptos" w:hAnsi="Aptos"/>
                <w:b w:val="0"/>
                <w:i w:val="0"/>
                <w:color w:val="1E252B"/>
                <w:sz w:val="16"/>
              </w:rPr>
              <w:t>Artifact identifiers/hashes, model provenance, licenses, SBOM, vulnerability disposition, migrations, tests, restore, rollback, and sign-off</w:t>
            </w:r>
          </w:p>
        </w:tc>
      </w:tr>
    </w:tbl>
    <w:p>
      <w:pPr>
        <w:spacing w:after="60"/>
      </w:pPr>
    </w:p>
    <w:p>
      <w:pPr>
        <w:pStyle w:val="Heading1"/>
        <w:keepNext/>
      </w:pPr>
      <w:r>
        <w:rPr>
          <w:rFonts w:ascii="Aptos" w:hAnsi="Aptos"/>
          <w:b/>
          <w:i w:val="0"/>
          <w:color w:val="1C766C"/>
          <w:sz w:val="34"/>
        </w:rPr>
        <w:t>Sanitization Statement</w:t>
      </w:r>
    </w:p>
    <w:p>
      <w:pPr>
        <w:spacing w:after="120" w:line="283" w:lineRule="auto"/>
      </w:pPr>
      <w:r>
        <w:rPr>
          <w:rFonts w:ascii="Aptos" w:hAnsi="Aptos"/>
          <w:b w:val="0"/>
          <w:i w:val="0"/>
          <w:color w:val="1E252B"/>
          <w:sz w:val="21"/>
        </w:rPr>
        <w:t>This memory bank was intentionally rewritten as an organization-neutral reference. It excludes company and product names, individual names, patient data, repository paths, filenames, source-code locations, database table names, API route inventories, network addresses, credentials, environment-variable names, exact deployment topology, organization-specific staffing, financial or production values, proprietary ranking weights, internal test results, incident findings, and implementation-status reporting.</w:t>
      </w:r>
    </w:p>
    <w:sectPr>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5606B"/>
        <w:sz w:val="16"/>
      </w:rPr>
      <w:t>Generic knowledge reference  •  No organization-specific or patient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5606B"/>
        <w:sz w:val="16"/>
      </w:rPr>
      <w:t>AI MEMORY BANK  |  DENTAL APPOINTMENT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E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C766C"/>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C766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034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Memory Bank: On-Premises Dental Appointment Scheduling</dc:title>
  <dc:subject>Generic scheduling model, data, workflow, privacy, and validation knowledge</dc:subject>
  <dc:creator/>
  <cp:keywords>AI memory bank, dental scheduling, on-premises, privacy, optimization</cp:keywords>
  <dc:description>Organization-neutral reference; contains no patient records or deployment secrets.</dc:description>
  <cp:lastModifiedBy/>
  <cp:revision>1</cp:revision>
  <dcterms:created xsi:type="dcterms:W3CDTF">2013-12-23T23:15:00Z</dcterms:created>
  <dcterms:modified xsi:type="dcterms:W3CDTF">2013-12-23T23:15:00Z</dcterms:modified>
  <cp:category/>
</cp:coreProperties>
</file>