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20"/>
        <w:jc w:val="center"/>
      </w:pPr>
      <w:r>
        <w:rPr>
          <w:rFonts w:ascii="Calibri" w:hAnsi="Calibri"/>
          <w:b/>
          <w:color w:val="7A5A00"/>
          <w:sz w:val="21"/>
        </w:rPr>
        <w:t>STANDARD OPERATING PROCEDURE</w:t>
      </w:r>
    </w:p>
    <w:p>
      <w:pPr>
        <w:spacing w:after="160"/>
        <w:jc w:val="center"/>
      </w:pPr>
      <w:r>
        <w:rPr>
          <w:rFonts w:ascii="Calibri" w:hAnsi="Calibri"/>
          <w:b/>
          <w:color w:val="0B2545"/>
          <w:sz w:val="58"/>
        </w:rPr>
        <w:t>On-Premises Dental</w:t>
        <w:br/>
        <w:t>Appointment Scheduler</w:t>
      </w:r>
    </w:p>
    <w:p>
      <w:pPr>
        <w:spacing w:after="560"/>
        <w:jc w:val="center"/>
      </w:pPr>
      <w:r>
        <w:rPr>
          <w:rFonts w:ascii="Calibri" w:hAnsi="Calibri"/>
          <w:color w:val="1F4D78"/>
          <w:sz w:val="28"/>
        </w:rPr>
        <w:t>Safe scheduling, daily operations, protected changes, and local administration</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2700"/>
        <w:gridCol w:w="6660"/>
      </w:tblGrid>
      <w:tr>
        <w:trPr>
          <w:tblHeader w:val="true"/>
          <w:cantSplit w:val="true"/>
        </w:trPr>
        <w:tc>
          <w:tcPr>
            <w:tcW w:type="dxa" w:w="2700"/>
            <w:shd w:fill="E8EEF5"/>
            <w:tcMar>
              <w:top w:w="80" w:type="dxa"/>
              <w:start w:w="120" w:type="dxa"/>
              <w:bottom w:w="80" w:type="dxa"/>
              <w:end w:w="120" w:type="dxa"/>
            </w:tcMar>
            <w:vAlign w:val="center"/>
          </w:tcPr>
          <w:p>
            <w:pPr>
              <w:spacing w:after="0"/>
              <w:jc w:val="center"/>
            </w:pPr>
            <w:r>
              <w:rPr>
                <w:rFonts w:ascii="Calibri" w:hAnsi="Calibri"/>
                <w:b/>
                <w:color w:val="0B2545"/>
                <w:sz w:val="17"/>
              </w:rPr>
              <w:t>Document control</w:t>
            </w:r>
          </w:p>
        </w:tc>
        <w:tc>
          <w:tcPr>
            <w:tcW w:type="dxa" w:w="6660"/>
            <w:shd w:fill="E8EEF5"/>
            <w:tcMar>
              <w:top w:w="80" w:type="dxa"/>
              <w:start w:w="120" w:type="dxa"/>
              <w:bottom w:w="80" w:type="dxa"/>
              <w:end w:w="120" w:type="dxa"/>
            </w:tcMar>
            <w:vAlign w:val="center"/>
          </w:tcPr>
          <w:p>
            <w:pPr>
              <w:spacing w:after="0"/>
              <w:jc w:val="center"/>
            </w:pPr>
            <w:r>
              <w:rPr>
                <w:rFonts w:ascii="Calibri" w:hAnsi="Calibri"/>
                <w:b/>
                <w:color w:val="0B2545"/>
                <w:sz w:val="17"/>
              </w:rPr>
              <w:t>Value</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color w:val="0B2545"/>
                <w:sz w:val="16"/>
              </w:rPr>
              <w:t>Version</w:t>
            </w:r>
          </w:p>
        </w:tc>
        <w:tc>
          <w:tcPr>
            <w:tcW w:type="dxa" w:w="6660"/>
            <w:tcMar>
              <w:top w:w="80" w:type="dxa"/>
              <w:start w:w="120" w:type="dxa"/>
              <w:bottom w:w="80" w:type="dxa"/>
              <w:end w:w="120" w:type="dxa"/>
            </w:tcMar>
            <w:vAlign w:val="center"/>
          </w:tcPr>
          <w:p>
            <w:pPr>
              <w:spacing w:after="0" w:line="259" w:lineRule="auto"/>
            </w:pPr>
            <w:r>
              <w:rPr>
                <w:rFonts w:ascii="Calibri" w:hAnsi="Calibri"/>
                <w:color w:val="0B2545"/>
                <w:sz w:val="16"/>
              </w:rPr>
              <w:t>1.0</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color w:val="0B2545"/>
                <w:sz w:val="16"/>
              </w:rPr>
              <w:t>Effective date</w:t>
            </w:r>
          </w:p>
        </w:tc>
        <w:tc>
          <w:tcPr>
            <w:tcW w:type="dxa" w:w="6660"/>
            <w:tcMar>
              <w:top w:w="80" w:type="dxa"/>
              <w:start w:w="120" w:type="dxa"/>
              <w:bottom w:w="80" w:type="dxa"/>
              <w:end w:w="120" w:type="dxa"/>
            </w:tcMar>
            <w:vAlign w:val="center"/>
          </w:tcPr>
          <w:p>
            <w:pPr>
              <w:spacing w:after="0" w:line="259" w:lineRule="auto"/>
            </w:pPr>
            <w:r>
              <w:rPr>
                <w:rFonts w:ascii="Calibri" w:hAnsi="Calibri"/>
                <w:color w:val="0B2545"/>
                <w:sz w:val="16"/>
              </w:rPr>
              <w:t>30 August 2026</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color w:val="0B2545"/>
                <w:sz w:val="16"/>
              </w:rPr>
              <w:t>Audience</w:t>
            </w:r>
          </w:p>
        </w:tc>
        <w:tc>
          <w:tcPr>
            <w:tcW w:type="dxa" w:w="6660"/>
            <w:tcMar>
              <w:top w:w="80" w:type="dxa"/>
              <w:start w:w="120" w:type="dxa"/>
              <w:bottom w:w="80" w:type="dxa"/>
              <w:end w:w="120" w:type="dxa"/>
            </w:tcMar>
            <w:vAlign w:val="center"/>
          </w:tcPr>
          <w:p>
            <w:pPr>
              <w:spacing w:after="0" w:line="259" w:lineRule="auto"/>
            </w:pPr>
            <w:r>
              <w:rPr>
                <w:rFonts w:ascii="Calibri" w:hAnsi="Calibri"/>
                <w:color w:val="0B2545"/>
                <w:sz w:val="16"/>
              </w:rPr>
              <w:t>Scheduling staff, clinicians, administrators, auditors, and on-premises IT</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color w:val="0B2545"/>
                <w:sz w:val="16"/>
              </w:rPr>
              <w:t>Product profile</w:t>
            </w:r>
          </w:p>
        </w:tc>
        <w:tc>
          <w:tcPr>
            <w:tcW w:type="dxa" w:w="6660"/>
            <w:tcMar>
              <w:top w:w="80" w:type="dxa"/>
              <w:start w:w="120" w:type="dxa"/>
              <w:bottom w:w="80" w:type="dxa"/>
              <w:end w:w="120" w:type="dxa"/>
            </w:tcMar>
            <w:vAlign w:val="center"/>
          </w:tcPr>
          <w:p>
            <w:pPr>
              <w:spacing w:after="0" w:line="259" w:lineRule="auto"/>
            </w:pPr>
            <w:r>
              <w:rPr>
                <w:rFonts w:ascii="Calibri" w:hAnsi="Calibri"/>
                <w:color w:val="0B2545"/>
                <w:sz w:val="16"/>
              </w:rPr>
              <w:t>Rules-only by default; optional approved local-AI assistance</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color w:val="0B2545"/>
                <w:sz w:val="16"/>
              </w:rPr>
              <w:t>Operating boundary</w:t>
            </w:r>
          </w:p>
        </w:tc>
        <w:tc>
          <w:tcPr>
            <w:tcW w:type="dxa" w:w="6660"/>
            <w:tcMar>
              <w:top w:w="80" w:type="dxa"/>
              <w:start w:w="120" w:type="dxa"/>
              <w:bottom w:w="80" w:type="dxa"/>
              <w:end w:w="120" w:type="dxa"/>
            </w:tcMar>
            <w:vAlign w:val="center"/>
          </w:tcPr>
          <w:p>
            <w:pPr>
              <w:spacing w:after="0" w:line="259" w:lineRule="auto"/>
            </w:pPr>
            <w:r>
              <w:rPr>
                <w:rFonts w:ascii="Calibri" w:hAnsi="Calibri"/>
                <w:color w:val="0B2545"/>
                <w:sz w:val="16"/>
              </w:rPr>
              <w:t>Practice-controlled systems; no runtime internet access</w:t>
            </w:r>
          </w:p>
        </w:tc>
      </w:tr>
      <w:tr>
        <w:trPr>
          <w:cantSplit w:val="true"/>
        </w:trPr>
        <w:tc>
          <w:tcPr>
            <w:tcW w:type="dxa" w:w="2700"/>
            <w:tcMar>
              <w:top w:w="80" w:type="dxa"/>
              <w:start w:w="120" w:type="dxa"/>
              <w:bottom w:w="80" w:type="dxa"/>
              <w:end w:w="120" w:type="dxa"/>
            </w:tcMar>
            <w:vAlign w:val="center"/>
          </w:tcPr>
          <w:p>
            <w:pPr>
              <w:spacing w:after="0" w:line="259" w:lineRule="auto"/>
            </w:pPr>
            <w:r>
              <w:rPr>
                <w:rFonts w:ascii="Calibri" w:hAnsi="Calibri"/>
                <w:color w:val="0B2545"/>
                <w:sz w:val="16"/>
              </w:rPr>
              <w:t>Approval</w:t>
            </w:r>
          </w:p>
        </w:tc>
        <w:tc>
          <w:tcPr>
            <w:tcW w:type="dxa" w:w="6660"/>
            <w:tcMar>
              <w:top w:w="80" w:type="dxa"/>
              <w:start w:w="120" w:type="dxa"/>
              <w:bottom w:w="80" w:type="dxa"/>
              <w:end w:w="120" w:type="dxa"/>
            </w:tcMar>
            <w:vAlign w:val="center"/>
          </w:tcPr>
          <w:p>
            <w:pPr>
              <w:spacing w:after="0" w:line="259" w:lineRule="auto"/>
            </w:pPr>
            <w:r>
              <w:rPr>
                <w:rFonts w:ascii="Calibri" w:hAnsi="Calibri"/>
                <w:color w:val="0B2545"/>
                <w:sz w:val="16"/>
              </w:rPr>
              <w:t>Practice operations, clinical, privacy/security, and IT owners before real-patient use</w:t>
            </w:r>
          </w:p>
        </w:tc>
      </w:tr>
    </w:tbl>
    <w:p>
      <w:pPr>
        <w:spacing w:after="80"/>
      </w:pPr>
    </w:p>
    <w:p>
      <w:pPr>
        <w:spacing w:before="80" w:after="200" w:line="300" w:lineRule="auto"/>
        <w:ind w:left="173" w:right="173"/>
        <w:shd w:fill="F4F6F9"/>
        <w:pBdr>
          <w:left w:val="single" w:sz="18" w:space="6" w:color="9B1C1C"/>
        </w:pBdr>
      </w:pPr>
      <w:r>
        <w:rPr>
          <w:rFonts w:ascii="Calibri" w:hAnsi="Calibri"/>
          <w:b/>
          <w:color w:val="9B1C1C"/>
        </w:rPr>
        <w:t xml:space="preserve">Core safety rule: </w:t>
      </w:r>
      <w:r>
        <w:rPr>
          <w:rFonts w:ascii="Calibri" w:hAnsi="Calibri"/>
          <w:color w:val="0B2545"/>
        </w:rPr>
        <w:t>A confirmed appointment is locked. Never move it through direct editing, database access, or an informal workaround. Use the protected reschedule workflow and authorize one exact replacement.</w:t>
      </w:r>
    </w:p>
    <w:p>
      <w:pPr>
        <w:keepNext w:val="0"/>
        <w:spacing w:before="0" w:after="10400" w:line="300" w:lineRule="auto"/>
      </w:pPr>
      <w:r>
        <w:rPr>
          <w:rFonts w:ascii="Calibri" w:hAnsi="Calibri"/>
          <w:i/>
          <w:color w:val="5B6573"/>
        </w:rPr>
        <w:t>This SOP is organization-neutral and contains no patient records, credentials, private endpoints, or internal network details.</w:t>
      </w:r>
    </w:p>
    <w:p>
      <w:r>
        <w:br w:type="page"/>
      </w:r>
    </w:p>
    <w:p>
      <w:pPr>
        <w:pStyle w:val="Heading1"/>
        <w:keepNext/>
      </w:pPr>
      <w:r>
        <w:rPr>
          <w:rFonts w:ascii="Calibri" w:hAnsi="Calibri"/>
          <w:b/>
          <w:color w:val="2E74B5"/>
        </w:rPr>
        <w:t>How to Use This SOP</w:t>
      </w:r>
    </w:p>
    <w:p>
      <w:pPr>
        <w:keepNext w:val="0"/>
        <w:spacing w:before="0" w:after="120" w:line="300" w:lineRule="auto"/>
      </w:pPr>
      <w:r>
        <w:rPr>
          <w:rFonts w:ascii="Calibri" w:hAnsi="Calibri"/>
          <w:i w:val="0"/>
          <w:color w:val="0B2545"/>
        </w:rPr>
        <w:t>Use Sections 1-3 before first use and at the start of each operating day. Sections 4-10 cover daily scheduling workflows. Sections 11-14 apply to administrators, clinicians, auditors, and IT. Sections 15-17 define downtime, shutdown, and periodic controls.</w:t>
      </w:r>
    </w:p>
    <w:p>
      <w:pPr>
        <w:spacing w:before="80" w:after="200" w:line="300" w:lineRule="auto"/>
        <w:ind w:left="173" w:right="173"/>
        <w:shd w:fill="F4F6F9"/>
        <w:pBdr>
          <w:left w:val="single" w:sz="18" w:space="6" w:color="2E74B5"/>
        </w:pBdr>
      </w:pPr>
      <w:r>
        <w:rPr>
          <w:rFonts w:ascii="Calibri" w:hAnsi="Calibri"/>
          <w:b/>
          <w:color w:val="2E74B5"/>
        </w:rPr>
        <w:t xml:space="preserve">Scope: </w:t>
      </w:r>
      <w:r>
        <w:rPr>
          <w:rFonts w:ascii="Calibri" w:hAnsi="Calibri"/>
          <w:color w:val="0B2545"/>
        </w:rPr>
        <w:t>This document explains supported product operation. It does not replace clinical triage, privacy policies, security incident procedures, disaster-recovery plans, workforce rules, or the deploying practice's HIPAA risk-management program.</w:t>
      </w:r>
    </w:p>
    <w:p>
      <w:pPr>
        <w:pStyle w:val="Heading2"/>
        <w:keepNext/>
      </w:pPr>
      <w:r>
        <w:rPr>
          <w:rFonts w:ascii="Calibri" w:hAnsi="Calibri"/>
          <w:b/>
          <w:color w:val="2E74B5"/>
        </w:rPr>
        <w:t>Quick Navigation</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3300"/>
        <w:gridCol w:w="6060"/>
      </w:tblGrid>
      <w:tr>
        <w:trPr>
          <w:tblHeader w:val="true"/>
          <w:cantSplit w:val="true"/>
        </w:trPr>
        <w:tc>
          <w:tcPr>
            <w:tcW w:type="dxa" w:w="3300"/>
            <w:shd w:fill="E8EEF5"/>
            <w:tcMar>
              <w:top w:w="80" w:type="dxa"/>
              <w:start w:w="120" w:type="dxa"/>
              <w:bottom w:w="80" w:type="dxa"/>
              <w:end w:w="120" w:type="dxa"/>
            </w:tcMar>
            <w:vAlign w:val="center"/>
          </w:tcPr>
          <w:p>
            <w:pPr>
              <w:spacing w:after="0"/>
              <w:jc w:val="center"/>
            </w:pPr>
            <w:r>
              <w:rPr>
                <w:rFonts w:ascii="Calibri" w:hAnsi="Calibri"/>
                <w:b/>
                <w:color w:val="0B2545"/>
                <w:sz w:val="17"/>
              </w:rPr>
              <w:t>Need</w:t>
            </w:r>
          </w:p>
        </w:tc>
        <w:tc>
          <w:tcPr>
            <w:tcW w:type="dxa" w:w="6060"/>
            <w:shd w:fill="E8EEF5"/>
            <w:tcMar>
              <w:top w:w="80" w:type="dxa"/>
              <w:start w:w="120" w:type="dxa"/>
              <w:bottom w:w="80" w:type="dxa"/>
              <w:end w:w="120" w:type="dxa"/>
            </w:tcMar>
            <w:vAlign w:val="center"/>
          </w:tcPr>
          <w:p>
            <w:pPr>
              <w:spacing w:after="0"/>
              <w:jc w:val="center"/>
            </w:pPr>
            <w:r>
              <w:rPr>
                <w:rFonts w:ascii="Calibri" w:hAnsi="Calibri"/>
                <w:b/>
                <w:color w:val="0B2545"/>
                <w:sz w:val="17"/>
              </w:rPr>
              <w:t>Go to</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Open the product and verify health</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Sections 3 and 15</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Schedule a patient or walk-in</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Sections 4 and 8</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Handle no opening</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Sections 5 and 10</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Move or close a confirmed visit</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Sections 6 and 7</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Run the day</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 8</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Review the rolling year</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 9</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Maintain resources and policy</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 12</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Review calibration, analytics, or audit</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Sections 11, 13, and 14</w:t>
            </w:r>
          </w:p>
        </w:tc>
      </w:tr>
      <w:tr>
        <w:trPr>
          <w:cantSplit w:val="true"/>
        </w:trPr>
        <w:tc>
          <w:tcPr>
            <w:tcW w:type="dxa" w:w="3300"/>
            <w:tcMar>
              <w:top w:w="80" w:type="dxa"/>
              <w:start w:w="120" w:type="dxa"/>
              <w:bottom w:w="80" w:type="dxa"/>
              <w:end w:w="120" w:type="dxa"/>
            </w:tcMar>
            <w:vAlign w:val="center"/>
          </w:tcPr>
          <w:p>
            <w:pPr>
              <w:spacing w:after="0" w:line="259" w:lineRule="auto"/>
            </w:pPr>
            <w:r>
              <w:rPr>
                <w:rFonts w:ascii="Calibri" w:hAnsi="Calibri"/>
                <w:color w:val="0B2545"/>
                <w:sz w:val="16"/>
              </w:rPr>
              <w:t>Respond to outage or suspected incident</w:t>
            </w:r>
          </w:p>
        </w:tc>
        <w:tc>
          <w:tcPr>
            <w:tcW w:type="dxa" w:w="6060"/>
            <w:tcMar>
              <w:top w:w="80" w:type="dxa"/>
              <w:start w:w="120" w:type="dxa"/>
              <w:bottom w:w="80" w:type="dxa"/>
              <w:end w:w="120" w:type="dxa"/>
            </w:tcMar>
            <w:vAlign w:val="center"/>
          </w:tcPr>
          <w:p>
            <w:pPr>
              <w:spacing w:after="0" w:line="259" w:lineRule="auto"/>
            </w:pPr>
            <w:r>
              <w:rPr>
                <w:rFonts w:ascii="Calibri" w:hAnsi="Calibri"/>
                <w:color w:val="0B2545"/>
                <w:sz w:val="16"/>
              </w:rPr>
              <w:t>Section 16</w:t>
            </w:r>
          </w:p>
        </w:tc>
      </w:tr>
    </w:tbl>
    <w:p>
      <w:pPr>
        <w:spacing w:after="80"/>
      </w:pPr>
    </w:p>
    <w:p>
      <w:pPr>
        <w:pStyle w:val="Heading1"/>
        <w:keepNext/>
      </w:pPr>
      <w:r>
        <w:rPr>
          <w:rFonts w:ascii="Calibri" w:hAnsi="Calibri"/>
          <w:b/>
          <w:color w:val="2E74B5"/>
        </w:rPr>
        <w:t>1. Purpose and Operating Principles</w:t>
      </w:r>
    </w:p>
    <w:p>
      <w:pPr>
        <w:keepNext w:val="0"/>
        <w:spacing w:before="0" w:after="120" w:line="300" w:lineRule="auto"/>
      </w:pPr>
      <w:r>
        <w:rPr>
          <w:rFonts w:ascii="Calibri" w:hAnsi="Calibri"/>
          <w:i w:val="0"/>
          <w:color w:val="0B2545"/>
        </w:rPr>
        <w:t>The product returns ranked, feasible combinations of doctor, supporting providers, room, equipment, and timeslot across a rolling 365-day horizon. Staff reviews and confirms one option. Each new request is evaluated against the latest live calendar; existing confirmed visits remain fixed.</w:t>
      </w:r>
    </w:p>
    <w:p>
      <w:pPr>
        <w:keepNext w:val="0"/>
        <w:numPr>
          <w:ilvl w:val="0"/>
          <w:numId w:val="10"/>
        </w:numPr>
        <w:spacing w:after="80" w:line="300" w:lineRule="auto"/>
        <w:ind w:left="540" w:hanging="271"/>
      </w:pPr>
      <w:r>
        <w:rPr>
          <w:rFonts w:ascii="Calibri" w:hAnsi="Calibri"/>
          <w:color w:val="0B2545"/>
        </w:rPr>
        <w:t>The deterministic optimizer is the authority for feasibility. It never silently weakens a hard constraint.</w:t>
      </w:r>
    </w:p>
    <w:p>
      <w:pPr>
        <w:keepNext w:val="0"/>
        <w:numPr>
          <w:ilvl w:val="0"/>
          <w:numId w:val="10"/>
        </w:numPr>
        <w:spacing w:after="80" w:line="300" w:lineRule="auto"/>
        <w:ind w:left="540" w:hanging="271"/>
      </w:pPr>
      <w:r>
        <w:rPr>
          <w:rFonts w:ascii="Calibri" w:hAnsi="Calibri"/>
          <w:color w:val="0B2545"/>
        </w:rPr>
        <w:t>Condition text is scheduling context, not a diagnosis. Deterministic rules operate without a language model. If local AI is enabled, its allowlisted tags remain advisory.</w:t>
      </w:r>
    </w:p>
    <w:p>
      <w:pPr>
        <w:keepNext w:val="0"/>
        <w:numPr>
          <w:ilvl w:val="0"/>
          <w:numId w:val="10"/>
        </w:numPr>
        <w:spacing w:after="80" w:line="300" w:lineRule="auto"/>
        <w:ind w:left="540" w:hanging="271"/>
      </w:pPr>
      <w:r>
        <w:rPr>
          <w:rFonts w:ascii="Calibri" w:hAnsi="Calibri"/>
          <w:color w:val="0B2545"/>
        </w:rPr>
        <w:t>The database rechecks live capacity and conflicts during confirmation. A safe rejection is preferable to an invalid booking.</w:t>
      </w:r>
    </w:p>
    <w:p>
      <w:pPr>
        <w:keepNext w:val="0"/>
        <w:numPr>
          <w:ilvl w:val="0"/>
          <w:numId w:val="10"/>
        </w:numPr>
        <w:spacing w:after="80" w:line="300" w:lineRule="auto"/>
        <w:ind w:left="540" w:hanging="271"/>
      </w:pPr>
      <w:r>
        <w:rPr>
          <w:rFonts w:ascii="Calibri" w:hAnsi="Calibri"/>
          <w:color w:val="0B2545"/>
        </w:rPr>
        <w:t>Historical practice data is not required. Approved reference durations work immediately; later evidence may only propose prospective changes.</w:t>
      </w:r>
    </w:p>
    <w:p>
      <w:pPr>
        <w:keepNext w:val="0"/>
        <w:numPr>
          <w:ilvl w:val="0"/>
          <w:numId w:val="10"/>
        </w:numPr>
        <w:spacing w:after="80" w:line="300" w:lineRule="auto"/>
        <w:ind w:left="540" w:hanging="271"/>
      </w:pPr>
      <w:r>
        <w:rPr>
          <w:rFonts w:ascii="Calibri" w:hAnsi="Calibri"/>
          <w:color w:val="0B2545"/>
        </w:rPr>
        <w:t>All data stays on practice-controlled infrastructure. Do not use cloud services, external AI, telemetry, remote assets, or internet-based workarounds.</w:t>
      </w:r>
    </w:p>
    <w:p>
      <w:pPr>
        <w:pStyle w:val="Heading1"/>
        <w:keepNext/>
      </w:pPr>
      <w:r>
        <w:rPr>
          <w:rFonts w:ascii="Calibri" w:hAnsi="Calibri"/>
          <w:b/>
          <w:color w:val="2E74B5"/>
        </w:rPr>
        <w:t>2. Roles and Access</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450"/>
        <w:gridCol w:w="3800"/>
        <w:gridCol w:w="4110"/>
      </w:tblGrid>
      <w:tr>
        <w:trPr>
          <w:tblHeader w:val="true"/>
          <w:cantSplit w:val="true"/>
        </w:trPr>
        <w:tc>
          <w:tcPr>
            <w:tcW w:type="dxa" w:w="1450"/>
            <w:shd w:fill="E8EEF5"/>
            <w:tcMar>
              <w:top w:w="80" w:type="dxa"/>
              <w:start w:w="120" w:type="dxa"/>
              <w:bottom w:w="80" w:type="dxa"/>
              <w:end w:w="120" w:type="dxa"/>
            </w:tcMar>
            <w:vAlign w:val="center"/>
          </w:tcPr>
          <w:p>
            <w:pPr>
              <w:spacing w:after="0"/>
              <w:jc w:val="center"/>
            </w:pPr>
            <w:r>
              <w:rPr>
                <w:rFonts w:ascii="Calibri" w:hAnsi="Calibri"/>
                <w:b/>
                <w:color w:val="0B2545"/>
                <w:sz w:val="17"/>
              </w:rPr>
              <w:t>Role</w:t>
            </w:r>
          </w:p>
        </w:tc>
        <w:tc>
          <w:tcPr>
            <w:tcW w:type="dxa" w:w="3800"/>
            <w:shd w:fill="E8EEF5"/>
            <w:tcMar>
              <w:top w:w="80" w:type="dxa"/>
              <w:start w:w="120" w:type="dxa"/>
              <w:bottom w:w="80" w:type="dxa"/>
              <w:end w:w="120" w:type="dxa"/>
            </w:tcMar>
            <w:vAlign w:val="center"/>
          </w:tcPr>
          <w:p>
            <w:pPr>
              <w:spacing w:after="0"/>
              <w:jc w:val="center"/>
            </w:pPr>
            <w:r>
              <w:rPr>
                <w:rFonts w:ascii="Calibri" w:hAnsi="Calibri"/>
                <w:b/>
                <w:color w:val="0B2545"/>
                <w:sz w:val="17"/>
              </w:rPr>
              <w:t>Normal product use</w:t>
            </w:r>
          </w:p>
        </w:tc>
        <w:tc>
          <w:tcPr>
            <w:tcW w:type="dxa" w:w="4110"/>
            <w:shd w:fill="E8EEF5"/>
            <w:tcMar>
              <w:top w:w="80" w:type="dxa"/>
              <w:start w:w="120" w:type="dxa"/>
              <w:bottom w:w="80" w:type="dxa"/>
              <w:end w:w="120" w:type="dxa"/>
            </w:tcMar>
            <w:vAlign w:val="center"/>
          </w:tcPr>
          <w:p>
            <w:pPr>
              <w:spacing w:after="0"/>
              <w:jc w:val="center"/>
            </w:pPr>
            <w:r>
              <w:rPr>
                <w:rFonts w:ascii="Calibri" w:hAnsi="Calibri"/>
                <w:b/>
                <w:color w:val="0B2545"/>
                <w:sz w:val="17"/>
              </w:rPr>
              <w:t>Restricted or controlled work</w:t>
            </w:r>
          </w:p>
        </w:tc>
      </w:tr>
      <w:tr>
        <w:trPr>
          <w:cantSplit w:val="true"/>
        </w:trPr>
        <w:tc>
          <w:tcPr>
            <w:tcW w:type="dxa" w:w="1450"/>
            <w:tcMar>
              <w:top w:w="80" w:type="dxa"/>
              <w:start w:w="120" w:type="dxa"/>
              <w:bottom w:w="80" w:type="dxa"/>
              <w:end w:w="120" w:type="dxa"/>
            </w:tcMar>
            <w:vAlign w:val="center"/>
          </w:tcPr>
          <w:p>
            <w:pPr>
              <w:spacing w:after="0" w:line="259" w:lineRule="auto"/>
            </w:pPr>
            <w:r>
              <w:rPr>
                <w:rFonts w:ascii="Calibri" w:hAnsi="Calibri"/>
                <w:color w:val="0B2545"/>
                <w:sz w:val="16"/>
              </w:rPr>
              <w:t>Scheduler</w:t>
            </w:r>
          </w:p>
        </w:tc>
        <w:tc>
          <w:tcPr>
            <w:tcW w:type="dxa" w:w="3800"/>
            <w:tcMar>
              <w:top w:w="80" w:type="dxa"/>
              <w:start w:w="120" w:type="dxa"/>
              <w:bottom w:w="80" w:type="dxa"/>
              <w:end w:w="120" w:type="dxa"/>
            </w:tcMar>
            <w:vAlign w:val="center"/>
          </w:tcPr>
          <w:p>
            <w:pPr>
              <w:spacing w:after="0" w:line="259" w:lineRule="auto"/>
            </w:pPr>
            <w:r>
              <w:rPr>
                <w:rFonts w:ascii="Calibri" w:hAnsi="Calibri"/>
                <w:color w:val="0B2545"/>
                <w:sz w:val="16"/>
              </w:rPr>
              <w:t>Schedule, confirm, run daily flow, use year map and waitlist, view analytics</w:t>
            </w:r>
          </w:p>
        </w:tc>
        <w:tc>
          <w:tcPr>
            <w:tcW w:type="dxa" w:w="4110"/>
            <w:tcMar>
              <w:top w:w="80" w:type="dxa"/>
              <w:start w:w="120" w:type="dxa"/>
              <w:bottom w:w="80" w:type="dxa"/>
              <w:end w:w="120" w:type="dxa"/>
            </w:tcMar>
            <w:vAlign w:val="center"/>
          </w:tcPr>
          <w:p>
            <w:pPr>
              <w:spacing w:after="0" w:line="259" w:lineRule="auto"/>
            </w:pPr>
            <w:r>
              <w:rPr>
                <w:rFonts w:ascii="Calibri" w:hAnsi="Calibri"/>
                <w:color w:val="0B2545"/>
                <w:sz w:val="16"/>
              </w:rPr>
              <w:t>May use protected rescheduling; no Practice setup or Audit view</w:t>
            </w:r>
          </w:p>
        </w:tc>
      </w:tr>
      <w:tr>
        <w:trPr>
          <w:cantSplit w:val="true"/>
        </w:trPr>
        <w:tc>
          <w:tcPr>
            <w:tcW w:type="dxa" w:w="1450"/>
            <w:tcMar>
              <w:top w:w="80" w:type="dxa"/>
              <w:start w:w="120" w:type="dxa"/>
              <w:bottom w:w="80" w:type="dxa"/>
              <w:end w:w="120" w:type="dxa"/>
            </w:tcMar>
            <w:vAlign w:val="center"/>
          </w:tcPr>
          <w:p>
            <w:pPr>
              <w:spacing w:after="0" w:line="259" w:lineRule="auto"/>
            </w:pPr>
            <w:r>
              <w:rPr>
                <w:rFonts w:ascii="Calibri" w:hAnsi="Calibri"/>
                <w:color w:val="0B2545"/>
                <w:sz w:val="16"/>
              </w:rPr>
              <w:t>Clinician</w:t>
            </w:r>
          </w:p>
        </w:tc>
        <w:tc>
          <w:tcPr>
            <w:tcW w:type="dxa" w:w="3800"/>
            <w:tcMar>
              <w:top w:w="80" w:type="dxa"/>
              <w:start w:w="120" w:type="dxa"/>
              <w:bottom w:w="80" w:type="dxa"/>
              <w:end w:w="120" w:type="dxa"/>
            </w:tcMar>
            <w:vAlign w:val="center"/>
          </w:tcPr>
          <w:p>
            <w:pPr>
              <w:spacing w:after="0" w:line="259" w:lineRule="auto"/>
            </w:pPr>
            <w:r>
              <w:rPr>
                <w:rFonts w:ascii="Calibri" w:hAnsi="Calibri"/>
                <w:color w:val="0B2545"/>
                <w:sz w:val="16"/>
              </w:rPr>
              <w:t>Review scheduling context, daily flow, calendar, waitlist, and analytics</w:t>
            </w:r>
          </w:p>
        </w:tc>
        <w:tc>
          <w:tcPr>
            <w:tcW w:type="dxa" w:w="4110"/>
            <w:tcMar>
              <w:top w:w="80" w:type="dxa"/>
              <w:start w:w="120" w:type="dxa"/>
              <w:bottom w:w="80" w:type="dxa"/>
              <w:end w:w="120" w:type="dxa"/>
            </w:tcMar>
            <w:vAlign w:val="center"/>
          </w:tcPr>
          <w:p>
            <w:pPr>
              <w:spacing w:after="0" w:line="259" w:lineRule="auto"/>
            </w:pPr>
            <w:r>
              <w:rPr>
                <w:rFonts w:ascii="Calibri" w:hAnsi="Calibri"/>
                <w:color w:val="0B2545"/>
                <w:sz w:val="16"/>
              </w:rPr>
              <w:t>Clinical policy and calibration changes require authorized governed access</w:t>
            </w:r>
          </w:p>
        </w:tc>
      </w:tr>
      <w:tr>
        <w:trPr>
          <w:cantSplit w:val="true"/>
        </w:trPr>
        <w:tc>
          <w:tcPr>
            <w:tcW w:type="dxa" w:w="1450"/>
            <w:tcMar>
              <w:top w:w="80" w:type="dxa"/>
              <w:start w:w="120" w:type="dxa"/>
              <w:bottom w:w="80" w:type="dxa"/>
              <w:end w:w="120" w:type="dxa"/>
            </w:tcMar>
            <w:vAlign w:val="center"/>
          </w:tcPr>
          <w:p>
            <w:pPr>
              <w:spacing w:after="0" w:line="259" w:lineRule="auto"/>
            </w:pPr>
            <w:r>
              <w:rPr>
                <w:rFonts w:ascii="Calibri" w:hAnsi="Calibri"/>
                <w:color w:val="0B2545"/>
                <w:sz w:val="16"/>
              </w:rPr>
              <w:t>Administrator</w:t>
            </w:r>
          </w:p>
        </w:tc>
        <w:tc>
          <w:tcPr>
            <w:tcW w:type="dxa" w:w="3800"/>
            <w:tcMar>
              <w:top w:w="80" w:type="dxa"/>
              <w:start w:w="120" w:type="dxa"/>
              <w:bottom w:w="80" w:type="dxa"/>
              <w:end w:w="120" w:type="dxa"/>
            </w:tcMar>
            <w:vAlign w:val="center"/>
          </w:tcPr>
          <w:p>
            <w:pPr>
              <w:spacing w:after="0" w:line="259" w:lineRule="auto"/>
            </w:pPr>
            <w:r>
              <w:rPr>
                <w:rFonts w:ascii="Calibri" w:hAnsi="Calibri"/>
                <w:color w:val="0B2545"/>
                <w:sz w:val="16"/>
              </w:rPr>
              <w:t>All operational views</w:t>
            </w:r>
          </w:p>
        </w:tc>
        <w:tc>
          <w:tcPr>
            <w:tcW w:type="dxa" w:w="4110"/>
            <w:tcMar>
              <w:top w:w="80" w:type="dxa"/>
              <w:start w:w="120" w:type="dxa"/>
              <w:bottom w:w="80" w:type="dxa"/>
              <w:end w:w="120" w:type="dxa"/>
            </w:tcMar>
            <w:vAlign w:val="center"/>
          </w:tcPr>
          <w:p>
            <w:pPr>
              <w:spacing w:after="0" w:line="259" w:lineRule="auto"/>
            </w:pPr>
            <w:r>
              <w:rPr>
                <w:rFonts w:ascii="Calibri" w:hAnsi="Calibri"/>
                <w:color w:val="0B2545"/>
                <w:sz w:val="16"/>
              </w:rPr>
              <w:t>Creates unique accounts; maintains resources and policy; applies approved calibration; reviews audit</w:t>
            </w:r>
          </w:p>
        </w:tc>
      </w:tr>
      <w:tr>
        <w:trPr>
          <w:cantSplit w:val="true"/>
        </w:trPr>
        <w:tc>
          <w:tcPr>
            <w:tcW w:type="dxa" w:w="1450"/>
            <w:tcMar>
              <w:top w:w="80" w:type="dxa"/>
              <w:start w:w="120" w:type="dxa"/>
              <w:bottom w:w="80" w:type="dxa"/>
              <w:end w:w="120" w:type="dxa"/>
            </w:tcMar>
            <w:vAlign w:val="center"/>
          </w:tcPr>
          <w:p>
            <w:pPr>
              <w:spacing w:after="0" w:line="259" w:lineRule="auto"/>
            </w:pPr>
            <w:r>
              <w:rPr>
                <w:rFonts w:ascii="Calibri" w:hAnsi="Calibri"/>
                <w:color w:val="0B2545"/>
                <w:sz w:val="16"/>
              </w:rPr>
              <w:t>Auditor</w:t>
            </w:r>
          </w:p>
        </w:tc>
        <w:tc>
          <w:tcPr>
            <w:tcW w:type="dxa" w:w="3800"/>
            <w:tcMar>
              <w:top w:w="80" w:type="dxa"/>
              <w:start w:w="120" w:type="dxa"/>
              <w:bottom w:w="80" w:type="dxa"/>
              <w:end w:w="120" w:type="dxa"/>
            </w:tcMar>
            <w:vAlign w:val="center"/>
          </w:tcPr>
          <w:p>
            <w:pPr>
              <w:spacing w:after="0" w:line="259" w:lineRule="auto"/>
            </w:pPr>
            <w:r>
              <w:rPr>
                <w:rFonts w:ascii="Calibri" w:hAnsi="Calibri"/>
                <w:color w:val="0B2545"/>
                <w:sz w:val="16"/>
              </w:rPr>
              <w:t>Append-only Audit view</w:t>
            </w:r>
          </w:p>
        </w:tc>
        <w:tc>
          <w:tcPr>
            <w:tcW w:type="dxa" w:w="4110"/>
            <w:tcMar>
              <w:top w:w="80" w:type="dxa"/>
              <w:start w:w="120" w:type="dxa"/>
              <w:bottom w:w="80" w:type="dxa"/>
              <w:end w:w="120" w:type="dxa"/>
            </w:tcMar>
            <w:vAlign w:val="center"/>
          </w:tcPr>
          <w:p>
            <w:pPr>
              <w:spacing w:after="0" w:line="259" w:lineRule="auto"/>
            </w:pPr>
            <w:r>
              <w:rPr>
                <w:rFonts w:ascii="Calibri" w:hAnsi="Calibri"/>
                <w:color w:val="0B2545"/>
                <w:sz w:val="16"/>
              </w:rPr>
              <w:t>Read-only oversight; does not perform operational or configuration actions</w:t>
            </w:r>
          </w:p>
        </w:tc>
      </w:tr>
      <w:tr>
        <w:trPr>
          <w:cantSplit w:val="true"/>
        </w:trPr>
        <w:tc>
          <w:tcPr>
            <w:tcW w:type="dxa" w:w="1450"/>
            <w:tcMar>
              <w:top w:w="80" w:type="dxa"/>
              <w:start w:w="120" w:type="dxa"/>
              <w:bottom w:w="80" w:type="dxa"/>
              <w:end w:w="120" w:type="dxa"/>
            </w:tcMar>
            <w:vAlign w:val="center"/>
          </w:tcPr>
          <w:p>
            <w:pPr>
              <w:spacing w:after="0" w:line="259" w:lineRule="auto"/>
            </w:pPr>
            <w:r>
              <w:rPr>
                <w:rFonts w:ascii="Calibri" w:hAnsi="Calibri"/>
                <w:color w:val="0B2545"/>
                <w:sz w:val="16"/>
              </w:rPr>
              <w:t>IT operator</w:t>
            </w:r>
          </w:p>
        </w:tc>
        <w:tc>
          <w:tcPr>
            <w:tcW w:type="dxa" w:w="3800"/>
            <w:tcMar>
              <w:top w:w="80" w:type="dxa"/>
              <w:start w:w="120" w:type="dxa"/>
              <w:bottom w:w="80" w:type="dxa"/>
              <w:end w:w="120" w:type="dxa"/>
            </w:tcMar>
            <w:vAlign w:val="center"/>
          </w:tcPr>
          <w:p>
            <w:pPr>
              <w:spacing w:after="0" w:line="259" w:lineRule="auto"/>
            </w:pPr>
            <w:r>
              <w:rPr>
                <w:rFonts w:ascii="Calibri" w:hAnsi="Calibri"/>
                <w:color w:val="0B2545"/>
                <w:sz w:val="16"/>
              </w:rPr>
              <w:t>Install, start, health-check, back up, restore, and stop the local stack</w:t>
            </w:r>
          </w:p>
        </w:tc>
        <w:tc>
          <w:tcPr>
            <w:tcW w:type="dxa" w:w="4110"/>
            <w:tcMar>
              <w:top w:w="80" w:type="dxa"/>
              <w:start w:w="120" w:type="dxa"/>
              <w:bottom w:w="80" w:type="dxa"/>
              <w:end w:w="120" w:type="dxa"/>
            </w:tcMar>
            <w:vAlign w:val="center"/>
          </w:tcPr>
          <w:p>
            <w:pPr>
              <w:spacing w:after="0" w:line="259" w:lineRule="auto"/>
            </w:pPr>
            <w:r>
              <w:rPr>
                <w:rFonts w:ascii="Calibri" w:hAnsi="Calibri"/>
                <w:color w:val="0B2545"/>
                <w:sz w:val="16"/>
              </w:rPr>
              <w:t>No clinical decisions; no direct appointment edits</w:t>
            </w:r>
          </w:p>
        </w:tc>
      </w:tr>
    </w:tbl>
    <w:p>
      <w:pPr>
        <w:spacing w:after="80"/>
      </w:pPr>
    </w:p>
    <w:p>
      <w:pPr>
        <w:spacing w:before="80" w:after="200" w:line="300" w:lineRule="auto"/>
        <w:ind w:left="173" w:right="173"/>
        <w:shd w:fill="F4F6F9"/>
        <w:pBdr>
          <w:left w:val="single" w:sz="18" w:space="6" w:color="9B1C1C"/>
        </w:pBdr>
      </w:pPr>
      <w:r>
        <w:rPr>
          <w:rFonts w:ascii="Calibri" w:hAnsi="Calibri"/>
          <w:b/>
          <w:color w:val="9B1C1C"/>
        </w:rPr>
        <w:t xml:space="preserve">Access rule: </w:t>
      </w:r>
      <w:r>
        <w:rPr>
          <w:rFonts w:ascii="Calibri" w:hAnsi="Calibri"/>
          <w:color w:val="0B2545"/>
        </w:rPr>
        <w:t>Every user must have a unique account. Never share a scheduler login, administrator password, browser session, or recovery credential. Sign out before leaving an unattended workstation.</w:t>
      </w:r>
    </w:p>
    <w:p>
      <w:pPr>
        <w:pStyle w:val="Heading1"/>
        <w:keepNext/>
        <w:pageBreakBefore/>
      </w:pPr>
      <w:r>
        <w:rPr>
          <w:rFonts w:ascii="Calibri" w:hAnsi="Calibri"/>
          <w:b/>
          <w:color w:val="2E74B5"/>
        </w:rPr>
        <w:t>3. Installation, Daily Start, and Sign-In</w:t>
      </w:r>
    </w:p>
    <w:p>
      <w:pPr>
        <w:pStyle w:val="Heading2"/>
        <w:keepNext/>
      </w:pPr>
      <w:r>
        <w:rPr>
          <w:rFonts w:ascii="Calibri" w:hAnsi="Calibri"/>
          <w:b/>
          <w:color w:val="2E74B5"/>
        </w:rPr>
        <w:t>3.1 First Installation or Approved Upgrade - IT</w:t>
      </w:r>
    </w:p>
    <w:p>
      <w:pPr>
        <w:keepNext w:val="0"/>
        <w:spacing w:before="0" w:after="120" w:line="300" w:lineRule="auto"/>
      </w:pPr>
      <w:r>
        <w:rPr>
          <w:rFonts w:ascii="Calibri" w:hAnsi="Calibri"/>
          <w:i w:val="0"/>
          <w:color w:val="0B2545"/>
        </w:rPr>
        <w:t>Import and verify the approved offline release artifacts. A new installation should use the rules-only profile unless the optional local-AI pack has separate approval.</w:t>
      </w:r>
    </w:p>
    <w:p>
      <w:pPr>
        <w:spacing w:before="60" w:after="140" w:line="240" w:lineRule="auto"/>
        <w:ind w:left="360" w:right="360"/>
        <w:shd w:fill="EEF1F4"/>
      </w:pPr>
      <w:r>
        <w:rPr>
          <w:rFonts w:ascii="Courier New" w:hAnsi="Courier New"/>
          <w:color w:val="1F4D78"/>
          <w:sz w:val="18"/>
        </w:rPr>
        <w:t>./setup.sh --check --without-llm</w:t>
        <w:br/>
        <w:t>./setup.sh --without-llm</w:t>
      </w:r>
    </w:p>
    <w:p>
      <w:pPr>
        <w:keepNext w:val="0"/>
        <w:spacing w:before="0" w:after="120" w:line="300" w:lineRule="auto"/>
      </w:pPr>
      <w:r>
        <w:rPr>
          <w:rFonts w:ascii="Calibri" w:hAnsi="Calibri"/>
          <w:i w:val="0"/>
          <w:color w:val="0B2545"/>
        </w:rPr>
        <w:t>For a separately approved local-AI pack, use the same commands with --with-local-model. Setup preserves an existing installation's selected mode unless IT supplies an explicit profile option. It does not download packages, images, dependencies, or models.</w:t>
      </w:r>
    </w:p>
    <w:p>
      <w:pPr>
        <w:keepNext w:val="0"/>
        <w:numPr>
          <w:ilvl w:val="0"/>
          <w:numId w:val="10"/>
        </w:numPr>
        <w:spacing w:after="80" w:line="300" w:lineRule="auto"/>
        <w:ind w:left="540" w:hanging="271"/>
      </w:pPr>
      <w:r>
        <w:rPr>
          <w:rFonts w:ascii="Calibri" w:hAnsi="Calibri"/>
          <w:color w:val="0B2545"/>
        </w:rPr>
        <w:t>Store the initial administrator credential in the approved password manager and rotate bootstrap access.</w:t>
      </w:r>
    </w:p>
    <w:p>
      <w:pPr>
        <w:keepNext w:val="0"/>
        <w:numPr>
          <w:ilvl w:val="0"/>
          <w:numId w:val="10"/>
        </w:numPr>
        <w:spacing w:after="80" w:line="300" w:lineRule="auto"/>
        <w:ind w:left="540" w:hanging="271"/>
      </w:pPr>
      <w:r>
        <w:rPr>
          <w:rFonts w:ascii="Calibri" w:hAnsi="Calibri"/>
          <w:color w:val="0B2545"/>
        </w:rPr>
        <w:t>Replace development certificates with practice-issued production TLS and establish workstation trust before go-live.</w:t>
      </w:r>
    </w:p>
    <w:p>
      <w:pPr>
        <w:keepNext w:val="0"/>
        <w:numPr>
          <w:ilvl w:val="0"/>
          <w:numId w:val="10"/>
        </w:numPr>
        <w:spacing w:after="80" w:line="300" w:lineRule="auto"/>
        <w:ind w:left="540" w:hanging="271"/>
      </w:pPr>
      <w:r>
        <w:rPr>
          <w:rFonts w:ascii="Calibri" w:hAnsi="Calibri"/>
          <w:color w:val="0B2545"/>
        </w:rPr>
        <w:t>Confirm host egress denial, disk/database/backup encryption, local monitoring, approved artifacts, checksums, and recovery ownership.</w:t>
      </w:r>
    </w:p>
    <w:p>
      <w:pPr>
        <w:keepNext w:val="0"/>
        <w:numPr>
          <w:ilvl w:val="0"/>
          <w:numId w:val="10"/>
        </w:numPr>
        <w:spacing w:after="80" w:line="300" w:lineRule="auto"/>
        <w:ind w:left="540" w:hanging="271"/>
      </w:pPr>
      <w:r>
        <w:rPr>
          <w:rFonts w:ascii="Calibri" w:hAnsi="Calibri"/>
          <w:color w:val="0B2545"/>
        </w:rPr>
        <w:t>Use --no-launcher only for a managed server without a desktop session.</w:t>
      </w:r>
    </w:p>
    <w:p>
      <w:pPr>
        <w:pStyle w:val="Heading2"/>
        <w:keepNext/>
      </w:pPr>
      <w:r>
        <w:rPr>
          <w:rFonts w:ascii="Calibri" w:hAnsi="Calibri"/>
          <w:b/>
          <w:color w:val="2E74B5"/>
        </w:rPr>
        <w:t>3.2 Opening Checklist - Daily Operator</w:t>
      </w:r>
    </w:p>
    <w:p>
      <w:pPr>
        <w:keepNext w:val="0"/>
        <w:numPr>
          <w:ilvl w:val="0"/>
          <w:numId w:val="11"/>
        </w:numPr>
        <w:spacing w:after="80" w:line="300" w:lineRule="auto"/>
        <w:ind w:left="540" w:hanging="271"/>
      </w:pPr>
      <w:r>
        <w:rPr>
          <w:rFonts w:ascii="Calibri" w:hAnsi="Calibri"/>
          <w:color w:val="0B2545"/>
        </w:rPr>
        <w:t>Open the approved Scheduler desktop shortcut. It opens a healthy application or starts the validated local stack and waits for health.</w:t>
      </w:r>
    </w:p>
    <w:p>
      <w:pPr>
        <w:keepNext w:val="0"/>
        <w:numPr>
          <w:ilvl w:val="0"/>
          <w:numId w:val="11"/>
        </w:numPr>
        <w:spacing w:after="80" w:line="300" w:lineRule="auto"/>
        <w:ind w:left="540" w:hanging="271"/>
      </w:pPr>
      <w:r>
        <w:rPr>
          <w:rFonts w:ascii="Calibri" w:hAnsi="Calibri"/>
          <w:color w:val="0B2545"/>
        </w:rPr>
        <w:t>If directed by IT, start from the installation folder with ./start.sh.</w:t>
      </w:r>
    </w:p>
    <w:p>
      <w:pPr>
        <w:keepNext w:val="0"/>
        <w:numPr>
          <w:ilvl w:val="0"/>
          <w:numId w:val="11"/>
        </w:numPr>
        <w:spacing w:after="80" w:line="300" w:lineRule="auto"/>
        <w:ind w:left="540" w:hanging="271"/>
      </w:pPr>
      <w:r>
        <w:rPr>
          <w:rFonts w:ascii="Calibri" w:hAnsi="Calibri"/>
          <w:color w:val="0B2545"/>
        </w:rPr>
        <w:t>Open only the approved HTTPS address. Do not bypass a production certificate warning.</w:t>
      </w:r>
    </w:p>
    <w:p>
      <w:pPr>
        <w:keepNext w:val="0"/>
        <w:numPr>
          <w:ilvl w:val="0"/>
          <w:numId w:val="11"/>
        </w:numPr>
        <w:spacing w:after="80" w:line="300" w:lineRule="auto"/>
        <w:ind w:left="540" w:hanging="271"/>
      </w:pPr>
      <w:r>
        <w:rPr>
          <w:rFonts w:ascii="Calibri" w:hAnsi="Calibri"/>
          <w:color w:val="0B2545"/>
        </w:rPr>
        <w:t>Sign in with your unique username and password. Confirm that your displayed name and role are correct.</w:t>
      </w:r>
    </w:p>
    <w:p>
      <w:pPr>
        <w:keepNext w:val="0"/>
        <w:numPr>
          <w:ilvl w:val="0"/>
          <w:numId w:val="11"/>
        </w:numPr>
        <w:spacing w:after="80" w:line="300" w:lineRule="auto"/>
        <w:ind w:left="540" w:hanging="271"/>
      </w:pPr>
      <w:r>
        <w:rPr>
          <w:rFonts w:ascii="Calibri" w:hAnsi="Calibri"/>
          <w:color w:val="0B2545"/>
        </w:rPr>
        <w:t>Verify the displayed practice date, local time, and expected schedule. Report any timezone or clock discrepancy before booking.</w:t>
      </w:r>
    </w:p>
    <w:p>
      <w:pPr>
        <w:keepNext w:val="0"/>
        <w:numPr>
          <w:ilvl w:val="0"/>
          <w:numId w:val="11"/>
        </w:numPr>
        <w:spacing w:after="80" w:line="300" w:lineRule="auto"/>
        <w:ind w:left="540" w:hanging="271"/>
      </w:pPr>
      <w:r>
        <w:rPr>
          <w:rFonts w:ascii="Calibri" w:hAnsi="Calibri"/>
          <w:color w:val="0B2545"/>
        </w:rPr>
        <w:t>Check that upcoming locked visits and the current day appear plausible. Do not use real patient data until the environment has been approved for production.</w:t>
      </w:r>
    </w:p>
    <w:p>
      <w:pPr>
        <w:spacing w:before="60" w:after="140" w:line="240" w:lineRule="auto"/>
        <w:ind w:left="360" w:right="360"/>
        <w:shd w:fill="EEF1F4"/>
      </w:pPr>
      <w:r>
        <w:rPr>
          <w:rFonts w:ascii="Courier New" w:hAnsi="Courier New"/>
          <w:color w:val="1F4D78"/>
          <w:sz w:val="18"/>
        </w:rPr>
        <w:t>./scripts/healthcheck.sh --wait 30</w:t>
      </w:r>
    </w:p>
    <w:p>
      <w:pPr>
        <w:keepNext w:val="0"/>
        <w:spacing w:before="0" w:after="120" w:line="300" w:lineRule="auto"/>
      </w:pPr>
      <w:r>
        <w:rPr>
          <w:rFonts w:ascii="Calibri" w:hAnsi="Calibri"/>
          <w:i w:val="0"/>
          <w:color w:val="0B2545"/>
        </w:rPr>
        <w:t>A successful health check confirms the local API response and running database/API containers. It does not prove backup recoverability, optional-model quality, or complete HIPAA compliance.</w:t>
      </w:r>
    </w:p>
    <w:p>
      <w:pPr>
        <w:pStyle w:val="Heading1"/>
        <w:keepNext/>
        <w:pageBreakBefore/>
      </w:pPr>
      <w:r>
        <w:rPr>
          <w:rFonts w:ascii="Calibri" w:hAnsi="Calibri"/>
          <w:b/>
          <w:color w:val="2E74B5"/>
        </w:rPr>
        <w:t>4. Schedule and Confirm a Patient</w:t>
      </w:r>
    </w:p>
    <w:p>
      <w:pPr>
        <w:spacing w:before="80" w:after="200" w:line="300" w:lineRule="auto"/>
        <w:ind w:left="173" w:right="173"/>
        <w:shd w:fill="F4F6F9"/>
        <w:pBdr>
          <w:left w:val="single" w:sz="18" w:space="6" w:color="2E74B5"/>
        </w:pBdr>
      </w:pPr>
      <w:r>
        <w:rPr>
          <w:rFonts w:ascii="Calibri" w:hAnsi="Calibri"/>
          <w:b/>
          <w:color w:val="2E74B5"/>
        </w:rPr>
        <w:t xml:space="preserve">Before you begin: </w:t>
      </w:r>
      <w:r>
        <w:rPr>
          <w:rFonts w:ascii="Calibri" w:hAnsi="Calibri"/>
          <w:color w:val="0B2545"/>
        </w:rPr>
        <w:t>Confirm the caller or patient's identity according to practice policy, know the clinician-approved procedure, and collect only the scheduling context needed for this workflow.</w:t>
      </w:r>
    </w:p>
    <w:p>
      <w:pPr>
        <w:keepNext w:val="0"/>
        <w:numPr>
          <w:ilvl w:val="0"/>
          <w:numId w:val="12"/>
        </w:numPr>
        <w:spacing w:after="80" w:line="300" w:lineRule="auto"/>
        <w:ind w:left="540" w:hanging="271"/>
      </w:pPr>
      <w:r>
        <w:rPr>
          <w:rFonts w:ascii="Calibri" w:hAnsi="Calibri"/>
          <w:color w:val="0B2545"/>
        </w:rPr>
        <w:t>Open Schedule. Enter Patient name and MRN exactly as required by practice policy.</w:t>
      </w:r>
    </w:p>
    <w:p>
      <w:pPr>
        <w:keepNext w:val="0"/>
        <w:numPr>
          <w:ilvl w:val="0"/>
          <w:numId w:val="12"/>
        </w:numPr>
        <w:spacing w:after="80" w:line="300" w:lineRule="auto"/>
        <w:ind w:left="540" w:hanging="271"/>
      </w:pPr>
      <w:r>
        <w:rPr>
          <w:rFonts w:ascii="Calibri" w:hAnsi="Calibri"/>
          <w:color w:val="0B2545"/>
        </w:rPr>
        <w:t>Select Procedure and review the displayed phase preview. Do not substitute a procedure merely to obtain an earlier slot.</w:t>
      </w:r>
    </w:p>
    <w:p>
      <w:pPr>
        <w:keepNext w:val="0"/>
        <w:numPr>
          <w:ilvl w:val="0"/>
          <w:numId w:val="12"/>
        </w:numPr>
        <w:spacing w:after="80" w:line="300" w:lineRule="auto"/>
        <w:ind w:left="540" w:hanging="271"/>
      </w:pPr>
      <w:r>
        <w:rPr>
          <w:rFonts w:ascii="Calibri" w:hAnsi="Calibri"/>
          <w:color w:val="0B2545"/>
        </w:rPr>
        <w:t>Enter the minimum necessary Condition or scheduling context. Do not paste a chart note or unnecessary clinical narrative.</w:t>
      </w:r>
    </w:p>
    <w:p>
      <w:pPr>
        <w:keepNext w:val="0"/>
        <w:numPr>
          <w:ilvl w:val="0"/>
          <w:numId w:val="12"/>
        </w:numPr>
        <w:spacing w:after="80" w:line="300" w:lineRule="auto"/>
        <w:ind w:left="540" w:hanging="271"/>
      </w:pPr>
      <w:r>
        <w:rPr>
          <w:rFonts w:ascii="Calibri" w:hAnsi="Calibri"/>
          <w:color w:val="0B2545"/>
        </w:rPr>
        <w:t>Set From and Through dates within the rolling one-year horizon, then set Earliest and Latest daily times.</w:t>
      </w:r>
    </w:p>
    <w:p>
      <w:pPr>
        <w:keepNext w:val="0"/>
        <w:numPr>
          <w:ilvl w:val="0"/>
          <w:numId w:val="12"/>
        </w:numPr>
        <w:spacing w:after="80" w:line="300" w:lineRule="auto"/>
        <w:ind w:left="540" w:hanging="271"/>
      </w:pPr>
      <w:r>
        <w:rPr>
          <w:rFonts w:ascii="Calibri" w:hAnsi="Calibri"/>
          <w:color w:val="0B2545"/>
        </w:rPr>
        <w:t>Choose Preferred dentist only when requested or clinically approved; otherwise keep Best available.</w:t>
      </w:r>
    </w:p>
    <w:p>
      <w:pPr>
        <w:keepNext w:val="0"/>
        <w:numPr>
          <w:ilvl w:val="0"/>
          <w:numId w:val="12"/>
        </w:numPr>
        <w:spacing w:after="80" w:line="300" w:lineRule="auto"/>
        <w:ind w:left="540" w:hanging="271"/>
      </w:pPr>
      <w:r>
        <w:rPr>
          <w:rFonts w:ascii="Calibri" w:hAnsi="Calibri"/>
          <w:color w:val="0B2545"/>
        </w:rPr>
        <w:t>Select Standard or Complex case complexity using approved practice rules.</w:t>
      </w:r>
    </w:p>
    <w:p>
      <w:pPr>
        <w:keepNext w:val="0"/>
        <w:numPr>
          <w:ilvl w:val="0"/>
          <w:numId w:val="12"/>
        </w:numPr>
        <w:spacing w:after="80" w:line="300" w:lineRule="auto"/>
        <w:ind w:left="540" w:hanging="271"/>
      </w:pPr>
      <w:r>
        <w:rPr>
          <w:rFonts w:ascii="Calibri" w:hAnsi="Calibri"/>
          <w:color w:val="0B2545"/>
        </w:rPr>
        <w:t>If authorized by the patient, select Add to ASAP list if no slot works. Select Patient is already onsite only for a true walk-in.</w:t>
      </w:r>
    </w:p>
    <w:p>
      <w:pPr>
        <w:keepNext w:val="0"/>
        <w:numPr>
          <w:ilvl w:val="0"/>
          <w:numId w:val="12"/>
        </w:numPr>
        <w:spacing w:after="80" w:line="300" w:lineRule="auto"/>
        <w:ind w:left="540" w:hanging="271"/>
      </w:pPr>
      <w:r>
        <w:rPr>
          <w:rFonts w:ascii="Calibri" w:hAnsi="Calibri"/>
          <w:color w:val="0B2545"/>
        </w:rPr>
        <w:t>Select Find best openings.</w:t>
      </w:r>
    </w:p>
    <w:p>
      <w:pPr>
        <w:keepNext w:val="0"/>
        <w:numPr>
          <w:ilvl w:val="0"/>
          <w:numId w:val="12"/>
        </w:numPr>
        <w:spacing w:after="80" w:line="300" w:lineRule="auto"/>
        <w:ind w:left="540" w:hanging="271"/>
      </w:pPr>
      <w:r>
        <w:rPr>
          <w:rFonts w:ascii="Calibri" w:hAnsi="Calibri"/>
          <w:color w:val="0B2545"/>
        </w:rPr>
        <w:t>Review the local intake summary: priority, allowlisted tags, local source, and attendance-risk basis. If I reviewed the local intake tags appears, independently review the context before selecting it.</w:t>
      </w:r>
    </w:p>
    <w:p>
      <w:pPr>
        <w:keepNext w:val="0"/>
        <w:numPr>
          <w:ilvl w:val="0"/>
          <w:numId w:val="12"/>
        </w:numPr>
        <w:spacing w:after="80" w:line="300" w:lineRule="auto"/>
        <w:ind w:left="540" w:hanging="271"/>
      </w:pPr>
      <w:r>
        <w:rPr>
          <w:rFonts w:ascii="Calibri" w:hAnsi="Calibri"/>
          <w:color w:val="0B2545"/>
        </w:rPr>
        <w:t>Review each candidate's doctor, date, start/end time, room, equipment, clinical phases, and explanation. Confirm the patient's choice and all material details.</w:t>
      </w:r>
    </w:p>
    <w:p>
      <w:pPr>
        <w:keepNext w:val="0"/>
        <w:numPr>
          <w:ilvl w:val="0"/>
          <w:numId w:val="12"/>
        </w:numPr>
        <w:spacing w:after="80" w:line="300" w:lineRule="auto"/>
        <w:ind w:left="540" w:hanging="271"/>
      </w:pPr>
      <w:r>
        <w:rPr>
          <w:rFonts w:ascii="Calibri" w:hAnsi="Calibri"/>
          <w:color w:val="0B2545"/>
        </w:rPr>
        <w:t>Select Confirm, then approve the browser confirmation only when ready to lock the visit.</w:t>
      </w:r>
    </w:p>
    <w:p>
      <w:pPr>
        <w:keepNext w:val="0"/>
        <w:numPr>
          <w:ilvl w:val="0"/>
          <w:numId w:val="12"/>
        </w:numPr>
        <w:spacing w:after="80" w:line="300" w:lineRule="auto"/>
        <w:ind w:left="540" w:hanging="271"/>
      </w:pPr>
      <w:r>
        <w:rPr>
          <w:rFonts w:ascii="Calibri" w:hAnsi="Calibri"/>
          <w:color w:val="0B2545"/>
        </w:rPr>
        <w:t>Verify Confirmed and locked appears and confirm the visit in Upcoming locked visits or Year map.</w:t>
      </w:r>
    </w:p>
    <w:p>
      <w:pPr>
        <w:spacing w:before="80" w:after="200" w:line="300" w:lineRule="auto"/>
        <w:ind w:left="173" w:right="173"/>
        <w:shd w:fill="F4F6F9"/>
        <w:pBdr>
          <w:left w:val="single" w:sz="18" w:space="6" w:color="7A5A00"/>
        </w:pBdr>
      </w:pPr>
      <w:r>
        <w:rPr>
          <w:rFonts w:ascii="Calibri" w:hAnsi="Calibri"/>
          <w:b/>
          <w:color w:val="7A5A00"/>
        </w:rPr>
        <w:t xml:space="preserve">Confirmation behavior: </w:t>
      </w:r>
      <w:r>
        <w:rPr>
          <w:rFonts w:ascii="Calibri" w:hAnsi="Calibri"/>
          <w:color w:val="0B2545"/>
        </w:rPr>
        <w:t>Recommendations are temporary options. Confirmation rechecks the live database and atomically reserves the appointment, providers, room, equipment, status history, and audit evidence. If another action consumed the slot first, refresh and choose a new recommendation.</w:t>
      </w:r>
    </w:p>
    <w:p>
      <w:pPr>
        <w:pStyle w:val="Heading1"/>
        <w:keepNext/>
      </w:pPr>
      <w:r>
        <w:rPr>
          <w:rFonts w:ascii="Calibri" w:hAnsi="Calibri"/>
          <w:b/>
          <w:color w:val="2E74B5"/>
        </w:rPr>
        <w:t>5. Interpret Recommendations and No-Opening Results</w:t>
      </w:r>
    </w:p>
    <w:p>
      <w:pPr>
        <w:pStyle w:val="Heading2"/>
        <w:keepNext/>
      </w:pPr>
      <w:r>
        <w:rPr>
          <w:rFonts w:ascii="Calibri" w:hAnsi="Calibri"/>
          <w:b/>
          <w:color w:val="2E74B5"/>
        </w:rPr>
        <w:t>5.1 Recommendation Review</w:t>
      </w:r>
    </w:p>
    <w:p>
      <w:pPr>
        <w:keepNext w:val="0"/>
        <w:numPr>
          <w:ilvl w:val="0"/>
          <w:numId w:val="10"/>
        </w:numPr>
        <w:spacing w:after="80" w:line="300" w:lineRule="auto"/>
        <w:ind w:left="540" w:hanging="271"/>
      </w:pPr>
      <w:r>
        <w:rPr>
          <w:rFonts w:ascii="Calibri" w:hAnsi="Calibri"/>
          <w:color w:val="0B2545"/>
        </w:rPr>
        <w:t>Best match means highest ranked among feasible candidates; it is not a clinical recommendation.</w:t>
      </w:r>
    </w:p>
    <w:p>
      <w:pPr>
        <w:keepNext w:val="0"/>
        <w:numPr>
          <w:ilvl w:val="0"/>
          <w:numId w:val="10"/>
        </w:numPr>
        <w:spacing w:after="80" w:line="300" w:lineRule="auto"/>
        <w:ind w:left="540" w:hanging="271"/>
      </w:pPr>
      <w:r>
        <w:rPr>
          <w:rFonts w:ascii="Calibri" w:hAnsi="Calibri"/>
          <w:color w:val="0B2545"/>
        </w:rPr>
        <w:t>The explanation describes approved ranking factors such as priority, wait, preference, continuity, workload, overtime, or fragmentation.</w:t>
      </w:r>
    </w:p>
    <w:p>
      <w:pPr>
        <w:keepNext w:val="0"/>
        <w:numPr>
          <w:ilvl w:val="0"/>
          <w:numId w:val="10"/>
        </w:numPr>
        <w:spacing w:after="80" w:line="300" w:lineRule="auto"/>
        <w:ind w:left="540" w:hanging="271"/>
      </w:pPr>
      <w:r>
        <w:rPr>
          <w:rFonts w:ascii="Calibri" w:hAnsi="Calibri"/>
          <w:color w:val="0B2545"/>
        </w:rPr>
        <w:t>Every displayed phase and reserved resource must make operational sense. Stop and escalate an unexpected provider, room, equipment unit, duration, or handoff.</w:t>
      </w:r>
    </w:p>
    <w:p>
      <w:pPr>
        <w:keepNext w:val="0"/>
        <w:numPr>
          <w:ilvl w:val="0"/>
          <w:numId w:val="10"/>
        </w:numPr>
        <w:spacing w:after="80" w:line="300" w:lineRule="auto"/>
        <w:ind w:left="540" w:hanging="271"/>
      </w:pPr>
      <w:r>
        <w:rPr>
          <w:rFonts w:ascii="Calibri" w:hAnsi="Calibri"/>
          <w:color w:val="0B2545"/>
        </w:rPr>
        <w:t>Local model or rule tags cannot choose treatment, overrule staff triage, or create a booking by themselves.</w:t>
      </w:r>
    </w:p>
    <w:p>
      <w:pPr>
        <w:spacing w:after="480"/>
      </w:pPr>
    </w:p>
    <w:p>
      <w:pPr>
        <w:pStyle w:val="Heading2"/>
        <w:keepNext/>
      </w:pPr>
      <w:r>
        <w:rPr>
          <w:rFonts w:ascii="Calibri" w:hAnsi="Calibri"/>
          <w:b/>
          <w:color w:val="2E74B5"/>
        </w:rPr>
        <w:t>5.2 No Feasible Opening</w:t>
      </w:r>
    </w:p>
    <w:p>
      <w:pPr>
        <w:keepNext w:val="0"/>
        <w:numPr>
          <w:ilvl w:val="0"/>
          <w:numId w:val="13"/>
        </w:numPr>
        <w:spacing w:after="80" w:line="300" w:lineRule="auto"/>
        <w:ind w:left="540" w:hanging="271"/>
      </w:pPr>
      <w:r>
        <w:rPr>
          <w:rFonts w:ascii="Calibri" w:hAnsi="Calibri"/>
          <w:color w:val="0B2545"/>
        </w:rPr>
        <w:t>Read the no-opening message and preserve every hard constraint.</w:t>
      </w:r>
    </w:p>
    <w:p>
      <w:pPr>
        <w:keepNext w:val="0"/>
        <w:numPr>
          <w:ilvl w:val="0"/>
          <w:numId w:val="13"/>
        </w:numPr>
        <w:spacing w:after="80" w:line="300" w:lineRule="auto"/>
        <w:ind w:left="540" w:hanging="271"/>
      </w:pPr>
      <w:r>
        <w:rPr>
          <w:rFonts w:ascii="Calibri" w:hAnsi="Calibri"/>
          <w:color w:val="0B2545"/>
        </w:rPr>
        <w:t>Verify the entered procedure, complexity, date window, daily times, preference, and patient restrictions.</w:t>
      </w:r>
    </w:p>
    <w:p>
      <w:pPr>
        <w:keepNext w:val="0"/>
        <w:numPr>
          <w:ilvl w:val="0"/>
          <w:numId w:val="13"/>
        </w:numPr>
        <w:spacing w:after="80" w:line="300" w:lineRule="auto"/>
        <w:ind w:left="540" w:hanging="271"/>
      </w:pPr>
      <w:r>
        <w:rPr>
          <w:rFonts w:ascii="Calibri" w:hAnsi="Calibri"/>
          <w:color w:val="0B2545"/>
        </w:rPr>
        <w:t>With patient agreement and policy permission, widen the date or time window or remove an optional dentist preference.</w:t>
      </w:r>
    </w:p>
    <w:p>
      <w:pPr>
        <w:keepNext w:val="0"/>
        <w:numPr>
          <w:ilvl w:val="0"/>
          <w:numId w:val="13"/>
        </w:numPr>
        <w:spacing w:after="80" w:line="300" w:lineRule="auto"/>
        <w:ind w:left="540" w:hanging="271"/>
      </w:pPr>
      <w:r>
        <w:rPr>
          <w:rFonts w:ascii="Calibri" w:hAnsi="Calibri"/>
          <w:color w:val="0B2545"/>
        </w:rPr>
        <w:t>If the patient consented, confirm that the request was added to the ASAP waitlist; otherwise add it in Waitlist.</w:t>
      </w:r>
    </w:p>
    <w:p>
      <w:pPr>
        <w:keepNext w:val="0"/>
        <w:numPr>
          <w:ilvl w:val="0"/>
          <w:numId w:val="13"/>
        </w:numPr>
        <w:spacing w:after="80" w:line="300" w:lineRule="auto"/>
        <w:ind w:left="540" w:hanging="271"/>
      </w:pPr>
      <w:r>
        <w:rPr>
          <w:rFonts w:ascii="Calibri" w:hAnsi="Calibri"/>
          <w:color w:val="0B2545"/>
        </w:rPr>
        <w:t>Escalate a possible configuration or capacity issue to an administrator or clinical/operations owner.</w:t>
      </w:r>
    </w:p>
    <w:p>
      <w:pPr>
        <w:spacing w:before="80" w:after="200" w:line="300" w:lineRule="auto"/>
        <w:ind w:left="173" w:right="173"/>
        <w:shd w:fill="F4F6F9"/>
        <w:pBdr>
          <w:left w:val="single" w:sz="18" w:space="6" w:color="9B1C1C"/>
        </w:pBdr>
      </w:pPr>
      <w:r>
        <w:rPr>
          <w:rFonts w:ascii="Calibri" w:hAnsi="Calibri"/>
          <w:b/>
          <w:color w:val="9B1C1C"/>
        </w:rPr>
        <w:t xml:space="preserve">Never do: </w:t>
      </w:r>
      <w:r>
        <w:rPr>
          <w:rFonts w:ascii="Calibri" w:hAnsi="Calibri"/>
          <w:color w:val="0B2545"/>
        </w:rPr>
        <w:t>Do not shorten a procedure, ignore leave or closure, double-book a resource, change complexity, or move a locked visit to manufacture an opening.</w:t>
      </w:r>
    </w:p>
    <w:p>
      <w:pPr>
        <w:pStyle w:val="Heading1"/>
        <w:keepNext/>
        <w:pageBreakBefore/>
      </w:pPr>
      <w:r>
        <w:rPr>
          <w:rFonts w:ascii="Calibri" w:hAnsi="Calibri"/>
          <w:b/>
          <w:color w:val="2E74B5"/>
        </w:rPr>
        <w:t>6. Protected Rescheduling</w:t>
      </w:r>
    </w:p>
    <w:p>
      <w:pPr>
        <w:keepNext w:val="0"/>
        <w:spacing w:before="0" w:after="120" w:line="300" w:lineRule="auto"/>
      </w:pPr>
      <w:r>
        <w:rPr>
          <w:rFonts w:ascii="Calibri" w:hAnsi="Calibri"/>
          <w:i w:val="0"/>
          <w:color w:val="0B2545"/>
        </w:rPr>
        <w:t>Only an authorized scheduler or administrator may move a confirmed visit. Preview leaves the original unchanged. Authorization is short-lived, single-use, and limited to one exact replacement.</w:t>
      </w:r>
    </w:p>
    <w:p>
      <w:pPr>
        <w:keepNext w:val="0"/>
        <w:numPr>
          <w:ilvl w:val="0"/>
          <w:numId w:val="14"/>
        </w:numPr>
        <w:spacing w:after="80" w:line="300" w:lineRule="auto"/>
        <w:ind w:left="540" w:hanging="271"/>
      </w:pPr>
      <w:r>
        <w:rPr>
          <w:rFonts w:ascii="Calibri" w:hAnsi="Calibri"/>
          <w:color w:val="0B2545"/>
        </w:rPr>
        <w:t>Find the confirmed visit in Upcoming locked visits or select its day in Year map.</w:t>
      </w:r>
    </w:p>
    <w:p>
      <w:pPr>
        <w:keepNext w:val="0"/>
        <w:numPr>
          <w:ilvl w:val="0"/>
          <w:numId w:val="14"/>
        </w:numPr>
        <w:spacing w:after="80" w:line="300" w:lineRule="auto"/>
        <w:ind w:left="540" w:hanging="271"/>
      </w:pPr>
      <w:r>
        <w:rPr>
          <w:rFonts w:ascii="Calibri" w:hAnsi="Calibri"/>
          <w:color w:val="0B2545"/>
        </w:rPr>
        <w:t>Select Move to open Reschedule locked visit.</w:t>
      </w:r>
    </w:p>
    <w:p>
      <w:pPr>
        <w:keepNext w:val="0"/>
        <w:numPr>
          <w:ilvl w:val="0"/>
          <w:numId w:val="14"/>
        </w:numPr>
        <w:spacing w:after="80" w:line="300" w:lineRule="auto"/>
        <w:ind w:left="540" w:hanging="271"/>
      </w:pPr>
      <w:r>
        <w:rPr>
          <w:rFonts w:ascii="Calibri" w:hAnsi="Calibri"/>
          <w:color w:val="0B2545"/>
        </w:rPr>
        <w:t>Set replacement dates and times, then select Preview replacements.</w:t>
      </w:r>
    </w:p>
    <w:p>
      <w:pPr>
        <w:keepNext w:val="0"/>
        <w:numPr>
          <w:ilvl w:val="0"/>
          <w:numId w:val="14"/>
        </w:numPr>
        <w:spacing w:after="80" w:line="300" w:lineRule="auto"/>
        <w:ind w:left="540" w:hanging="271"/>
      </w:pPr>
      <w:r>
        <w:rPr>
          <w:rFonts w:ascii="Calibri" w:hAnsi="Calibri"/>
          <w:color w:val="0B2545"/>
        </w:rPr>
        <w:t>Review the alternatives and select one exact doctor, room, date, and time.</w:t>
      </w:r>
    </w:p>
    <w:p>
      <w:pPr>
        <w:keepNext w:val="0"/>
        <w:numPr>
          <w:ilvl w:val="0"/>
          <w:numId w:val="14"/>
        </w:numPr>
        <w:spacing w:after="80" w:line="300" w:lineRule="auto"/>
        <w:ind w:left="540" w:hanging="271"/>
      </w:pPr>
      <w:r>
        <w:rPr>
          <w:rFonts w:ascii="Calibri" w:hAnsi="Calibri"/>
          <w:color w:val="0B2545"/>
        </w:rPr>
        <w:t>Enter a meaningful Reason of at least 10 characters. Do not include unnecessary clinical narrative.</w:t>
      </w:r>
    </w:p>
    <w:p>
      <w:pPr>
        <w:keepNext w:val="0"/>
        <w:numPr>
          <w:ilvl w:val="0"/>
          <w:numId w:val="14"/>
        </w:numPr>
        <w:spacing w:after="80" w:line="300" w:lineRule="auto"/>
        <w:ind w:left="540" w:hanging="271"/>
      </w:pPr>
      <w:r>
        <w:rPr>
          <w:rFonts w:ascii="Calibri" w:hAnsi="Calibri"/>
          <w:color w:val="0B2545"/>
        </w:rPr>
        <w:t>Confirm patient and staff approval, then select I authorize this exact replacement.</w:t>
      </w:r>
    </w:p>
    <w:p>
      <w:pPr>
        <w:keepNext w:val="0"/>
        <w:numPr>
          <w:ilvl w:val="0"/>
          <w:numId w:val="14"/>
        </w:numPr>
        <w:spacing w:after="80" w:line="300" w:lineRule="auto"/>
        <w:ind w:left="540" w:hanging="271"/>
      </w:pPr>
      <w:r>
        <w:rPr>
          <w:rFonts w:ascii="Calibri" w:hAnsi="Calibri"/>
          <w:color w:val="0B2545"/>
        </w:rPr>
        <w:t>Select Authorize and replace once. Wait for the success message.</w:t>
      </w:r>
    </w:p>
    <w:p>
      <w:pPr>
        <w:keepNext w:val="0"/>
        <w:numPr>
          <w:ilvl w:val="0"/>
          <w:numId w:val="14"/>
        </w:numPr>
        <w:spacing w:after="80" w:line="300" w:lineRule="auto"/>
        <w:ind w:left="540" w:hanging="271"/>
      </w:pPr>
      <w:r>
        <w:rPr>
          <w:rFonts w:ascii="Calibri" w:hAnsi="Calibri"/>
          <w:color w:val="0B2545"/>
        </w:rPr>
        <w:t>Verify the old slot is inactive and the replacement is confirmed and locked.</w:t>
      </w:r>
    </w:p>
    <w:p>
      <w:pPr>
        <w:spacing w:before="80" w:after="200" w:line="300" w:lineRule="auto"/>
        <w:ind w:left="173" w:right="173"/>
        <w:shd w:fill="F4F6F9"/>
        <w:pBdr>
          <w:left w:val="single" w:sz="18" w:space="6" w:color="7A5A00"/>
        </w:pBdr>
      </w:pPr>
      <w:r>
        <w:rPr>
          <w:rFonts w:ascii="Calibri" w:hAnsi="Calibri"/>
          <w:b/>
          <w:color w:val="7A5A00"/>
        </w:rPr>
        <w:t xml:space="preserve">If the request fails: </w:t>
      </w:r>
      <w:r>
        <w:rPr>
          <w:rFonts w:ascii="Calibri" w:hAnsi="Calibri"/>
          <w:color w:val="0B2545"/>
        </w:rPr>
        <w:t>Do not retry repeatedly or edit the database. The preview may be stale because availability changed. Close the dialog, reload the calendar, preview again, and escalate if confirmation conflicts recur.</w:t>
      </w:r>
    </w:p>
    <w:p>
      <w:pPr>
        <w:pStyle w:val="Heading1"/>
        <w:keepNext/>
      </w:pPr>
      <w:r>
        <w:rPr>
          <w:rFonts w:ascii="Calibri" w:hAnsi="Calibri"/>
          <w:b/>
          <w:color w:val="2E74B5"/>
        </w:rPr>
        <w:t>7. Close an Appointment</w:t>
      </w:r>
    </w:p>
    <w:p>
      <w:pPr>
        <w:keepNext w:val="0"/>
        <w:spacing w:before="0" w:after="120" w:line="300" w:lineRule="auto"/>
      </w:pPr>
      <w:r>
        <w:rPr>
          <w:rFonts w:ascii="Calibri" w:hAnsi="Calibri"/>
          <w:i w:val="0"/>
          <w:color w:val="0B2545"/>
        </w:rPr>
        <w:t>Use a supported outcome so capacity, waitlist recovery, analytics, calibration evidence, and audit history stay accurate.</w:t>
      </w:r>
    </w:p>
    <w:p>
      <w:pPr>
        <w:keepNext w:val="0"/>
        <w:numPr>
          <w:ilvl w:val="0"/>
          <w:numId w:val="15"/>
        </w:numPr>
        <w:spacing w:after="80" w:line="300" w:lineRule="auto"/>
        <w:ind w:left="540" w:hanging="271"/>
      </w:pPr>
      <w:r>
        <w:rPr>
          <w:rFonts w:ascii="Calibri" w:hAnsi="Calibri"/>
          <w:color w:val="0B2545"/>
        </w:rPr>
        <w:t>Find the confirmed appointment in Upcoming locked visits or Year map and select Close.</w:t>
      </w:r>
    </w:p>
    <w:p>
      <w:pPr>
        <w:keepNext w:val="0"/>
        <w:numPr>
          <w:ilvl w:val="0"/>
          <w:numId w:val="15"/>
        </w:numPr>
        <w:spacing w:after="80" w:line="300" w:lineRule="auto"/>
        <w:ind w:left="540" w:hanging="271"/>
      </w:pPr>
      <w:r>
        <w:rPr>
          <w:rFonts w:ascii="Calibri" w:hAnsi="Calibri"/>
          <w:color w:val="0B2545"/>
        </w:rPr>
        <w:t>Choose Completed, Cancelled, or No show.</w:t>
      </w:r>
    </w:p>
    <w:p>
      <w:pPr>
        <w:keepNext w:val="0"/>
        <w:numPr>
          <w:ilvl w:val="0"/>
          <w:numId w:val="15"/>
        </w:numPr>
        <w:spacing w:after="80" w:line="300" w:lineRule="auto"/>
        <w:ind w:left="540" w:hanging="271"/>
      </w:pPr>
      <w:r>
        <w:rPr>
          <w:rFonts w:ascii="Calibri" w:hAnsi="Calibri"/>
          <w:color w:val="0B2545"/>
        </w:rPr>
        <w:t>Enter the approved reason or disposition with at least 3 characters and without unnecessary PHI.</w:t>
      </w:r>
    </w:p>
    <w:p>
      <w:pPr>
        <w:keepNext w:val="0"/>
        <w:numPr>
          <w:ilvl w:val="0"/>
          <w:numId w:val="15"/>
        </w:numPr>
        <w:spacing w:after="80" w:line="300" w:lineRule="auto"/>
        <w:ind w:left="540" w:hanging="271"/>
      </w:pPr>
      <w:r>
        <w:rPr>
          <w:rFonts w:ascii="Calibri" w:hAnsi="Calibri"/>
          <w:color w:val="0B2545"/>
        </w:rPr>
        <w:t>Select Record outcome and verify the success message.</w:t>
      </w:r>
    </w:p>
    <w:p>
      <w:pPr>
        <w:keepNext w:val="0"/>
        <w:numPr>
          <w:ilvl w:val="0"/>
          <w:numId w:val="15"/>
        </w:numPr>
        <w:spacing w:after="80" w:line="300" w:lineRule="auto"/>
        <w:ind w:left="540" w:hanging="271"/>
      </w:pPr>
      <w:r>
        <w:rPr>
          <w:rFonts w:ascii="Calibri" w:hAnsi="Calibri"/>
          <w:color w:val="0B2545"/>
        </w:rPr>
        <w:t>For a cancellation, note any message reporting matching waitlist patients and continue in Waitlist.</w:t>
      </w:r>
    </w:p>
    <w:p>
      <w:pPr>
        <w:keepNext w:val="0"/>
        <w:spacing w:before="0" w:after="120" w:line="300" w:lineRule="auto"/>
      </w:pPr>
      <w:r>
        <w:rPr>
          <w:rFonts w:ascii="Calibri" w:hAnsi="Calibri"/>
          <w:i w:val="0"/>
          <w:color w:val="0B2545"/>
        </w:rPr>
        <w:t>A cancellation or outcome creates a new immutable lifecycle event. It does not erase the original appointment or prior audit history.</w:t>
      </w:r>
    </w:p>
    <w:p>
      <w:pPr>
        <w:pStyle w:val="Heading1"/>
        <w:keepNext/>
        <w:pageBreakBefore/>
      </w:pPr>
      <w:r>
        <w:rPr>
          <w:rFonts w:ascii="Calibri" w:hAnsi="Calibri"/>
          <w:b/>
          <w:color w:val="2E74B5"/>
        </w:rPr>
        <w:t>8. Run the Day and Handle Walk-Ins</w:t>
      </w:r>
    </w:p>
    <w:p>
      <w:pPr>
        <w:pStyle w:val="Heading2"/>
        <w:keepNext/>
      </w:pPr>
      <w:r>
        <w:rPr>
          <w:rFonts w:ascii="Calibri" w:hAnsi="Calibri"/>
          <w:b/>
          <w:color w:val="2E74B5"/>
        </w:rPr>
        <w:t>8.1 Today Board</w:t>
      </w:r>
    </w:p>
    <w:p>
      <w:pPr>
        <w:keepNext w:val="0"/>
        <w:numPr>
          <w:ilvl w:val="0"/>
          <w:numId w:val="16"/>
        </w:numPr>
        <w:spacing w:after="80" w:line="300" w:lineRule="auto"/>
        <w:ind w:left="540" w:hanging="271"/>
      </w:pPr>
      <w:r>
        <w:rPr>
          <w:rFonts w:ascii="Calibri" w:hAnsi="Calibri"/>
          <w:color w:val="0B2545"/>
        </w:rPr>
        <w:t>Open Today board and confirm the Operating day.</w:t>
      </w:r>
    </w:p>
    <w:p>
      <w:pPr>
        <w:keepNext w:val="0"/>
        <w:numPr>
          <w:ilvl w:val="0"/>
          <w:numId w:val="16"/>
        </w:numPr>
        <w:spacing w:after="80" w:line="300" w:lineRule="auto"/>
        <w:ind w:left="540" w:hanging="271"/>
      </w:pPr>
      <w:r>
        <w:rPr>
          <w:rFonts w:ascii="Calibri" w:hAnsi="Calibri"/>
          <w:color w:val="0B2545"/>
        </w:rPr>
        <w:t>Review Visits, Production, Dentist minutes, and Rooms in plan as operational indicators, not clinical directives.</w:t>
      </w:r>
    </w:p>
    <w:p>
      <w:pPr>
        <w:keepNext w:val="0"/>
        <w:numPr>
          <w:ilvl w:val="0"/>
          <w:numId w:val="16"/>
        </w:numPr>
        <w:spacing w:after="80" w:line="300" w:lineRule="auto"/>
        <w:ind w:left="540" w:hanging="271"/>
      </w:pPr>
      <w:r>
        <w:rPr>
          <w:rFonts w:ascii="Calibri" w:hAnsi="Calibri"/>
          <w:color w:val="0B2545"/>
        </w:rPr>
        <w:t>Use Visit timelines to review the patient, procedure, room, doctor, and clinical phase handoffs.</w:t>
      </w:r>
    </w:p>
    <w:p>
      <w:pPr>
        <w:keepNext w:val="0"/>
        <w:numPr>
          <w:ilvl w:val="0"/>
          <w:numId w:val="16"/>
        </w:numPr>
        <w:spacing w:after="80" w:line="300" w:lineRule="auto"/>
        <w:ind w:left="540" w:hanging="271"/>
      </w:pPr>
      <w:r>
        <w:rPr>
          <w:rFonts w:ascii="Calibri" w:hAnsi="Calibri"/>
          <w:color w:val="0B2545"/>
        </w:rPr>
        <w:t>When the patient physically arrives and identity is verified, select Check in.</w:t>
      </w:r>
    </w:p>
    <w:p>
      <w:pPr>
        <w:keepNext w:val="0"/>
        <w:numPr>
          <w:ilvl w:val="0"/>
          <w:numId w:val="16"/>
        </w:numPr>
        <w:spacing w:after="80" w:line="300" w:lineRule="auto"/>
        <w:ind w:left="540" w:hanging="271"/>
      </w:pPr>
      <w:r>
        <w:rPr>
          <w:rFonts w:ascii="Calibri" w:hAnsi="Calibri"/>
          <w:color w:val="0B2545"/>
        </w:rPr>
        <w:t>When the patient is actually seated, select Seat patient. Do not pre-record these events.</w:t>
      </w:r>
    </w:p>
    <w:p>
      <w:pPr>
        <w:keepNext w:val="0"/>
        <w:numPr>
          <w:ilvl w:val="0"/>
          <w:numId w:val="16"/>
        </w:numPr>
        <w:spacing w:after="80" w:line="300" w:lineRule="auto"/>
        <w:ind w:left="540" w:hanging="271"/>
      </w:pPr>
      <w:r>
        <w:rPr>
          <w:rFonts w:ascii="Calibri" w:hAnsi="Calibri"/>
          <w:color w:val="0B2545"/>
        </w:rPr>
        <w:t>Use the supported Close workflow to record completion, cancellation, or no-show accurately.</w:t>
      </w:r>
    </w:p>
    <w:p>
      <w:pPr>
        <w:keepNext w:val="0"/>
        <w:numPr>
          <w:ilvl w:val="0"/>
          <w:numId w:val="16"/>
        </w:numPr>
        <w:spacing w:after="80" w:line="300" w:lineRule="auto"/>
        <w:ind w:left="540" w:hanging="271"/>
      </w:pPr>
      <w:r>
        <w:rPr>
          <w:rFonts w:ascii="Calibri" w:hAnsi="Calibri"/>
          <w:color w:val="0B2545"/>
        </w:rPr>
        <w:t>Review Capacity &amp; production for staffing awareness. Never bypass a hard constraint to improve a target.</w:t>
      </w:r>
    </w:p>
    <w:p>
      <w:pPr>
        <w:pStyle w:val="Heading2"/>
        <w:keepNext/>
      </w:pPr>
      <w:r>
        <w:rPr>
          <w:rFonts w:ascii="Calibri" w:hAnsi="Calibri"/>
          <w:b/>
          <w:color w:val="2E74B5"/>
        </w:rPr>
        <w:t>8.2 Walk-In</w:t>
      </w:r>
    </w:p>
    <w:p>
      <w:pPr>
        <w:keepNext w:val="0"/>
        <w:numPr>
          <w:ilvl w:val="0"/>
          <w:numId w:val="17"/>
        </w:numPr>
        <w:spacing w:after="80" w:line="300" w:lineRule="auto"/>
        <w:ind w:left="540" w:hanging="271"/>
      </w:pPr>
      <w:r>
        <w:rPr>
          <w:rFonts w:ascii="Calibri" w:hAnsi="Calibri"/>
          <w:color w:val="0B2545"/>
        </w:rPr>
        <w:t>From Today board, select Schedule walk-in. The product returns to Schedule, marks the patient as onsite, and sets the search to today.</w:t>
      </w:r>
    </w:p>
    <w:p>
      <w:pPr>
        <w:keepNext w:val="0"/>
        <w:numPr>
          <w:ilvl w:val="0"/>
          <w:numId w:val="17"/>
        </w:numPr>
        <w:spacing w:after="80" w:line="300" w:lineRule="auto"/>
        <w:ind w:left="540" w:hanging="271"/>
      </w:pPr>
      <w:r>
        <w:rPr>
          <w:rFonts w:ascii="Calibri" w:hAnsi="Calibri"/>
          <w:color w:val="0B2545"/>
        </w:rPr>
        <w:t>Enter verified identity, procedure, minimum context, complexity, and realistic remaining availability.</w:t>
      </w:r>
    </w:p>
    <w:p>
      <w:pPr>
        <w:keepNext w:val="0"/>
        <w:numPr>
          <w:ilvl w:val="0"/>
          <w:numId w:val="17"/>
        </w:numPr>
        <w:spacing w:after="80" w:line="300" w:lineRule="auto"/>
        <w:ind w:left="540" w:hanging="271"/>
      </w:pPr>
      <w:r>
        <w:rPr>
          <w:rFonts w:ascii="Calibri" w:hAnsi="Calibri"/>
          <w:color w:val="0B2545"/>
        </w:rPr>
        <w:t>Select Find best openings and review the full resource plan.</w:t>
      </w:r>
    </w:p>
    <w:p>
      <w:pPr>
        <w:keepNext w:val="0"/>
        <w:numPr>
          <w:ilvl w:val="0"/>
          <w:numId w:val="17"/>
        </w:numPr>
        <w:spacing w:after="80" w:line="300" w:lineRule="auto"/>
        <w:ind w:left="540" w:hanging="271"/>
      </w:pPr>
      <w:r>
        <w:rPr>
          <w:rFonts w:ascii="Calibri" w:hAnsi="Calibri"/>
          <w:color w:val="0B2545"/>
        </w:rPr>
        <w:t>Confirm only a feasible option. If none exists, follow clinical triage and downtime/emergency procedures outside this scheduling tool; do not force a booking.</w:t>
      </w:r>
    </w:p>
    <w:p>
      <w:pPr>
        <w:pStyle w:val="Heading1"/>
        <w:keepNext/>
      </w:pPr>
      <w:r>
        <w:rPr>
          <w:rFonts w:ascii="Calibri" w:hAnsi="Calibri"/>
          <w:b/>
          <w:color w:val="2E74B5"/>
        </w:rPr>
        <w:t>9. Use the Rolling Year Map</w:t>
      </w:r>
    </w:p>
    <w:p>
      <w:pPr>
        <w:keepNext w:val="0"/>
        <w:numPr>
          <w:ilvl w:val="0"/>
          <w:numId w:val="18"/>
        </w:numPr>
        <w:spacing w:after="80" w:line="300" w:lineRule="auto"/>
        <w:ind w:left="540" w:hanging="271"/>
      </w:pPr>
      <w:r>
        <w:rPr>
          <w:rFonts w:ascii="Calibri" w:hAnsi="Calibri"/>
          <w:color w:val="0B2545"/>
        </w:rPr>
        <w:t>Open Year map. The view begins with the current month and displays twelve months of confirmed-visit density.</w:t>
      </w:r>
    </w:p>
    <w:p>
      <w:pPr>
        <w:keepNext w:val="0"/>
        <w:numPr>
          <w:ilvl w:val="0"/>
          <w:numId w:val="18"/>
        </w:numPr>
        <w:spacing w:after="80" w:line="300" w:lineRule="auto"/>
        <w:ind w:left="540" w:hanging="271"/>
      </w:pPr>
      <w:r>
        <w:rPr>
          <w:rFonts w:ascii="Calibri" w:hAnsi="Calibri"/>
          <w:color w:val="0B2545"/>
        </w:rPr>
        <w:t>Select a date to open Day schedule.</w:t>
      </w:r>
    </w:p>
    <w:p>
      <w:pPr>
        <w:keepNext w:val="0"/>
        <w:numPr>
          <w:ilvl w:val="0"/>
          <w:numId w:val="18"/>
        </w:numPr>
        <w:spacing w:after="80" w:line="300" w:lineRule="auto"/>
        <w:ind w:left="540" w:hanging="271"/>
      </w:pPr>
      <w:r>
        <w:rPr>
          <w:rFonts w:ascii="Calibri" w:hAnsi="Calibri"/>
          <w:color w:val="0B2545"/>
        </w:rPr>
        <w:t>Review confirmed appointments and use Move or Close only when the required workflow applies.</w:t>
      </w:r>
    </w:p>
    <w:p>
      <w:pPr>
        <w:keepNext w:val="0"/>
        <w:numPr>
          <w:ilvl w:val="0"/>
          <w:numId w:val="18"/>
        </w:numPr>
        <w:spacing w:after="80" w:line="300" w:lineRule="auto"/>
        <w:ind w:left="540" w:hanging="271"/>
      </w:pPr>
      <w:r>
        <w:rPr>
          <w:rFonts w:ascii="Calibri" w:hAnsi="Calibri"/>
          <w:color w:val="0B2545"/>
        </w:rPr>
        <w:t>Select Close on the day panel to return to the annual overview.</w:t>
      </w:r>
    </w:p>
    <w:p>
      <w:pPr>
        <w:spacing w:before="80" w:after="200" w:line="300" w:lineRule="auto"/>
        <w:ind w:left="173" w:right="173"/>
        <w:shd w:fill="F4F6F9"/>
        <w:pBdr>
          <w:left w:val="single" w:sz="18" w:space="6" w:color="2E74B5"/>
        </w:pBdr>
      </w:pPr>
      <w:r>
        <w:rPr>
          <w:rFonts w:ascii="Calibri" w:hAnsi="Calibri"/>
          <w:b/>
          <w:color w:val="2E74B5"/>
        </w:rPr>
        <w:t xml:space="preserve">Annual horizon: </w:t>
      </w:r>
      <w:r>
        <w:rPr>
          <w:rFonts w:ascii="Calibri" w:hAnsi="Calibri"/>
          <w:color w:val="0B2545"/>
        </w:rPr>
        <w:t>The map is a rolling view, not a once-a-year schedule rebuild. New requests always search current availability, while confirmed appointments remain locked.</w:t>
      </w:r>
    </w:p>
    <w:p>
      <w:pPr>
        <w:pStyle w:val="Heading1"/>
        <w:keepNext/>
        <w:pageBreakBefore/>
      </w:pPr>
      <w:r>
        <w:rPr>
          <w:rFonts w:ascii="Calibri" w:hAnsi="Calibri"/>
          <w:b/>
          <w:color w:val="2E74B5"/>
        </w:rPr>
        <w:t>10. Manage the ASAP Waitlist</w:t>
      </w:r>
    </w:p>
    <w:p>
      <w:pPr>
        <w:pStyle w:val="Heading2"/>
        <w:keepNext/>
      </w:pPr>
      <w:r>
        <w:rPr>
          <w:rFonts w:ascii="Calibri" w:hAnsi="Calibri"/>
          <w:b/>
          <w:color w:val="2E74B5"/>
        </w:rPr>
        <w:t>10.1 Add a Request</w:t>
      </w:r>
    </w:p>
    <w:p>
      <w:pPr>
        <w:keepNext w:val="0"/>
        <w:numPr>
          <w:ilvl w:val="0"/>
          <w:numId w:val="19"/>
        </w:numPr>
        <w:spacing w:after="80" w:line="300" w:lineRule="auto"/>
        <w:ind w:left="540" w:hanging="271"/>
      </w:pPr>
      <w:r>
        <w:rPr>
          <w:rFonts w:ascii="Calibri" w:hAnsi="Calibri"/>
          <w:color w:val="0B2545"/>
        </w:rPr>
        <w:t>Open Waitlist and enter Patient name, MRN, Procedure, earliest/latest dates, daily time range, and approved Priority.</w:t>
      </w:r>
    </w:p>
    <w:p>
      <w:pPr>
        <w:keepNext w:val="0"/>
        <w:numPr>
          <w:ilvl w:val="0"/>
          <w:numId w:val="19"/>
        </w:numPr>
        <w:spacing w:after="80" w:line="300" w:lineRule="auto"/>
        <w:ind w:left="540" w:hanging="271"/>
      </w:pPr>
      <w:r>
        <w:rPr>
          <w:rFonts w:ascii="Calibri" w:hAnsi="Calibri"/>
          <w:color w:val="0B2545"/>
        </w:rPr>
        <w:t>Select Add to waitlist and verify the entry appears in Patients ready to move.</w:t>
      </w:r>
    </w:p>
    <w:p>
      <w:pPr>
        <w:keepNext w:val="0"/>
        <w:numPr>
          <w:ilvl w:val="0"/>
          <w:numId w:val="19"/>
        </w:numPr>
        <w:spacing w:after="80" w:line="300" w:lineRule="auto"/>
        <w:ind w:left="540" w:hanging="271"/>
      </w:pPr>
      <w:r>
        <w:rPr>
          <w:rFonts w:ascii="Calibri" w:hAnsi="Calibri"/>
          <w:color w:val="0B2545"/>
        </w:rPr>
        <w:t>Do not use notes for clinical narrative; the supported form intentionally creates the request without free-text notes.</w:t>
      </w:r>
    </w:p>
    <w:p>
      <w:pPr>
        <w:pStyle w:val="Heading2"/>
        <w:keepNext/>
      </w:pPr>
      <w:r>
        <w:rPr>
          <w:rFonts w:ascii="Calibri" w:hAnsi="Calibri"/>
          <w:b/>
          <w:color w:val="2E74B5"/>
        </w:rPr>
        <w:t>10.2 Find an Opening and Record Contact</w:t>
      </w:r>
    </w:p>
    <w:p>
      <w:pPr>
        <w:keepNext w:val="0"/>
        <w:numPr>
          <w:ilvl w:val="0"/>
          <w:numId w:val="20"/>
        </w:numPr>
        <w:spacing w:after="80" w:line="300" w:lineRule="auto"/>
        <w:ind w:left="540" w:hanging="271"/>
      </w:pPr>
      <w:r>
        <w:rPr>
          <w:rFonts w:ascii="Calibri" w:hAnsi="Calibri"/>
          <w:color w:val="0B2545"/>
        </w:rPr>
        <w:t>Select Find opening for an active entry. The product returns to Schedule with waitlist matches.</w:t>
      </w:r>
    </w:p>
    <w:p>
      <w:pPr>
        <w:keepNext w:val="0"/>
        <w:numPr>
          <w:ilvl w:val="0"/>
          <w:numId w:val="20"/>
        </w:numPr>
        <w:spacing w:after="80" w:line="300" w:lineRule="auto"/>
        <w:ind w:left="540" w:hanging="271"/>
      </w:pPr>
      <w:r>
        <w:rPr>
          <w:rFonts w:ascii="Calibri" w:hAnsi="Calibri"/>
          <w:color w:val="0B2545"/>
        </w:rPr>
        <w:t>Review and confirm a candidate using the normal confirmation controls. If none exists, the entry remains active.</w:t>
      </w:r>
    </w:p>
    <w:p>
      <w:pPr>
        <w:keepNext w:val="0"/>
        <w:numPr>
          <w:ilvl w:val="0"/>
          <w:numId w:val="20"/>
        </w:numPr>
        <w:spacing w:after="80" w:line="300" w:lineRule="auto"/>
        <w:ind w:left="540" w:hanging="271"/>
      </w:pPr>
      <w:r>
        <w:rPr>
          <w:rFonts w:ascii="Calibri" w:hAnsi="Calibri"/>
          <w:color w:val="0B2545"/>
        </w:rPr>
        <w:t>Select Log call after each contact attempt.</w:t>
      </w:r>
    </w:p>
    <w:p>
      <w:pPr>
        <w:keepNext w:val="0"/>
        <w:numPr>
          <w:ilvl w:val="0"/>
          <w:numId w:val="20"/>
        </w:numPr>
        <w:spacing w:after="80" w:line="300" w:lineRule="auto"/>
        <w:ind w:left="540" w:hanging="271"/>
      </w:pPr>
      <w:r>
        <w:rPr>
          <w:rFonts w:ascii="Calibri" w:hAnsi="Calibri"/>
          <w:color w:val="0B2545"/>
        </w:rPr>
        <w:t>Choose only one supported outcome: no_answer, left_message, offered, accepted, or declined.</w:t>
      </w:r>
    </w:p>
    <w:p>
      <w:pPr>
        <w:keepNext w:val="0"/>
        <w:numPr>
          <w:ilvl w:val="0"/>
          <w:numId w:val="20"/>
        </w:numPr>
        <w:spacing w:after="80" w:line="300" w:lineRule="auto"/>
        <w:ind w:left="540" w:hanging="271"/>
      </w:pPr>
      <w:r>
        <w:rPr>
          <w:rFonts w:ascii="Calibri" w:hAnsi="Calibri"/>
          <w:color w:val="0B2545"/>
        </w:rPr>
        <w:t>Record an incentive only when practice policy authorizes it; do not place patient condition details in this field.</w:t>
      </w:r>
    </w:p>
    <w:p>
      <w:pPr>
        <w:pStyle w:val="Heading1"/>
        <w:keepNext/>
      </w:pPr>
      <w:r>
        <w:rPr>
          <w:rFonts w:ascii="Calibri" w:hAnsi="Calibri"/>
          <w:b/>
          <w:color w:val="2E74B5"/>
        </w:rPr>
        <w:t>11. Review Analytics</w:t>
      </w:r>
    </w:p>
    <w:p>
      <w:pPr>
        <w:keepNext w:val="0"/>
        <w:spacing w:before="0" w:after="120" w:line="300" w:lineRule="auto"/>
      </w:pPr>
      <w:r>
        <w:rPr>
          <w:rFonts w:ascii="Calibri" w:hAnsi="Calibri"/>
          <w:i w:val="0"/>
          <w:color w:val="0B2545"/>
        </w:rPr>
        <w:t>Open Analytics, select a From/Through range of no more than 367 days, and review local descriptive measures. Available views include chair utilization, no-show rate, average patient wait, production, provider booked minutes, production per booked hour, visit counts, no-shows, and observed chair time.</w:t>
      </w:r>
    </w:p>
    <w:p>
      <w:pPr>
        <w:keepNext w:val="0"/>
        <w:numPr>
          <w:ilvl w:val="0"/>
          <w:numId w:val="10"/>
        </w:numPr>
        <w:spacing w:after="80" w:line="300" w:lineRule="auto"/>
        <w:ind w:left="540" w:hanging="271"/>
      </w:pPr>
      <w:r>
        <w:rPr>
          <w:rFonts w:ascii="Calibri" w:hAnsi="Calibri"/>
          <w:color w:val="0B2545"/>
        </w:rPr>
        <w:t>Use analytics to identify workflow or configuration questions; do not diagnose, deny care, or rank patients from dashboard values.</w:t>
      </w:r>
    </w:p>
    <w:p>
      <w:pPr>
        <w:keepNext w:val="0"/>
        <w:numPr>
          <w:ilvl w:val="0"/>
          <w:numId w:val="10"/>
        </w:numPr>
        <w:spacing w:after="80" w:line="300" w:lineRule="auto"/>
        <w:ind w:left="540" w:hanging="271"/>
      </w:pPr>
      <w:r>
        <w:rPr>
          <w:rFonts w:ascii="Calibri" w:hAnsi="Calibri"/>
          <w:color w:val="0B2545"/>
        </w:rPr>
        <w:t>Compare like periods and populations and document staffing, policy, demand, or capacity changes.</w:t>
      </w:r>
    </w:p>
    <w:p>
      <w:pPr>
        <w:keepNext w:val="0"/>
        <w:numPr>
          <w:ilvl w:val="0"/>
          <w:numId w:val="10"/>
        </w:numPr>
        <w:spacing w:after="80" w:line="300" w:lineRule="auto"/>
        <w:ind w:left="540" w:hanging="271"/>
      </w:pPr>
      <w:r>
        <w:rPr>
          <w:rFonts w:ascii="Calibri" w:hAnsi="Calibri"/>
          <w:color w:val="0B2545"/>
        </w:rPr>
        <w:t>Review sample size and data quality before changing policy. A positive efficiency metric never offsets a safety or privacy exception.</w:t>
      </w:r>
    </w:p>
    <w:p>
      <w:pPr>
        <w:keepNext w:val="0"/>
        <w:numPr>
          <w:ilvl w:val="0"/>
          <w:numId w:val="10"/>
        </w:numPr>
        <w:spacing w:after="80" w:line="300" w:lineRule="auto"/>
        <w:ind w:left="540" w:hanging="271"/>
      </w:pPr>
      <w:r>
        <w:rPr>
          <w:rFonts w:ascii="Calibri" w:hAnsi="Calibri"/>
          <w:color w:val="0B2545"/>
        </w:rPr>
        <w:t>Keep exports, screenshots, and support bundles inside the approved local boundary and follow the practice's minimum-necessary policy.</w:t>
      </w:r>
    </w:p>
    <w:p>
      <w:pPr>
        <w:pStyle w:val="Heading1"/>
        <w:keepNext/>
        <w:pageBreakBefore/>
      </w:pPr>
      <w:r>
        <w:rPr>
          <w:rFonts w:ascii="Calibri" w:hAnsi="Calibri"/>
          <w:b/>
          <w:color w:val="2E74B5"/>
        </w:rPr>
        <w:t>12. Practice Setup and Change Control</w:t>
      </w:r>
    </w:p>
    <w:p>
      <w:pPr>
        <w:keepNext w:val="0"/>
        <w:spacing w:before="0" w:after="120" w:line="300" w:lineRule="auto"/>
      </w:pPr>
      <w:r>
        <w:rPr>
          <w:rFonts w:ascii="Calibri" w:hAnsi="Calibri"/>
          <w:i w:val="0"/>
          <w:color w:val="0B2545"/>
        </w:rPr>
        <w:t>Practice setup is an administrator-controlled surface. Some clinical policy actions also require an authorized clinician. Validate changes in a controlled environment and record the owner, reason, effective date, and approval before real-patient use.</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650"/>
        <w:gridCol w:w="4010"/>
        <w:gridCol w:w="3700"/>
      </w:tblGrid>
      <w:tr>
        <w:trPr>
          <w:tblHeader w:val="true"/>
          <w:cantSplit w:val="true"/>
        </w:trPr>
        <w:tc>
          <w:tcPr>
            <w:tcW w:type="dxa" w:w="1650"/>
            <w:shd w:fill="E8EEF5"/>
            <w:tcMar>
              <w:top w:w="80" w:type="dxa"/>
              <w:start w:w="120" w:type="dxa"/>
              <w:bottom w:w="80" w:type="dxa"/>
              <w:end w:w="120" w:type="dxa"/>
            </w:tcMar>
            <w:vAlign w:val="center"/>
          </w:tcPr>
          <w:p>
            <w:pPr>
              <w:spacing w:after="0"/>
              <w:jc w:val="center"/>
            </w:pPr>
            <w:r>
              <w:rPr>
                <w:rFonts w:ascii="Calibri" w:hAnsi="Calibri"/>
                <w:b/>
                <w:color w:val="0B2545"/>
                <w:sz w:val="17"/>
              </w:rPr>
              <w:t>Area</w:t>
            </w:r>
          </w:p>
        </w:tc>
        <w:tc>
          <w:tcPr>
            <w:tcW w:type="dxa" w:w="4010"/>
            <w:shd w:fill="E8EEF5"/>
            <w:tcMar>
              <w:top w:w="80" w:type="dxa"/>
              <w:start w:w="120" w:type="dxa"/>
              <w:bottom w:w="80" w:type="dxa"/>
              <w:end w:w="120" w:type="dxa"/>
            </w:tcMar>
            <w:vAlign w:val="center"/>
          </w:tcPr>
          <w:p>
            <w:pPr>
              <w:spacing w:after="0"/>
              <w:jc w:val="center"/>
            </w:pPr>
            <w:r>
              <w:rPr>
                <w:rFonts w:ascii="Calibri" w:hAnsi="Calibri"/>
                <w:b/>
                <w:color w:val="0B2545"/>
                <w:sz w:val="17"/>
              </w:rPr>
              <w:t>Supported action</w:t>
            </w:r>
          </w:p>
        </w:tc>
        <w:tc>
          <w:tcPr>
            <w:tcW w:type="dxa" w:w="3700"/>
            <w:shd w:fill="E8EEF5"/>
            <w:tcMar>
              <w:top w:w="80" w:type="dxa"/>
              <w:start w:w="120" w:type="dxa"/>
              <w:bottom w:w="80" w:type="dxa"/>
              <w:end w:w="120" w:type="dxa"/>
            </w:tcMar>
            <w:vAlign w:val="center"/>
          </w:tcPr>
          <w:p>
            <w:pPr>
              <w:spacing w:after="0"/>
              <w:jc w:val="center"/>
            </w:pPr>
            <w:r>
              <w:rPr>
                <w:rFonts w:ascii="Calibri" w:hAnsi="Calibri"/>
                <w:b/>
                <w:color w:val="0B2545"/>
                <w:sz w:val="17"/>
              </w:rPr>
              <w:t>Required control</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Clinical team</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Add assistants or hygienists with staff code, display name, and role</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Verify identity, role, weekday hours, and least privilege</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Operatories</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Add a room and category</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Validate turnover and procedure eligibility</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Leave &amp; coverage</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Block provider time</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Verify provider, timezone-aware start/end, and reason code</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Practice users</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Create a unique account and role</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Use a temporary password of at least 12 characters; deliver securely</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Supervision</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Set dentist maximum simultaneous active rooms</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Clinical approval; never exceed validated capacity</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Preferences</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Set dentist/procedure preference from -10 to +10</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Ranking preference only; cannot bypass qualification</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Daily rota</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Set scheduled, off, or covering override</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Verify date, times, and named coverage</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Procedure policy</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Edit name, production value, ordered phases, roles, and standard/complex minutes</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Clinician approval; at least one phase; test before use</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Equipment</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Add/update units and procedure requirements</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Physical inventory must support configured capacity</w:t>
            </w:r>
          </w:p>
        </w:tc>
      </w:tr>
      <w:tr>
        <w:trPr>
          <w:cantSplit w:val="true"/>
        </w:trPr>
        <w:tc>
          <w:tcPr>
            <w:tcW w:type="dxa" w:w="1650"/>
            <w:tcMar>
              <w:top w:w="80" w:type="dxa"/>
              <w:start w:w="120" w:type="dxa"/>
              <w:bottom w:w="80" w:type="dxa"/>
              <w:end w:w="120" w:type="dxa"/>
            </w:tcMar>
            <w:vAlign w:val="center"/>
          </w:tcPr>
          <w:p>
            <w:pPr>
              <w:spacing w:after="0" w:line="259" w:lineRule="auto"/>
            </w:pPr>
            <w:r>
              <w:rPr>
                <w:rFonts w:ascii="Calibri" w:hAnsi="Calibri"/>
                <w:color w:val="0B2545"/>
                <w:sz w:val="16"/>
              </w:rPr>
              <w:t>Closures</w:t>
            </w:r>
          </w:p>
        </w:tc>
        <w:tc>
          <w:tcPr>
            <w:tcW w:type="dxa" w:w="4010"/>
            <w:tcMar>
              <w:top w:w="80" w:type="dxa"/>
              <w:start w:w="120" w:type="dxa"/>
              <w:bottom w:w="80" w:type="dxa"/>
              <w:end w:w="120" w:type="dxa"/>
            </w:tcMar>
            <w:vAlign w:val="center"/>
          </w:tcPr>
          <w:p>
            <w:pPr>
              <w:spacing w:after="0" w:line="259" w:lineRule="auto"/>
            </w:pPr>
            <w:r>
              <w:rPr>
                <w:rFonts w:ascii="Calibri" w:hAnsi="Calibri"/>
                <w:color w:val="0B2545"/>
                <w:sz w:val="16"/>
              </w:rPr>
              <w:t>Block a full practice interval</w:t>
            </w:r>
          </w:p>
        </w:tc>
        <w:tc>
          <w:tcPr>
            <w:tcW w:type="dxa" w:w="3700"/>
            <w:tcMar>
              <w:top w:w="80" w:type="dxa"/>
              <w:start w:w="120" w:type="dxa"/>
              <w:bottom w:w="80" w:type="dxa"/>
              <w:end w:w="120" w:type="dxa"/>
            </w:tcMar>
            <w:vAlign w:val="center"/>
          </w:tcPr>
          <w:p>
            <w:pPr>
              <w:spacing w:after="0" w:line="259" w:lineRule="auto"/>
            </w:pPr>
            <w:r>
              <w:rPr>
                <w:rFonts w:ascii="Calibri" w:hAnsi="Calibri"/>
                <w:color w:val="0B2545"/>
                <w:sz w:val="16"/>
              </w:rPr>
              <w:t>Operations approval; verify start/end and reason</w:t>
            </w:r>
          </w:p>
        </w:tc>
      </w:tr>
    </w:tbl>
    <w:p>
      <w:pPr>
        <w:spacing w:after="80"/>
      </w:pPr>
    </w:p>
    <w:p>
      <w:pPr>
        <w:spacing w:before="80" w:after="200" w:line="300" w:lineRule="auto"/>
        <w:ind w:left="173" w:right="173"/>
        <w:shd w:fill="F4F6F9"/>
        <w:pBdr>
          <w:left w:val="single" w:sz="18" w:space="6" w:color="9B1C1C"/>
        </w:pBdr>
      </w:pPr>
      <w:r>
        <w:rPr>
          <w:rFonts w:ascii="Calibri" w:hAnsi="Calibri"/>
          <w:b/>
          <w:color w:val="9B1C1C"/>
        </w:rPr>
        <w:t xml:space="preserve">Change safety: </w:t>
      </w:r>
      <w:r>
        <w:rPr>
          <w:rFonts w:ascii="Calibri" w:hAnsi="Calibri"/>
          <w:color w:val="0B2545"/>
        </w:rPr>
        <w:t>Do not make a configuration change merely to clear an error or create an opening. Investigate the cause, obtain the appropriate approval, test the change, and verify later recommendations.</w:t>
      </w:r>
    </w:p>
    <w:p>
      <w:pPr>
        <w:pStyle w:val="Heading1"/>
        <w:keepNext/>
      </w:pPr>
      <w:r>
        <w:rPr>
          <w:rFonts w:ascii="Calibri" w:hAnsi="Calibri"/>
          <w:b/>
          <w:color w:val="2E74B5"/>
        </w:rPr>
        <w:t>13. Duration Evidence and Calibration</w:t>
      </w:r>
    </w:p>
    <w:p>
      <w:pPr>
        <w:keepNext w:val="0"/>
        <w:spacing w:before="0" w:after="120" w:line="300" w:lineRule="auto"/>
      </w:pPr>
      <w:r>
        <w:rPr>
          <w:rFonts w:ascii="Calibri" w:hAnsi="Calibri"/>
          <w:i w:val="0"/>
          <w:color w:val="0B2545"/>
        </w:rPr>
        <w:t>The scheduler operates immediately from versioned reference durations. Completed visits may create de-identified timing observations. Local CSV history is optional, and calibration is deterministic rather than language-model training.</w:t>
      </w:r>
    </w:p>
    <w:p>
      <w:pPr>
        <w:keepNext w:val="0"/>
        <w:numPr>
          <w:ilvl w:val="0"/>
          <w:numId w:val="21"/>
        </w:numPr>
        <w:spacing w:after="80" w:line="300" w:lineRule="auto"/>
        <w:ind w:left="540" w:hanging="271"/>
      </w:pPr>
      <w:r>
        <w:rPr>
          <w:rFonts w:ascii="Calibri" w:hAnsi="Calibri"/>
          <w:color w:val="0B2545"/>
        </w:rPr>
        <w:t>Before production, validate or edit reference procedure phases and durations in Practice setup.</w:t>
      </w:r>
    </w:p>
    <w:p>
      <w:pPr>
        <w:keepNext w:val="0"/>
        <w:numPr>
          <w:ilvl w:val="0"/>
          <w:numId w:val="21"/>
        </w:numPr>
        <w:spacing w:after="80" w:line="300" w:lineRule="auto"/>
        <w:ind w:left="540" w:hanging="271"/>
      </w:pPr>
      <w:r>
        <w:rPr>
          <w:rFonts w:ascii="Calibri" w:hAnsi="Calibri"/>
          <w:color w:val="0B2545"/>
        </w:rPr>
        <w:t>Record check-in, seating, completion, cancellation, and no-show outcomes accurately so eligible local timing evidence is trustworthy.</w:t>
      </w:r>
    </w:p>
    <w:p>
      <w:pPr>
        <w:keepNext w:val="0"/>
        <w:numPr>
          <w:ilvl w:val="0"/>
          <w:numId w:val="21"/>
        </w:numPr>
        <w:spacing w:after="80" w:line="300" w:lineRule="auto"/>
        <w:ind w:left="540" w:hanging="271"/>
      </w:pPr>
      <w:r>
        <w:rPr>
          <w:rFonts w:ascii="Calibri" w:hAnsi="Calibri"/>
          <w:color w:val="0B2545"/>
        </w:rPr>
        <w:t>For optional CSV import, use only procedure_code, doctor_staff_code (optional), service_date, scheduled_minutes, actual_minutes, and outcome.</w:t>
      </w:r>
    </w:p>
    <w:p>
      <w:pPr>
        <w:keepNext w:val="0"/>
        <w:numPr>
          <w:ilvl w:val="0"/>
          <w:numId w:val="21"/>
        </w:numPr>
        <w:spacing w:after="80" w:line="300" w:lineRule="auto"/>
        <w:ind w:left="540" w:hanging="271"/>
      </w:pPr>
      <w:r>
        <w:rPr>
          <w:rFonts w:ascii="Calibri" w:hAnsi="Calibri"/>
          <w:color w:val="0B2545"/>
        </w:rPr>
        <w:t>Reject any file containing patient name, MRN, date of birth, phone, address, condition text, appointment link, or uncontrolled free text.</w:t>
      </w:r>
    </w:p>
    <w:p>
      <w:pPr>
        <w:keepNext w:val="0"/>
        <w:numPr>
          <w:ilvl w:val="0"/>
          <w:numId w:val="21"/>
        </w:numPr>
        <w:spacing w:after="80" w:line="300" w:lineRule="auto"/>
        <w:ind w:left="540" w:hanging="271"/>
      </w:pPr>
      <w:r>
        <w:rPr>
          <w:rFonts w:ascii="Calibri" w:hAnsi="Calibri"/>
          <w:color w:val="0B2545"/>
        </w:rPr>
        <w:t>Review rejected rows rather than weakening validation. Keep active defaults while evidence accumulates.</w:t>
      </w:r>
    </w:p>
    <w:p>
      <w:pPr>
        <w:keepNext w:val="0"/>
        <w:numPr>
          <w:ilvl w:val="0"/>
          <w:numId w:val="21"/>
        </w:numPr>
        <w:spacing w:after="80" w:line="300" w:lineRule="auto"/>
        <w:ind w:left="540" w:hanging="271"/>
      </w:pPr>
      <w:r>
        <w:rPr>
          <w:rFonts w:ascii="Calibri" w:hAnsi="Calibri"/>
          <w:color w:val="0B2545"/>
        </w:rPr>
        <w:t>A recommendation is staged only after the approved minimum sample size (20 by default). Review sample size, standard proposal, complex proposal, evidence source, and operational context.</w:t>
      </w:r>
    </w:p>
    <w:p>
      <w:pPr>
        <w:keepNext w:val="0"/>
        <w:numPr>
          <w:ilvl w:val="0"/>
          <w:numId w:val="21"/>
        </w:numPr>
        <w:spacing w:after="80" w:line="300" w:lineRule="auto"/>
        <w:ind w:left="540" w:hanging="271"/>
      </w:pPr>
      <w:r>
        <w:rPr>
          <w:rFonts w:ascii="Calibri" w:hAnsi="Calibri"/>
          <w:color w:val="0B2545"/>
        </w:rPr>
        <w:t>An authorized administrator or clinician enters a reason of at least 10 characters and selects Review &amp; apply only after approval.</w:t>
      </w:r>
    </w:p>
    <w:p>
      <w:pPr>
        <w:keepNext w:val="0"/>
        <w:numPr>
          <w:ilvl w:val="0"/>
          <w:numId w:val="21"/>
        </w:numPr>
        <w:spacing w:after="80" w:line="300" w:lineRule="auto"/>
        <w:ind w:left="540" w:hanging="271"/>
      </w:pPr>
      <w:r>
        <w:rPr>
          <w:rFonts w:ascii="Calibri" w:hAnsi="Calibri"/>
          <w:color w:val="0B2545"/>
        </w:rPr>
        <w:t>Verify a new prospective policy version. Calibration must never alter an existing confirmed appointment.</w:t>
      </w:r>
    </w:p>
    <w:p>
      <w:pPr>
        <w:spacing w:before="80" w:after="200" w:line="300" w:lineRule="auto"/>
        <w:ind w:left="173" w:right="173"/>
        <w:shd w:fill="F4F6F9"/>
        <w:pBdr>
          <w:left w:val="single" w:sz="18" w:space="6" w:color="2E74B5"/>
        </w:pBdr>
      </w:pPr>
      <w:r>
        <w:rPr>
          <w:rFonts w:ascii="Calibri" w:hAnsi="Calibri"/>
          <w:b/>
          <w:color w:val="2E74B5"/>
        </w:rPr>
        <w:t xml:space="preserve">Model distinction: </w:t>
      </w:r>
      <w:r>
        <w:rPr>
          <w:rFonts w:ascii="Calibri" w:hAnsi="Calibri"/>
          <w:color w:val="0B2545"/>
        </w:rPr>
        <w:t>Practice scheduling and timing data does not train or fine-tune the optional intake model. Any future model-training project requires separate authorization, privacy review, governance, validation, provenance, and release acceptance.</w:t>
      </w:r>
    </w:p>
    <w:p>
      <w:pPr>
        <w:pStyle w:val="Heading1"/>
        <w:keepNext/>
        <w:pageBreakBefore/>
      </w:pPr>
      <w:r>
        <w:rPr>
          <w:rFonts w:ascii="Calibri" w:hAnsi="Calibri"/>
          <w:b/>
          <w:color w:val="2E74B5"/>
        </w:rPr>
        <w:t>14. Audit, Privacy, and Security</w:t>
      </w:r>
    </w:p>
    <w:p>
      <w:pPr>
        <w:pStyle w:val="Heading2"/>
        <w:keepNext/>
      </w:pPr>
      <w:r>
        <w:rPr>
          <w:rFonts w:ascii="Calibri" w:hAnsi="Calibri"/>
          <w:b/>
          <w:color w:val="2E74B5"/>
        </w:rPr>
        <w:t>14.1 Audit Review</w:t>
      </w:r>
    </w:p>
    <w:p>
      <w:pPr>
        <w:keepNext w:val="0"/>
        <w:spacing w:before="0" w:after="120" w:line="300" w:lineRule="auto"/>
      </w:pPr>
      <w:r>
        <w:rPr>
          <w:rFonts w:ascii="Calibri" w:hAnsi="Calibri"/>
          <w:i w:val="0"/>
          <w:color w:val="0B2545"/>
        </w:rPr>
        <w:t>Administrators and auditors may open Audit to review recent append-only events, actors, times, entities, and outcomes. Clinical free text is excluded. Corrections create new events; prior events remain unchanged.</w:t>
      </w:r>
    </w:p>
    <w:p>
      <w:pPr>
        <w:keepNext w:val="0"/>
        <w:numPr>
          <w:ilvl w:val="0"/>
          <w:numId w:val="10"/>
        </w:numPr>
        <w:spacing w:after="80" w:line="300" w:lineRule="auto"/>
        <w:ind w:left="540" w:hanging="271"/>
      </w:pPr>
      <w:r>
        <w:rPr>
          <w:rFonts w:ascii="Calibri" w:hAnsi="Calibri"/>
          <w:color w:val="0B2545"/>
        </w:rPr>
        <w:t>Review failed authentication, access or role changes, scheduling, confirmation, cancellation, protected rescheduling, configuration, calibration, export, backup, restore, and security-control events according to local policy.</w:t>
      </w:r>
    </w:p>
    <w:p>
      <w:pPr>
        <w:keepNext w:val="0"/>
        <w:numPr>
          <w:ilvl w:val="0"/>
          <w:numId w:val="10"/>
        </w:numPr>
        <w:spacing w:after="80" w:line="300" w:lineRule="auto"/>
        <w:ind w:left="540" w:hanging="271"/>
      </w:pPr>
      <w:r>
        <w:rPr>
          <w:rFonts w:ascii="Calibri" w:hAnsi="Calibri"/>
          <w:color w:val="0B2545"/>
        </w:rPr>
        <w:t>Escalate a missing protected-action event, unexpected actor, unexplained appointment change, audit outage, or suspected tampering immediately.</w:t>
      </w:r>
    </w:p>
    <w:p>
      <w:pPr>
        <w:keepNext w:val="0"/>
        <w:numPr>
          <w:ilvl w:val="0"/>
          <w:numId w:val="10"/>
        </w:numPr>
        <w:spacing w:after="80" w:line="300" w:lineRule="auto"/>
        <w:ind w:left="540" w:hanging="271"/>
      </w:pPr>
      <w:r>
        <w:rPr>
          <w:rFonts w:ascii="Calibri" w:hAnsi="Calibri"/>
          <w:color w:val="0B2545"/>
        </w:rPr>
        <w:t>Do not copy audit identifiers or patient-linked context into external tickets unless the approved incident process requires and protects it.</w:t>
      </w:r>
    </w:p>
    <w:p>
      <w:pPr>
        <w:pStyle w:val="Heading2"/>
        <w:keepNext/>
      </w:pPr>
      <w:r>
        <w:rPr>
          <w:rFonts w:ascii="Calibri" w:hAnsi="Calibri"/>
          <w:b/>
          <w:color w:val="2E74B5"/>
        </w:rPr>
        <w:t>14.2 Minimum-Necessary Handling</w:t>
      </w:r>
    </w:p>
    <w:p>
      <w:pPr>
        <w:keepNext w:val="0"/>
        <w:numPr>
          <w:ilvl w:val="0"/>
          <w:numId w:val="10"/>
        </w:numPr>
        <w:spacing w:after="80" w:line="300" w:lineRule="auto"/>
        <w:ind w:left="540" w:hanging="271"/>
      </w:pPr>
      <w:r>
        <w:rPr>
          <w:rFonts w:ascii="Calibri" w:hAnsi="Calibri"/>
          <w:color w:val="0B2545"/>
        </w:rPr>
        <w:t>Enter only the patient and condition information needed for scheduling.</w:t>
      </w:r>
    </w:p>
    <w:p>
      <w:pPr>
        <w:keepNext w:val="0"/>
        <w:numPr>
          <w:ilvl w:val="0"/>
          <w:numId w:val="10"/>
        </w:numPr>
        <w:spacing w:after="80" w:line="300" w:lineRule="auto"/>
        <w:ind w:left="540" w:hanging="271"/>
      </w:pPr>
      <w:r>
        <w:rPr>
          <w:rFonts w:ascii="Calibri" w:hAnsi="Calibri"/>
          <w:color w:val="0B2545"/>
        </w:rPr>
        <w:t>Never place names, MRNs, condition text, appointment details, credentials, access tokens, or database content in logs, launcher notes, screenshots, calibration files, or unapproved support bundles.</w:t>
      </w:r>
    </w:p>
    <w:p>
      <w:pPr>
        <w:keepNext w:val="0"/>
        <w:numPr>
          <w:ilvl w:val="0"/>
          <w:numId w:val="10"/>
        </w:numPr>
        <w:spacing w:after="80" w:line="300" w:lineRule="auto"/>
        <w:ind w:left="540" w:hanging="271"/>
      </w:pPr>
      <w:r>
        <w:rPr>
          <w:rFonts w:ascii="Calibri" w:hAnsi="Calibri"/>
          <w:color w:val="0B2545"/>
        </w:rPr>
        <w:t>Do not transmit application data to cloud AI, email, consumer file sharing, remote analytics, or any internet service.</w:t>
      </w:r>
    </w:p>
    <w:p>
      <w:pPr>
        <w:keepNext w:val="0"/>
        <w:numPr>
          <w:ilvl w:val="0"/>
          <w:numId w:val="10"/>
        </w:numPr>
        <w:spacing w:after="80" w:line="300" w:lineRule="auto"/>
        <w:ind w:left="540" w:hanging="271"/>
      </w:pPr>
      <w:r>
        <w:rPr>
          <w:rFonts w:ascii="Calibri" w:hAnsi="Calibri"/>
          <w:color w:val="0B2545"/>
        </w:rPr>
        <w:t>Use unique accounts, lock the workstation, sign out, and follow approved retention, legal-hold, backup, and disposal policy.</w:t>
      </w:r>
    </w:p>
    <w:p>
      <w:pPr>
        <w:keepNext w:val="0"/>
        <w:numPr>
          <w:ilvl w:val="0"/>
          <w:numId w:val="10"/>
        </w:numPr>
        <w:spacing w:after="80" w:line="300" w:lineRule="auto"/>
        <w:ind w:left="540" w:hanging="271"/>
      </w:pPr>
      <w:r>
        <w:rPr>
          <w:rFonts w:ascii="Calibri" w:hAnsi="Calibri"/>
          <w:color w:val="0B2545"/>
        </w:rPr>
        <w:t>Report suspected unauthorized access, disclosure, export, malware, loss, or theft through the practice incident process immediately.</w:t>
      </w:r>
    </w:p>
    <w:p>
      <w:pPr>
        <w:spacing w:before="80" w:after="200" w:line="300" w:lineRule="auto"/>
        <w:ind w:left="173" w:right="173"/>
        <w:shd w:fill="F4F6F9"/>
        <w:pBdr>
          <w:left w:val="single" w:sz="18" w:space="6" w:color="7A5A00"/>
        </w:pBdr>
      </w:pPr>
      <w:r>
        <w:rPr>
          <w:rFonts w:ascii="Calibri" w:hAnsi="Calibri"/>
          <w:b/>
          <w:color w:val="7A5A00"/>
        </w:rPr>
        <w:t xml:space="preserve">Compliance statement: </w:t>
      </w:r>
      <w:r>
        <w:rPr>
          <w:rFonts w:ascii="Calibri" w:hAnsi="Calibri"/>
          <w:color w:val="0B2545"/>
        </w:rPr>
        <w:t>The software supplies technical safeguards and audit evidence. HIPAA compliance also depends on the practice's risk analysis, policies, training, physical safeguards, contracts, access governance, contingency plan, and periodic evaluation.</w:t>
      </w:r>
    </w:p>
    <w:p>
      <w:pPr>
        <w:pStyle w:val="Heading1"/>
        <w:keepNext/>
      </w:pPr>
      <w:r>
        <w:rPr>
          <w:rFonts w:ascii="Calibri" w:hAnsi="Calibri"/>
          <w:b/>
          <w:color w:val="2E74B5"/>
        </w:rPr>
        <w:t>15. End-of-Day and Safe Shutdown</w:t>
      </w:r>
    </w:p>
    <w:p>
      <w:pPr>
        <w:pStyle w:val="Heading2"/>
        <w:keepNext/>
      </w:pPr>
      <w:r>
        <w:rPr>
          <w:rFonts w:ascii="Calibri" w:hAnsi="Calibri"/>
          <w:b/>
          <w:color w:val="2E74B5"/>
        </w:rPr>
        <w:t>15.1 End-of-Day Operator Checklist</w:t>
      </w:r>
    </w:p>
    <w:p>
      <w:pPr>
        <w:keepNext w:val="0"/>
        <w:numPr>
          <w:ilvl w:val="0"/>
          <w:numId w:val="22"/>
        </w:numPr>
        <w:spacing w:after="80" w:line="300" w:lineRule="auto"/>
        <w:ind w:left="540" w:hanging="271"/>
      </w:pPr>
      <w:r>
        <w:rPr>
          <w:rFonts w:ascii="Calibri" w:hAnsi="Calibri"/>
          <w:color w:val="0B2545"/>
        </w:rPr>
        <w:t>Record every completed, cancelled, and no-show visit through the supported Close workflow.</w:t>
      </w:r>
    </w:p>
    <w:p>
      <w:pPr>
        <w:keepNext w:val="0"/>
        <w:numPr>
          <w:ilvl w:val="0"/>
          <w:numId w:val="22"/>
        </w:numPr>
        <w:spacing w:after="80" w:line="300" w:lineRule="auto"/>
        <w:ind w:left="540" w:hanging="271"/>
      </w:pPr>
      <w:r>
        <w:rPr>
          <w:rFonts w:ascii="Calibri" w:hAnsi="Calibri"/>
          <w:color w:val="0B2545"/>
        </w:rPr>
        <w:t>Confirm check-in and seating timestamps are accurate for completed visits.</w:t>
      </w:r>
    </w:p>
    <w:p>
      <w:pPr>
        <w:keepNext w:val="0"/>
        <w:numPr>
          <w:ilvl w:val="0"/>
          <w:numId w:val="22"/>
        </w:numPr>
        <w:spacing w:after="80" w:line="300" w:lineRule="auto"/>
        <w:ind w:left="540" w:hanging="271"/>
      </w:pPr>
      <w:r>
        <w:rPr>
          <w:rFonts w:ascii="Calibri" w:hAnsi="Calibri"/>
          <w:color w:val="0B2545"/>
        </w:rPr>
        <w:t>Review unresolved waitlist contacts, unexpected schedule conflicts, local alerts, and required escalation notes.</w:t>
      </w:r>
    </w:p>
    <w:p>
      <w:pPr>
        <w:keepNext w:val="0"/>
        <w:numPr>
          <w:ilvl w:val="0"/>
          <w:numId w:val="22"/>
        </w:numPr>
        <w:spacing w:after="80" w:line="300" w:lineRule="auto"/>
        <w:ind w:left="540" w:hanging="271"/>
      </w:pPr>
      <w:r>
        <w:rPr>
          <w:rFonts w:ascii="Calibri" w:hAnsi="Calibri"/>
          <w:color w:val="0B2545"/>
        </w:rPr>
        <w:t>Sign out and close the browser. Lock or sign out of the workstation according to policy.</w:t>
      </w:r>
    </w:p>
    <w:p>
      <w:pPr>
        <w:pStyle w:val="Heading2"/>
        <w:keepNext/>
      </w:pPr>
      <w:r>
        <w:rPr>
          <w:rFonts w:ascii="Calibri" w:hAnsi="Calibri"/>
          <w:b/>
          <w:color w:val="2E74B5"/>
        </w:rPr>
        <w:t>15.2 IT Shutdown</w:t>
      </w:r>
    </w:p>
    <w:p>
      <w:pPr>
        <w:spacing w:before="60" w:after="140" w:line="240" w:lineRule="auto"/>
        <w:ind w:left="360" w:right="360"/>
        <w:shd w:fill="EEF1F4"/>
      </w:pPr>
      <w:r>
        <w:rPr>
          <w:rFonts w:ascii="Courier New" w:hAnsi="Courier New"/>
          <w:color w:val="1F4D78"/>
          <w:sz w:val="18"/>
        </w:rPr>
        <w:t>./stop.sh</w:t>
      </w:r>
    </w:p>
    <w:p>
      <w:pPr>
        <w:keepNext w:val="0"/>
        <w:spacing w:before="0" w:after="120" w:line="300" w:lineRule="auto"/>
      </w:pPr>
      <w:r>
        <w:rPr>
          <w:rFonts w:ascii="Calibri" w:hAnsi="Calibri"/>
          <w:i w:val="0"/>
          <w:color w:val="0B2545"/>
        </w:rPr>
        <w:t>The supported shutdown stops the stack and preserves database volumes. Never add a volume-deletion option to routine shutdown. Do not power off storage during an active backup, migration, or database transaction.</w:t>
      </w:r>
    </w:p>
    <w:p>
      <w:pPr>
        <w:pStyle w:val="Heading1"/>
        <w:keepNext/>
        <w:pageBreakBefore/>
      </w:pPr>
      <w:r>
        <w:rPr>
          <w:rFonts w:ascii="Calibri" w:hAnsi="Calibri"/>
          <w:b/>
          <w:color w:val="2E74B5"/>
        </w:rPr>
        <w:t>16. Downtime, Restart, Restore, and Escalation</w:t>
      </w:r>
    </w:p>
    <w:p>
      <w:pPr>
        <w:pStyle w:val="Heading2"/>
        <w:keepNext/>
      </w:pPr>
      <w:r>
        <w:rPr>
          <w:rFonts w:ascii="Calibri" w:hAnsi="Calibri"/>
          <w:b/>
          <w:color w:val="2E74B5"/>
        </w:rPr>
        <w:t>16.1 If the Product Is Unavailable</w:t>
      </w:r>
    </w:p>
    <w:p>
      <w:pPr>
        <w:keepNext w:val="0"/>
        <w:numPr>
          <w:ilvl w:val="0"/>
          <w:numId w:val="23"/>
        </w:numPr>
        <w:spacing w:after="80" w:line="300" w:lineRule="auto"/>
        <w:ind w:left="540" w:hanging="271"/>
      </w:pPr>
      <w:r>
        <w:rPr>
          <w:rFonts w:ascii="Calibri" w:hAnsi="Calibri"/>
          <w:color w:val="0B2545"/>
        </w:rPr>
        <w:t>Stop booking attempts and capture the exact non-PHI error wording and time.</w:t>
      </w:r>
    </w:p>
    <w:p>
      <w:pPr>
        <w:keepNext w:val="0"/>
        <w:numPr>
          <w:ilvl w:val="0"/>
          <w:numId w:val="23"/>
        </w:numPr>
        <w:spacing w:after="80" w:line="300" w:lineRule="auto"/>
        <w:ind w:left="540" w:hanging="271"/>
      </w:pPr>
      <w:r>
        <w:rPr>
          <w:rFonts w:ascii="Calibri" w:hAnsi="Calibri"/>
          <w:color w:val="0B2545"/>
        </w:rPr>
        <w:t>Do not bypass TLS warnings, disable controls, connect the host to the internet, reinstall dependencies, or edit the database.</w:t>
      </w:r>
    </w:p>
    <w:p>
      <w:pPr>
        <w:keepNext w:val="0"/>
        <w:numPr>
          <w:ilvl w:val="0"/>
          <w:numId w:val="23"/>
        </w:numPr>
        <w:spacing w:after="80" w:line="300" w:lineRule="auto"/>
        <w:ind w:left="540" w:hanging="271"/>
      </w:pPr>
      <w:r>
        <w:rPr>
          <w:rFonts w:ascii="Calibri" w:hAnsi="Calibri"/>
          <w:color w:val="0B2545"/>
        </w:rPr>
        <w:t>Notify IT and use the practice-approved downtime scheduling and emergency procedures.</w:t>
      </w:r>
    </w:p>
    <w:p>
      <w:pPr>
        <w:keepNext w:val="0"/>
        <w:numPr>
          <w:ilvl w:val="0"/>
          <w:numId w:val="23"/>
        </w:numPr>
        <w:spacing w:after="80" w:line="300" w:lineRule="auto"/>
        <w:ind w:left="540" w:hanging="271"/>
      </w:pPr>
      <w:r>
        <w:rPr>
          <w:rFonts w:ascii="Calibri" w:hAnsi="Calibri"/>
          <w:color w:val="0B2545"/>
        </w:rPr>
        <w:t>Protect downtime records as PHI and prevent unsynchronized duplicate bookings.</w:t>
      </w:r>
    </w:p>
    <w:p>
      <w:pPr>
        <w:keepNext w:val="0"/>
        <w:numPr>
          <w:ilvl w:val="0"/>
          <w:numId w:val="23"/>
        </w:numPr>
        <w:spacing w:after="80" w:line="300" w:lineRule="auto"/>
        <w:ind w:left="540" w:hanging="271"/>
      </w:pPr>
      <w:r>
        <w:rPr>
          <w:rFonts w:ascii="Calibri" w:hAnsi="Calibri"/>
          <w:color w:val="0B2545"/>
        </w:rPr>
        <w:t>After recovery, reconcile downtime changes under an authorized procedure before resuming normal scheduling.</w:t>
      </w:r>
    </w:p>
    <w:p>
      <w:pPr>
        <w:pStyle w:val="Heading2"/>
        <w:keepNext/>
      </w:pPr>
      <w:r>
        <w:rPr>
          <w:rFonts w:ascii="Calibri" w:hAnsi="Calibri"/>
          <w:b/>
          <w:color w:val="2E74B5"/>
        </w:rPr>
        <w:t>16.2 After Restart, Upgrade, or Restore</w:t>
      </w:r>
    </w:p>
    <w:p>
      <w:pPr>
        <w:keepNext w:val="0"/>
        <w:numPr>
          <w:ilvl w:val="0"/>
          <w:numId w:val="24"/>
        </w:numPr>
        <w:spacing w:after="80" w:line="300" w:lineRule="auto"/>
        <w:ind w:left="540" w:hanging="271"/>
      </w:pPr>
      <w:r>
        <w:rPr>
          <w:rFonts w:ascii="Calibri" w:hAnsi="Calibri"/>
          <w:color w:val="0B2545"/>
        </w:rPr>
        <w:t>Run ./scripts/healthcheck.sh --wait 30.</w:t>
      </w:r>
    </w:p>
    <w:p>
      <w:pPr>
        <w:keepNext w:val="0"/>
        <w:numPr>
          <w:ilvl w:val="0"/>
          <w:numId w:val="24"/>
        </w:numPr>
        <w:spacing w:after="80" w:line="300" w:lineRule="auto"/>
        <w:ind w:left="540" w:hanging="271"/>
      </w:pPr>
      <w:r>
        <w:rPr>
          <w:rFonts w:ascii="Calibri" w:hAnsi="Calibri"/>
          <w:color w:val="0B2545"/>
        </w:rPr>
        <w:t>Verify practice date, local time, timezone, and certificate trust.</w:t>
      </w:r>
    </w:p>
    <w:p>
      <w:pPr>
        <w:keepNext w:val="0"/>
        <w:numPr>
          <w:ilvl w:val="0"/>
          <w:numId w:val="24"/>
        </w:numPr>
        <w:spacing w:after="80" w:line="300" w:lineRule="auto"/>
        <w:ind w:left="540" w:hanging="271"/>
      </w:pPr>
      <w:r>
        <w:rPr>
          <w:rFonts w:ascii="Calibri" w:hAnsi="Calibri"/>
          <w:color w:val="0B2545"/>
        </w:rPr>
        <w:t>Confirm the current-day calendar and run a non-mutating recommendation search with approved synthetic data.</w:t>
      </w:r>
    </w:p>
    <w:p>
      <w:pPr>
        <w:keepNext w:val="0"/>
        <w:numPr>
          <w:ilvl w:val="0"/>
          <w:numId w:val="24"/>
        </w:numPr>
        <w:spacing w:after="80" w:line="300" w:lineRule="auto"/>
        <w:ind w:left="540" w:hanging="271"/>
      </w:pPr>
      <w:r>
        <w:rPr>
          <w:rFonts w:ascii="Calibri" w:hAnsi="Calibri"/>
          <w:color w:val="0B2545"/>
        </w:rPr>
        <w:t>Review local alerts and confirm Audit is available.</w:t>
      </w:r>
    </w:p>
    <w:p>
      <w:pPr>
        <w:keepNext w:val="0"/>
        <w:numPr>
          <w:ilvl w:val="0"/>
          <w:numId w:val="24"/>
        </w:numPr>
        <w:spacing w:after="80" w:line="300" w:lineRule="auto"/>
        <w:ind w:left="540" w:hanging="271"/>
      </w:pPr>
      <w:r>
        <w:rPr>
          <w:rFonts w:ascii="Calibri" w:hAnsi="Calibri"/>
          <w:color w:val="0B2545"/>
        </w:rPr>
        <w:t>After restore, complete the approved reconciliation and sign-off before normal use.</w:t>
      </w:r>
    </w:p>
    <w:p>
      <w:pPr>
        <w:pStyle w:val="Heading2"/>
        <w:keepNext/>
      </w:pPr>
      <w:r>
        <w:rPr>
          <w:rFonts w:ascii="Calibri" w:hAnsi="Calibri"/>
          <w:b/>
          <w:color w:val="2E74B5"/>
        </w:rPr>
        <w:t>16.3 Escalate Immediately</w:t>
      </w:r>
    </w:p>
    <w:p>
      <w:pPr>
        <w:keepNext w:val="0"/>
        <w:numPr>
          <w:ilvl w:val="0"/>
          <w:numId w:val="10"/>
        </w:numPr>
        <w:spacing w:after="80" w:line="300" w:lineRule="auto"/>
        <w:ind w:left="540" w:hanging="271"/>
      </w:pPr>
      <w:r>
        <w:rPr>
          <w:rFonts w:ascii="Calibri" w:hAnsi="Calibri"/>
          <w:color w:val="0B2545"/>
        </w:rPr>
        <w:t>Health check fails, a service remains unhealthy, or the desktop launcher reports failure.</w:t>
      </w:r>
    </w:p>
    <w:p>
      <w:pPr>
        <w:keepNext w:val="0"/>
        <w:numPr>
          <w:ilvl w:val="0"/>
          <w:numId w:val="10"/>
        </w:numPr>
        <w:spacing w:after="80" w:line="300" w:lineRule="auto"/>
        <w:ind w:left="540" w:hanging="271"/>
      </w:pPr>
      <w:r>
        <w:rPr>
          <w:rFonts w:ascii="Calibri" w:hAnsi="Calibri"/>
          <w:color w:val="0B2545"/>
        </w:rPr>
        <w:t>A production certificate warning appears, the clock/timezone is wrong, or disk/database/backup/audit health is abnormal.</w:t>
      </w:r>
    </w:p>
    <w:p>
      <w:pPr>
        <w:keepNext w:val="0"/>
        <w:numPr>
          <w:ilvl w:val="0"/>
          <w:numId w:val="10"/>
        </w:numPr>
        <w:spacing w:after="80" w:line="300" w:lineRule="auto"/>
        <w:ind w:left="540" w:hanging="271"/>
      </w:pPr>
      <w:r>
        <w:rPr>
          <w:rFonts w:ascii="Calibri" w:hAnsi="Calibri"/>
          <w:color w:val="0B2545"/>
        </w:rPr>
        <w:t>A model-enabled installation cannot access its approved local model. Rules-only installations do not require Ollama.</w:t>
      </w:r>
    </w:p>
    <w:p>
      <w:pPr>
        <w:keepNext w:val="0"/>
        <w:numPr>
          <w:ilvl w:val="0"/>
          <w:numId w:val="10"/>
        </w:numPr>
        <w:spacing w:after="80" w:line="300" w:lineRule="auto"/>
        <w:ind w:left="540" w:hanging="271"/>
      </w:pPr>
      <w:r>
        <w:rPr>
          <w:rFonts w:ascii="Calibri" w:hAnsi="Calibri"/>
          <w:color w:val="0B2545"/>
        </w:rPr>
        <w:t>A recommendation conflicts during confirmation more than once, violates an expected resource rule, or shows an unexplained provider/room/equipment assignment.</w:t>
      </w:r>
    </w:p>
    <w:p>
      <w:pPr>
        <w:keepNext w:val="0"/>
        <w:numPr>
          <w:ilvl w:val="0"/>
          <w:numId w:val="10"/>
        </w:numPr>
        <w:spacing w:after="80" w:line="300" w:lineRule="auto"/>
        <w:ind w:left="540" w:hanging="271"/>
      </w:pPr>
      <w:r>
        <w:rPr>
          <w:rFonts w:ascii="Calibri" w:hAnsi="Calibri"/>
          <w:color w:val="0B2545"/>
        </w:rPr>
        <w:t>An appointment appears to have moved without the protected workflow or an audit event is missing.</w:t>
      </w:r>
    </w:p>
    <w:p>
      <w:pPr>
        <w:keepNext w:val="0"/>
        <w:numPr>
          <w:ilvl w:val="0"/>
          <w:numId w:val="10"/>
        </w:numPr>
        <w:spacing w:after="80" w:line="300" w:lineRule="auto"/>
        <w:ind w:left="540" w:hanging="271"/>
      </w:pPr>
      <w:r>
        <w:rPr>
          <w:rFonts w:ascii="Calibri" w:hAnsi="Calibri"/>
          <w:color w:val="0B2545"/>
        </w:rPr>
        <w:t>Any suspected unauthorized access, disclosure, export, malware, data loss, or backup failure occurs.</w:t>
      </w:r>
    </w:p>
    <w:p>
      <w:pPr>
        <w:keepNext w:val="0"/>
        <w:spacing w:before="0" w:after="120" w:line="300" w:lineRule="auto"/>
      </w:pPr>
      <w:r>
        <w:rPr>
          <w:rFonts w:ascii="Calibri" w:hAnsi="Calibri"/>
          <w:i/>
          <w:color w:val="5B6573"/>
        </w:rPr>
        <w:t>The desktop launcher writes a local .runtime/desktop-launcher.log for IT troubleshooting. Before sharing it inside the approved support process, confirm nobody manually added sensitive information.</w:t>
      </w:r>
    </w:p>
    <w:p>
      <w:pPr>
        <w:pStyle w:val="Heading1"/>
        <w:keepNext/>
      </w:pPr>
      <w:r>
        <w:rPr>
          <w:rFonts w:ascii="Calibri" w:hAnsi="Calibri"/>
          <w:b/>
          <w:color w:val="2E74B5"/>
        </w:rPr>
        <w:t>17. Periodic Control Checklist</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800"/>
        <w:gridCol w:w="7560"/>
      </w:tblGrid>
      <w:tr>
        <w:trPr>
          <w:tblHeader w:val="true"/>
          <w:cantSplit w:val="true"/>
        </w:trPr>
        <w:tc>
          <w:tcPr>
            <w:tcW w:type="dxa" w:w="1800"/>
            <w:shd w:fill="E8EEF5"/>
            <w:tcMar>
              <w:top w:w="80" w:type="dxa"/>
              <w:start w:w="120" w:type="dxa"/>
              <w:bottom w:w="80" w:type="dxa"/>
              <w:end w:w="120" w:type="dxa"/>
            </w:tcMar>
            <w:vAlign w:val="center"/>
          </w:tcPr>
          <w:p>
            <w:pPr>
              <w:spacing w:after="0"/>
              <w:jc w:val="center"/>
            </w:pPr>
            <w:r>
              <w:rPr>
                <w:rFonts w:ascii="Calibri" w:hAnsi="Calibri"/>
                <w:b/>
                <w:color w:val="0B2545"/>
                <w:sz w:val="17"/>
              </w:rPr>
              <w:t>Cadence</w:t>
            </w:r>
          </w:p>
        </w:tc>
        <w:tc>
          <w:tcPr>
            <w:tcW w:type="dxa" w:w="7560"/>
            <w:shd w:fill="E8EEF5"/>
            <w:tcMar>
              <w:top w:w="80" w:type="dxa"/>
              <w:start w:w="120" w:type="dxa"/>
              <w:bottom w:w="80" w:type="dxa"/>
              <w:end w:w="120" w:type="dxa"/>
            </w:tcMar>
            <w:vAlign w:val="center"/>
          </w:tcPr>
          <w:p>
            <w:pPr>
              <w:spacing w:after="0"/>
              <w:jc w:val="center"/>
            </w:pPr>
            <w:r>
              <w:rPr>
                <w:rFonts w:ascii="Calibri" w:hAnsi="Calibri"/>
                <w:b/>
                <w:color w:val="0B2545"/>
                <w:sz w:val="17"/>
              </w:rPr>
              <w:t>Control</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Daily</w:t>
            </w:r>
          </w:p>
        </w:tc>
        <w:tc>
          <w:tcPr>
            <w:tcW w:type="dxa" w:w="7560"/>
            <w:tcMar>
              <w:top w:w="80" w:type="dxa"/>
              <w:start w:w="120" w:type="dxa"/>
              <w:bottom w:w="80" w:type="dxa"/>
              <w:end w:w="120" w:type="dxa"/>
            </w:tcMar>
            <w:vAlign w:val="center"/>
          </w:tcPr>
          <w:p>
            <w:pPr>
              <w:spacing w:after="0" w:line="259" w:lineRule="auto"/>
            </w:pPr>
            <w:r>
              <w:rPr>
                <w:rFonts w:ascii="Calibri" w:hAnsi="Calibri"/>
                <w:color w:val="0B2545"/>
                <w:sz w:val="16"/>
              </w:rPr>
              <w:t>Health and alerts; schedule exceptions; protected changes; backup job status; unresolved downtime reconciliation</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Weekly during pilot</w:t>
            </w:r>
          </w:p>
        </w:tc>
        <w:tc>
          <w:tcPr>
            <w:tcW w:type="dxa" w:w="7560"/>
            <w:tcMar>
              <w:top w:w="80" w:type="dxa"/>
              <w:start w:w="120" w:type="dxa"/>
              <w:bottom w:w="80" w:type="dxa"/>
              <w:end w:w="120" w:type="dxa"/>
            </w:tcMar>
            <w:vAlign w:val="center"/>
          </w:tcPr>
          <w:p>
            <w:pPr>
              <w:spacing w:after="0" w:line="259" w:lineRule="auto"/>
            </w:pPr>
            <w:r>
              <w:rPr>
                <w:rFonts w:ascii="Calibri" w:hAnsi="Calibri"/>
                <w:color w:val="0B2545"/>
                <w:sz w:val="16"/>
              </w:rPr>
              <w:t>Recommendation acceptance; handling time; feasible-search rate; waitlist recovery; latency; adoption; rule/manual-review or optional-model fallback trends</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Monthly</w:t>
            </w:r>
          </w:p>
        </w:tc>
        <w:tc>
          <w:tcPr>
            <w:tcW w:type="dxa" w:w="7560"/>
            <w:tcMar>
              <w:top w:w="80" w:type="dxa"/>
              <w:start w:w="120" w:type="dxa"/>
              <w:bottom w:w="80" w:type="dxa"/>
              <w:end w:w="120" w:type="dxa"/>
            </w:tcMar>
            <w:vAlign w:val="center"/>
          </w:tcPr>
          <w:p>
            <w:pPr>
              <w:spacing w:after="0" w:line="259" w:lineRule="auto"/>
            </w:pPr>
            <w:r>
              <w:rPr>
                <w:rFonts w:ascii="Calibri" w:hAnsi="Calibri"/>
                <w:color w:val="0B2545"/>
                <w:sz w:val="16"/>
              </w:rPr>
              <w:t>Unique accounts and roles; audit exceptions; access changes; configuration approvals; certificate/disk/storage capacity; safety/privacy metrics</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Quarterly or approved cadence</w:t>
            </w:r>
          </w:p>
        </w:tc>
        <w:tc>
          <w:tcPr>
            <w:tcW w:type="dxa" w:w="7560"/>
            <w:tcMar>
              <w:top w:w="80" w:type="dxa"/>
              <w:start w:w="120" w:type="dxa"/>
              <w:bottom w:w="80" w:type="dxa"/>
              <w:end w:w="120" w:type="dxa"/>
            </w:tcMar>
            <w:vAlign w:val="center"/>
          </w:tcPr>
          <w:p>
            <w:pPr>
              <w:spacing w:after="0" w:line="259" w:lineRule="auto"/>
            </w:pPr>
            <w:r>
              <w:rPr>
                <w:rFonts w:ascii="Calibri" w:hAnsi="Calibri"/>
                <w:color w:val="0B2545"/>
                <w:sz w:val="16"/>
              </w:rPr>
              <w:t>Encrypted restoration exercise; incident/downtime exercise; vulnerability and patch review; optional-model validation if enabled; risk review</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Before each release</w:t>
            </w:r>
          </w:p>
        </w:tc>
        <w:tc>
          <w:tcPr>
            <w:tcW w:type="dxa" w:w="7560"/>
            <w:tcMar>
              <w:top w:w="80" w:type="dxa"/>
              <w:start w:w="120" w:type="dxa"/>
              <w:bottom w:w="80" w:type="dxa"/>
              <w:end w:w="120" w:type="dxa"/>
            </w:tcMar>
            <w:vAlign w:val="center"/>
          </w:tcPr>
          <w:p>
            <w:pPr>
              <w:spacing w:after="0" w:line="259" w:lineRule="auto"/>
            </w:pPr>
            <w:r>
              <w:rPr>
                <w:rFonts w:ascii="Calibri" w:hAnsi="Calibri"/>
                <w:color w:val="0B2545"/>
                <w:sz w:val="16"/>
              </w:rPr>
              <w:t>Offline artifact hashes/signatures, SBOM/licenses, migration/rollback, no-egress test, target-host performance, browser/accessibility acceptance, backup/restore evidence, owner sign-off</w:t>
            </w:r>
          </w:p>
        </w:tc>
      </w:tr>
    </w:tbl>
    <w:p>
      <w:pPr>
        <w:spacing w:after="80"/>
      </w:pPr>
    </w:p>
    <w:p>
      <w:pPr>
        <w:spacing w:after="5000"/>
      </w:pPr>
    </w:p>
    <w:p>
      <w:pPr>
        <w:pStyle w:val="Heading1"/>
        <w:keepNext/>
        <w:pageBreakBefore/>
      </w:pPr>
      <w:r>
        <w:rPr>
          <w:rFonts w:ascii="Calibri" w:hAnsi="Calibri"/>
          <w:b/>
          <w:color w:val="2E74B5"/>
        </w:rPr>
        <w:t>Appendix A. Operator Quick Reference</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1800"/>
        <w:gridCol w:w="4200"/>
        <w:gridCol w:w="3360"/>
      </w:tblGrid>
      <w:tr>
        <w:trPr>
          <w:tblHeader w:val="true"/>
          <w:cantSplit w:val="true"/>
        </w:trPr>
        <w:tc>
          <w:tcPr>
            <w:tcW w:type="dxa" w:w="1800"/>
            <w:shd w:fill="E8EEF5"/>
            <w:tcMar>
              <w:top w:w="80" w:type="dxa"/>
              <w:start w:w="120" w:type="dxa"/>
              <w:bottom w:w="80" w:type="dxa"/>
              <w:end w:w="120" w:type="dxa"/>
            </w:tcMar>
            <w:vAlign w:val="center"/>
          </w:tcPr>
          <w:p>
            <w:pPr>
              <w:spacing w:after="0"/>
              <w:jc w:val="center"/>
            </w:pPr>
            <w:r>
              <w:rPr>
                <w:rFonts w:ascii="Calibri" w:hAnsi="Calibri"/>
                <w:b/>
                <w:color w:val="0B2545"/>
                <w:sz w:val="17"/>
              </w:rPr>
              <w:t>Situation</w:t>
            </w:r>
          </w:p>
        </w:tc>
        <w:tc>
          <w:tcPr>
            <w:tcW w:type="dxa" w:w="4200"/>
            <w:shd w:fill="E8EEF5"/>
            <w:tcMar>
              <w:top w:w="80" w:type="dxa"/>
              <w:start w:w="120" w:type="dxa"/>
              <w:bottom w:w="80" w:type="dxa"/>
              <w:end w:w="120" w:type="dxa"/>
            </w:tcMar>
            <w:vAlign w:val="center"/>
          </w:tcPr>
          <w:p>
            <w:pPr>
              <w:spacing w:after="0"/>
              <w:jc w:val="center"/>
            </w:pPr>
            <w:r>
              <w:rPr>
                <w:rFonts w:ascii="Calibri" w:hAnsi="Calibri"/>
                <w:b/>
                <w:color w:val="0B2545"/>
                <w:sz w:val="17"/>
              </w:rPr>
              <w:t>Approved action</w:t>
            </w:r>
          </w:p>
        </w:tc>
        <w:tc>
          <w:tcPr>
            <w:tcW w:type="dxa" w:w="3360"/>
            <w:shd w:fill="E8EEF5"/>
            <w:tcMar>
              <w:top w:w="80" w:type="dxa"/>
              <w:start w:w="120" w:type="dxa"/>
              <w:bottom w:w="80" w:type="dxa"/>
              <w:end w:w="120" w:type="dxa"/>
            </w:tcMar>
            <w:vAlign w:val="center"/>
          </w:tcPr>
          <w:p>
            <w:pPr>
              <w:spacing w:after="0"/>
              <w:jc w:val="center"/>
            </w:pPr>
            <w:r>
              <w:rPr>
                <w:rFonts w:ascii="Calibri" w:hAnsi="Calibri"/>
                <w:b/>
                <w:color w:val="0B2545"/>
                <w:sz w:val="17"/>
              </w:rPr>
              <w:t>Do not</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Schedule request</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Enter minimum data; review tags and feasible candidates; confirm one option</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Choose a different procedure or complexity to get an earlier slot</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No opening</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Verify inputs; widen optional window with consent; use waitlist; escalate capacity</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Weaken a hard constraint or double-book</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Move confirmed visit</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Preview, choose exact replacement, document reason, authorize, verify</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Direct edit, database update, or informal swap</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Cancellation/no-show</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Record supported outcome and disposition; review waitlist match</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Delete the appointment or leave status unchanged</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Walk-in</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Use Schedule walk-in and confirm a feasible same-day resource plan</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Force a slot when none is feasible</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Configuration issue</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Escalate; obtain owner approval; test; record change</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Modify policy only to clear an error</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Outage</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Stop attempts; notify IT; use approved downtime process; reconcile</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Bypass TLS, connect to internet, reinstall, or edit data</w:t>
            </w:r>
          </w:p>
        </w:tc>
      </w:tr>
      <w:tr>
        <w:trPr>
          <w:cantSplit w:val="true"/>
        </w:trPr>
        <w:tc>
          <w:tcPr>
            <w:tcW w:type="dxa" w:w="1800"/>
            <w:tcMar>
              <w:top w:w="80" w:type="dxa"/>
              <w:start w:w="120" w:type="dxa"/>
              <w:bottom w:w="80" w:type="dxa"/>
              <w:end w:w="120" w:type="dxa"/>
            </w:tcMar>
            <w:vAlign w:val="center"/>
          </w:tcPr>
          <w:p>
            <w:pPr>
              <w:spacing w:after="0" w:line="259" w:lineRule="auto"/>
            </w:pPr>
            <w:r>
              <w:rPr>
                <w:rFonts w:ascii="Calibri" w:hAnsi="Calibri"/>
                <w:color w:val="0B2545"/>
                <w:sz w:val="16"/>
              </w:rPr>
              <w:t>Suspected privacy/security incident</w:t>
            </w:r>
          </w:p>
        </w:tc>
        <w:tc>
          <w:tcPr>
            <w:tcW w:type="dxa" w:w="4200"/>
            <w:tcMar>
              <w:top w:w="80" w:type="dxa"/>
              <w:start w:w="120" w:type="dxa"/>
              <w:bottom w:w="80" w:type="dxa"/>
              <w:end w:w="120" w:type="dxa"/>
            </w:tcMar>
            <w:vAlign w:val="center"/>
          </w:tcPr>
          <w:p>
            <w:pPr>
              <w:spacing w:after="0" w:line="259" w:lineRule="auto"/>
            </w:pPr>
            <w:r>
              <w:rPr>
                <w:rFonts w:ascii="Calibri" w:hAnsi="Calibri"/>
                <w:color w:val="0B2545"/>
                <w:sz w:val="16"/>
              </w:rPr>
              <w:t>Preserve evidence and report immediately through approved process</w:t>
            </w:r>
          </w:p>
        </w:tc>
        <w:tc>
          <w:tcPr>
            <w:tcW w:type="dxa" w:w="3360"/>
            <w:tcMar>
              <w:top w:w="80" w:type="dxa"/>
              <w:start w:w="120" w:type="dxa"/>
              <w:bottom w:w="80" w:type="dxa"/>
              <w:end w:w="120" w:type="dxa"/>
            </w:tcMar>
            <w:vAlign w:val="center"/>
          </w:tcPr>
          <w:p>
            <w:pPr>
              <w:spacing w:after="0" w:line="259" w:lineRule="auto"/>
            </w:pPr>
            <w:r>
              <w:rPr>
                <w:rFonts w:ascii="Calibri" w:hAnsi="Calibri"/>
                <w:color w:val="0B2545"/>
                <w:sz w:val="16"/>
              </w:rPr>
              <w:t>Send PHI in email, chat, screenshots, or external tickets</w:t>
            </w:r>
          </w:p>
        </w:tc>
      </w:tr>
    </w:tbl>
    <w:p>
      <w:pPr>
        <w:spacing w:after="80"/>
      </w:pPr>
    </w:p>
    <w:p>
      <w:pPr>
        <w:pStyle w:val="Heading1"/>
        <w:keepNext/>
        <w:pageBreakBefore/>
      </w:pPr>
      <w:r>
        <w:rPr>
          <w:rFonts w:ascii="Calibri" w:hAnsi="Calibri"/>
          <w:b/>
          <w:color w:val="2E74B5"/>
        </w:rPr>
        <w:t>Appendix B. Local Approval Record</w:t>
      </w:r>
    </w:p>
    <w:p>
      <w:pPr>
        <w:keepNext w:val="0"/>
        <w:spacing w:before="0" w:after="120" w:line="300" w:lineRule="auto"/>
      </w:pPr>
      <w:r>
        <w:rPr>
          <w:rFonts w:ascii="Calibri" w:hAnsi="Calibri"/>
          <w:i w:val="0"/>
          <w:color w:val="0B2545"/>
        </w:rPr>
        <w:t>Complete this section in the practice-controlled document-management process before production use. Do not place handwritten credentials or patient information in this record.</w:t>
      </w:r>
    </w:p>
    <w:tbl>
      <w:tblPr>
        <w:tblW w:type="dxa" w:w="9360"/>
        <w:jc w:val="left"/>
        <w:tblLayout w:type="fixed"/>
        <w:tblLook w:firstColumn="1" w:firstRow="1" w:lastColumn="0" w:lastRow="0" w:noHBand="0" w:noVBand="1" w:val="04A0"/>
        <w:tblInd w:w="120" w:type="dxa"/>
        <w:tblBorders>
          <w:top w:val="single" w:sz="4" w:space="0" w:color="C9D1DA"/>
          <w:left w:val="single" w:sz="4" w:space="0" w:color="C9D1DA"/>
          <w:bottom w:val="single" w:sz="4" w:space="0" w:color="C9D1DA"/>
          <w:right w:val="single" w:sz="4" w:space="0" w:color="C9D1DA"/>
          <w:insideH w:val="single" w:sz="4" w:space="0" w:color="C9D1DA"/>
          <w:insideV w:val="single" w:sz="4" w:space="0" w:color="C9D1DA"/>
        </w:tblBorders>
      </w:tblPr>
      <w:tblGrid>
        <w:gridCol w:w="3900"/>
        <w:gridCol w:w="5460"/>
      </w:tblGrid>
      <w:tr>
        <w:trPr>
          <w:tblHeader w:val="true"/>
          <w:cantSplit w:val="true"/>
        </w:trPr>
        <w:tc>
          <w:tcPr>
            <w:tcW w:type="dxa" w:w="3900"/>
            <w:shd w:fill="E8EEF5"/>
            <w:tcMar>
              <w:top w:w="80" w:type="dxa"/>
              <w:start w:w="120" w:type="dxa"/>
              <w:bottom w:w="80" w:type="dxa"/>
              <w:end w:w="120" w:type="dxa"/>
            </w:tcMar>
            <w:vAlign w:val="center"/>
          </w:tcPr>
          <w:p>
            <w:pPr>
              <w:spacing w:after="0"/>
              <w:jc w:val="center"/>
            </w:pPr>
            <w:r>
              <w:rPr>
                <w:rFonts w:ascii="Calibri" w:hAnsi="Calibri"/>
                <w:b/>
                <w:color w:val="0B2545"/>
                <w:sz w:val="18"/>
              </w:rPr>
              <w:t>Approval area</w:t>
            </w:r>
          </w:p>
        </w:tc>
        <w:tc>
          <w:tcPr>
            <w:tcW w:type="dxa" w:w="5460"/>
            <w:shd w:fill="E8EEF5"/>
            <w:tcMar>
              <w:top w:w="80" w:type="dxa"/>
              <w:start w:w="120" w:type="dxa"/>
              <w:bottom w:w="80" w:type="dxa"/>
              <w:end w:w="120" w:type="dxa"/>
            </w:tcMar>
            <w:vAlign w:val="center"/>
          </w:tcPr>
          <w:p>
            <w:pPr>
              <w:spacing w:after="0"/>
              <w:jc w:val="center"/>
            </w:pPr>
            <w:r>
              <w:rPr>
                <w:rFonts w:ascii="Calibri" w:hAnsi="Calibri"/>
                <w:b/>
                <w:color w:val="0B2545"/>
                <w:sz w:val="18"/>
              </w:rPr>
              <w:t>Owner / date / evidence reference</w:t>
            </w:r>
          </w:p>
        </w:tc>
      </w:tr>
      <w:tr>
        <w:trPr>
          <w:cantSplit w:val="true"/>
        </w:trPr>
        <w:tc>
          <w:tcPr>
            <w:tcW w:type="dxa" w:w="3900"/>
            <w:tcMar>
              <w:top w:w="80" w:type="dxa"/>
              <w:start w:w="120" w:type="dxa"/>
              <w:bottom w:w="80" w:type="dxa"/>
              <w:end w:w="120" w:type="dxa"/>
            </w:tcMar>
            <w:vAlign w:val="center"/>
          </w:tcPr>
          <w:p>
            <w:pPr>
              <w:spacing w:after="0" w:line="259" w:lineRule="auto"/>
            </w:pPr>
            <w:r>
              <w:rPr>
                <w:rFonts w:ascii="Calibri" w:hAnsi="Calibri"/>
                <w:color w:val="0B2545"/>
                <w:sz w:val="18"/>
              </w:rPr>
              <w:t>Clinical procedure, duration, complexity, urgency, and phase policy</w:t>
            </w:r>
          </w:p>
        </w:tc>
        <w:tc>
          <w:tcPr>
            <w:tcW w:type="dxa" w:w="5460"/>
            <w:tcMar>
              <w:top w:w="80" w:type="dxa"/>
              <w:start w:w="120" w:type="dxa"/>
              <w:bottom w:w="80" w:type="dxa"/>
              <w:end w:w="120" w:type="dxa"/>
            </w:tcMar>
            <w:vAlign w:val="center"/>
          </w:tcPr>
          <w:p>
            <w:pPr>
              <w:spacing w:after="0" w:line="259" w:lineRule="auto"/>
            </w:pPr>
            <w:r>
              <w:rPr>
                <w:rFonts w:ascii="Calibri" w:hAnsi="Calibri"/>
                <w:color w:val="0B2545"/>
                <w:sz w:val="18"/>
              </w:rPr>
              <w:t>Owner: ____________________</w:t>
              <w:br/>
              <w:t>Date: _____________________</w:t>
              <w:br/>
              <w:t>Evidence: _________________</w:t>
            </w:r>
          </w:p>
        </w:tc>
      </w:tr>
      <w:tr>
        <w:trPr>
          <w:cantSplit w:val="true"/>
        </w:trPr>
        <w:tc>
          <w:tcPr>
            <w:tcW w:type="dxa" w:w="3900"/>
            <w:tcMar>
              <w:top w:w="80" w:type="dxa"/>
              <w:start w:w="120" w:type="dxa"/>
              <w:bottom w:w="80" w:type="dxa"/>
              <w:end w:w="120" w:type="dxa"/>
            </w:tcMar>
            <w:vAlign w:val="center"/>
          </w:tcPr>
          <w:p>
            <w:pPr>
              <w:spacing w:after="0" w:line="259" w:lineRule="auto"/>
            </w:pPr>
            <w:r>
              <w:rPr>
                <w:rFonts w:ascii="Calibri" w:hAnsi="Calibri"/>
                <w:color w:val="0B2545"/>
                <w:sz w:val="18"/>
              </w:rPr>
              <w:t>Operations hours, workforce, rooms, equipment, closures, waitlist, and rescheduling policy</w:t>
            </w:r>
          </w:p>
        </w:tc>
        <w:tc>
          <w:tcPr>
            <w:tcW w:type="dxa" w:w="5460"/>
            <w:tcMar>
              <w:top w:w="80" w:type="dxa"/>
              <w:start w:w="120" w:type="dxa"/>
              <w:bottom w:w="80" w:type="dxa"/>
              <w:end w:w="120" w:type="dxa"/>
            </w:tcMar>
            <w:vAlign w:val="center"/>
          </w:tcPr>
          <w:p>
            <w:pPr>
              <w:spacing w:after="0" w:line="259" w:lineRule="auto"/>
            </w:pPr>
            <w:r>
              <w:rPr>
                <w:rFonts w:ascii="Calibri" w:hAnsi="Calibri"/>
                <w:color w:val="0B2545"/>
                <w:sz w:val="18"/>
              </w:rPr>
              <w:t>Owner: ____________________</w:t>
              <w:br/>
              <w:t>Date: _____________________</w:t>
              <w:br/>
              <w:t>Evidence: _________________</w:t>
            </w:r>
          </w:p>
        </w:tc>
      </w:tr>
      <w:tr>
        <w:trPr>
          <w:cantSplit w:val="true"/>
        </w:trPr>
        <w:tc>
          <w:tcPr>
            <w:tcW w:type="dxa" w:w="3900"/>
            <w:tcMar>
              <w:top w:w="80" w:type="dxa"/>
              <w:start w:w="120" w:type="dxa"/>
              <w:bottom w:w="80" w:type="dxa"/>
              <w:end w:w="120" w:type="dxa"/>
            </w:tcMar>
            <w:vAlign w:val="center"/>
          </w:tcPr>
          <w:p>
            <w:pPr>
              <w:spacing w:after="0" w:line="259" w:lineRule="auto"/>
            </w:pPr>
            <w:r>
              <w:rPr>
                <w:rFonts w:ascii="Calibri" w:hAnsi="Calibri"/>
                <w:color w:val="0B2545"/>
                <w:sz w:val="18"/>
              </w:rPr>
              <w:t>Privacy/security risk analysis, access governance, training, retention, and incident process</w:t>
            </w:r>
          </w:p>
        </w:tc>
        <w:tc>
          <w:tcPr>
            <w:tcW w:type="dxa" w:w="5460"/>
            <w:tcMar>
              <w:top w:w="80" w:type="dxa"/>
              <w:start w:w="120" w:type="dxa"/>
              <w:bottom w:w="80" w:type="dxa"/>
              <w:end w:w="120" w:type="dxa"/>
            </w:tcMar>
            <w:vAlign w:val="center"/>
          </w:tcPr>
          <w:p>
            <w:pPr>
              <w:spacing w:after="0" w:line="259" w:lineRule="auto"/>
            </w:pPr>
            <w:r>
              <w:rPr>
                <w:rFonts w:ascii="Calibri" w:hAnsi="Calibri"/>
                <w:color w:val="0B2545"/>
                <w:sz w:val="18"/>
              </w:rPr>
              <w:t>Owner: ____________________</w:t>
              <w:br/>
              <w:t>Date: _____________________</w:t>
              <w:br/>
              <w:t>Evidence: _________________</w:t>
            </w:r>
          </w:p>
        </w:tc>
      </w:tr>
      <w:tr>
        <w:trPr>
          <w:cantSplit w:val="true"/>
        </w:trPr>
        <w:tc>
          <w:tcPr>
            <w:tcW w:type="dxa" w:w="3900"/>
            <w:tcMar>
              <w:top w:w="80" w:type="dxa"/>
              <w:start w:w="120" w:type="dxa"/>
              <w:bottom w:w="80" w:type="dxa"/>
              <w:end w:w="120" w:type="dxa"/>
            </w:tcMar>
            <w:vAlign w:val="center"/>
          </w:tcPr>
          <w:p>
            <w:pPr>
              <w:spacing w:after="0" w:line="259" w:lineRule="auto"/>
            </w:pPr>
            <w:r>
              <w:rPr>
                <w:rFonts w:ascii="Calibri" w:hAnsi="Calibri"/>
                <w:color w:val="0B2545"/>
                <w:sz w:val="18"/>
              </w:rPr>
              <w:t>IT hosting, TLS, encryption, egress denial, monitoring, backup, restore, and downtime</w:t>
            </w:r>
          </w:p>
        </w:tc>
        <w:tc>
          <w:tcPr>
            <w:tcW w:type="dxa" w:w="5460"/>
            <w:tcMar>
              <w:top w:w="80" w:type="dxa"/>
              <w:start w:w="120" w:type="dxa"/>
              <w:bottom w:w="80" w:type="dxa"/>
              <w:end w:w="120" w:type="dxa"/>
            </w:tcMar>
            <w:vAlign w:val="center"/>
          </w:tcPr>
          <w:p>
            <w:pPr>
              <w:spacing w:after="0" w:line="259" w:lineRule="auto"/>
            </w:pPr>
            <w:r>
              <w:rPr>
                <w:rFonts w:ascii="Calibri" w:hAnsi="Calibri"/>
                <w:color w:val="0B2545"/>
                <w:sz w:val="18"/>
              </w:rPr>
              <w:t>Owner: ____________________</w:t>
              <w:br/>
              <w:t>Date: _____________________</w:t>
              <w:br/>
              <w:t>Evidence: _________________</w:t>
            </w:r>
          </w:p>
        </w:tc>
      </w:tr>
      <w:tr>
        <w:trPr>
          <w:cantSplit w:val="true"/>
        </w:trPr>
        <w:tc>
          <w:tcPr>
            <w:tcW w:type="dxa" w:w="3900"/>
            <w:tcMar>
              <w:top w:w="80" w:type="dxa"/>
              <w:start w:w="120" w:type="dxa"/>
              <w:bottom w:w="80" w:type="dxa"/>
              <w:end w:w="120" w:type="dxa"/>
            </w:tcMar>
            <w:vAlign w:val="center"/>
          </w:tcPr>
          <w:p>
            <w:pPr>
              <w:spacing w:after="0" w:line="259" w:lineRule="auto"/>
            </w:pPr>
            <w:r>
              <w:rPr>
                <w:rFonts w:ascii="Calibri" w:hAnsi="Calibri"/>
                <w:color w:val="0B2545"/>
                <w:sz w:val="18"/>
              </w:rPr>
              <w:t>Rules-only profile or optional local-AI acceptance</w:t>
            </w:r>
          </w:p>
        </w:tc>
        <w:tc>
          <w:tcPr>
            <w:tcW w:type="dxa" w:w="5460"/>
            <w:tcMar>
              <w:top w:w="80" w:type="dxa"/>
              <w:start w:w="120" w:type="dxa"/>
              <w:bottom w:w="80" w:type="dxa"/>
              <w:end w:w="120" w:type="dxa"/>
            </w:tcMar>
            <w:vAlign w:val="center"/>
          </w:tcPr>
          <w:p>
            <w:pPr>
              <w:spacing w:after="0" w:line="259" w:lineRule="auto"/>
            </w:pPr>
            <w:r>
              <w:rPr>
                <w:rFonts w:ascii="Calibri" w:hAnsi="Calibri"/>
                <w:color w:val="0B2545"/>
                <w:sz w:val="18"/>
              </w:rPr>
              <w:t>Owner: ____________________</w:t>
              <w:br/>
              <w:t>Date: _____________________</w:t>
              <w:br/>
              <w:t>Evidence: _________________</w:t>
            </w:r>
          </w:p>
        </w:tc>
      </w:tr>
      <w:tr>
        <w:trPr>
          <w:cantSplit w:val="true"/>
        </w:trPr>
        <w:tc>
          <w:tcPr>
            <w:tcW w:type="dxa" w:w="3900"/>
            <w:tcMar>
              <w:top w:w="80" w:type="dxa"/>
              <w:start w:w="120" w:type="dxa"/>
              <w:bottom w:w="80" w:type="dxa"/>
              <w:end w:w="120" w:type="dxa"/>
            </w:tcMar>
            <w:vAlign w:val="center"/>
          </w:tcPr>
          <w:p>
            <w:pPr>
              <w:spacing w:after="0" w:line="259" w:lineRule="auto"/>
            </w:pPr>
            <w:r>
              <w:rPr>
                <w:rFonts w:ascii="Calibri" w:hAnsi="Calibri"/>
                <w:color w:val="0B2545"/>
                <w:sz w:val="18"/>
              </w:rPr>
              <w:t>Browser, workstation, accessibility, performance, simulation, and user acceptance</w:t>
            </w:r>
          </w:p>
        </w:tc>
        <w:tc>
          <w:tcPr>
            <w:tcW w:type="dxa" w:w="5460"/>
            <w:tcMar>
              <w:top w:w="80" w:type="dxa"/>
              <w:start w:w="120" w:type="dxa"/>
              <w:bottom w:w="80" w:type="dxa"/>
              <w:end w:w="120" w:type="dxa"/>
            </w:tcMar>
            <w:vAlign w:val="center"/>
          </w:tcPr>
          <w:p>
            <w:pPr>
              <w:spacing w:after="0" w:line="259" w:lineRule="auto"/>
            </w:pPr>
            <w:r>
              <w:rPr>
                <w:rFonts w:ascii="Calibri" w:hAnsi="Calibri"/>
                <w:color w:val="0B2545"/>
                <w:sz w:val="18"/>
              </w:rPr>
              <w:t>Owner: ____________________</w:t>
              <w:br/>
              <w:t>Date: _____________________</w:t>
              <w:br/>
              <w:t>Evidence: _________________</w:t>
            </w:r>
          </w:p>
        </w:tc>
      </w:tr>
      <w:tr>
        <w:trPr>
          <w:cantSplit w:val="true"/>
        </w:trPr>
        <w:tc>
          <w:tcPr>
            <w:tcW w:type="dxa" w:w="3900"/>
            <w:tcMar>
              <w:top w:w="80" w:type="dxa"/>
              <w:start w:w="120" w:type="dxa"/>
              <w:bottom w:w="80" w:type="dxa"/>
              <w:end w:w="120" w:type="dxa"/>
            </w:tcMar>
            <w:vAlign w:val="center"/>
          </w:tcPr>
          <w:p>
            <w:pPr>
              <w:spacing w:after="0" w:line="259" w:lineRule="auto"/>
            </w:pPr>
            <w:r>
              <w:rPr>
                <w:rFonts w:ascii="Calibri" w:hAnsi="Calibri"/>
                <w:color w:val="0B2545"/>
                <w:sz w:val="18"/>
              </w:rPr>
              <w:t>Final production authorization</w:t>
            </w:r>
          </w:p>
        </w:tc>
        <w:tc>
          <w:tcPr>
            <w:tcW w:type="dxa" w:w="5460"/>
            <w:tcMar>
              <w:top w:w="80" w:type="dxa"/>
              <w:start w:w="120" w:type="dxa"/>
              <w:bottom w:w="80" w:type="dxa"/>
              <w:end w:w="120" w:type="dxa"/>
            </w:tcMar>
            <w:vAlign w:val="center"/>
          </w:tcPr>
          <w:p>
            <w:pPr>
              <w:spacing w:after="0" w:line="259" w:lineRule="auto"/>
            </w:pPr>
            <w:r>
              <w:rPr>
                <w:rFonts w:ascii="Calibri" w:hAnsi="Calibri"/>
                <w:color w:val="0B2545"/>
                <w:sz w:val="18"/>
              </w:rPr>
              <w:t>Owner: ____________________</w:t>
              <w:br/>
              <w:t>Date: _____________________</w:t>
              <w:br/>
              <w:t>Evidence: _________________</w:t>
            </w:r>
          </w:p>
        </w:tc>
      </w:tr>
    </w:tbl>
    <w:p>
      <w:pPr>
        <w:spacing w:after="80"/>
      </w:pPr>
    </w:p>
    <w:p>
      <w:pPr>
        <w:keepNext w:val="0"/>
        <w:spacing w:before="0" w:after="0" w:line="300" w:lineRule="auto"/>
      </w:pPr>
      <w:r>
        <w:rPr>
          <w:rFonts w:ascii="Calibri" w:hAnsi="Calibri"/>
          <w:i/>
          <w:color w:val="5B6573"/>
        </w:rPr>
        <w:t>End of standard operating procedure.</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7"/>
      </w:rPr>
      <w:t xml:space="preserve">Controlled operating reference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DENTAL SCHEDULER  |  OPERATOR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89"/>
    <w:multiLevelType w:val="singleLevel"/>
    <w:tmpl w:val="29761A62"/>
    <w:lvl w:ilvl="0">
      <w:start w:val="1"/>
      <w:numFmt w:val="bullet"/>
      <w:lvlText w:val="•"/>
      <w:lvlJc w:val="left"/>
      <w:pPr>
        <w:tabs>
          <w:tab w:val="num" w:pos="540"/>
        </w:tabs>
        <w:ind w:left="540" w:hanging="270"/>
      </w:pPr>
      <w:rPr>
        <w:rFonts w:ascii="Symbol" w:hAnsi="Symbol" w:hint="default"/>
      </w:rPr>
    </w:lvl>
  </w:abstractNum>
  <w:abstractNum w:abstractNumId="10">
    <w:nsid w:val="FFFFFF88"/>
    <w:multiLevelType w:val="singleLevel"/>
    <w:tmpl w:val="D0A62B40"/>
    <w:lvl w:ilvl="0">
      <w:start w:val="1"/>
      <w:numFmt w:val="decimal"/>
      <w:lvlText w:val="%1."/>
      <w:lvlJc w:val="left"/>
      <w:pPr>
        <w:tabs>
          <w:tab w:val="num" w:pos="540"/>
        </w:tabs>
        <w:ind w:left="540" w:hanging="270"/>
      </w:pPr>
    </w:lvl>
  </w:abstractNum>
  <w:abstractNum w:abstractNumId="11">
    <w:nsid w:val="FFFFFF88"/>
    <w:multiLevelType w:val="singleLevel"/>
    <w:tmpl w:val="D0A62B40"/>
    <w:lvl w:ilvl="0">
      <w:start w:val="1"/>
      <w:numFmt w:val="decimal"/>
      <w:lvlText w:val="%1."/>
      <w:lvlJc w:val="left"/>
      <w:pPr>
        <w:tabs>
          <w:tab w:val="num" w:pos="540"/>
        </w:tabs>
        <w:ind w:left="540" w:hanging="270"/>
      </w:pPr>
    </w:lvl>
  </w:abstractNum>
  <w:abstractNum w:abstractNumId="12">
    <w:nsid w:val="FFFFFF88"/>
    <w:multiLevelType w:val="singleLevel"/>
    <w:tmpl w:val="D0A62B40"/>
    <w:lvl w:ilvl="0">
      <w:start w:val="1"/>
      <w:numFmt w:val="decimal"/>
      <w:lvlText w:val="%1."/>
      <w:lvlJc w:val="left"/>
      <w:pPr>
        <w:tabs>
          <w:tab w:val="num" w:pos="540"/>
        </w:tabs>
        <w:ind w:left="540" w:hanging="270"/>
      </w:pPr>
    </w:lvl>
  </w:abstractNum>
  <w:abstractNum w:abstractNumId="13">
    <w:nsid w:val="FFFFFF88"/>
    <w:multiLevelType w:val="singleLevel"/>
    <w:tmpl w:val="D0A62B40"/>
    <w:lvl w:ilvl="0">
      <w:start w:val="1"/>
      <w:numFmt w:val="decimal"/>
      <w:lvlText w:val="%1."/>
      <w:lvlJc w:val="left"/>
      <w:pPr>
        <w:tabs>
          <w:tab w:val="num" w:pos="540"/>
        </w:tabs>
        <w:ind w:left="540" w:hanging="270"/>
      </w:pPr>
    </w:lvl>
  </w:abstractNum>
  <w:abstractNum w:abstractNumId="14">
    <w:nsid w:val="FFFFFF88"/>
    <w:multiLevelType w:val="singleLevel"/>
    <w:tmpl w:val="D0A62B40"/>
    <w:lvl w:ilvl="0">
      <w:start w:val="1"/>
      <w:numFmt w:val="decimal"/>
      <w:lvlText w:val="%1."/>
      <w:lvlJc w:val="left"/>
      <w:pPr>
        <w:tabs>
          <w:tab w:val="num" w:pos="540"/>
        </w:tabs>
        <w:ind w:left="540" w:hanging="270"/>
      </w:pPr>
    </w:lvl>
  </w:abstractNum>
  <w:abstractNum w:abstractNumId="15">
    <w:nsid w:val="FFFFFF88"/>
    <w:multiLevelType w:val="singleLevel"/>
    <w:tmpl w:val="D0A62B40"/>
    <w:lvl w:ilvl="0">
      <w:start w:val="1"/>
      <w:numFmt w:val="decimal"/>
      <w:lvlText w:val="%1."/>
      <w:lvlJc w:val="left"/>
      <w:pPr>
        <w:tabs>
          <w:tab w:val="num" w:pos="540"/>
        </w:tabs>
        <w:ind w:left="540" w:hanging="270"/>
      </w:pPr>
    </w:lvl>
  </w:abstractNum>
  <w:abstractNum w:abstractNumId="16">
    <w:nsid w:val="FFFFFF88"/>
    <w:multiLevelType w:val="singleLevel"/>
    <w:tmpl w:val="D0A62B40"/>
    <w:lvl w:ilvl="0">
      <w:start w:val="1"/>
      <w:numFmt w:val="decimal"/>
      <w:lvlText w:val="%1."/>
      <w:lvlJc w:val="left"/>
      <w:pPr>
        <w:tabs>
          <w:tab w:val="num" w:pos="540"/>
        </w:tabs>
        <w:ind w:left="540" w:hanging="270"/>
      </w:pPr>
    </w:lvl>
  </w:abstractNum>
  <w:abstractNum w:abstractNumId="17">
    <w:nsid w:val="FFFFFF88"/>
    <w:multiLevelType w:val="singleLevel"/>
    <w:tmpl w:val="D0A62B40"/>
    <w:lvl w:ilvl="0">
      <w:start w:val="1"/>
      <w:numFmt w:val="decimal"/>
      <w:lvlText w:val="%1."/>
      <w:lvlJc w:val="left"/>
      <w:pPr>
        <w:tabs>
          <w:tab w:val="num" w:pos="540"/>
        </w:tabs>
        <w:ind w:left="540" w:hanging="270"/>
      </w:pPr>
    </w:lvl>
  </w:abstractNum>
  <w:abstractNum w:abstractNumId="18">
    <w:nsid w:val="FFFFFF88"/>
    <w:multiLevelType w:val="singleLevel"/>
    <w:tmpl w:val="D0A62B40"/>
    <w:lvl w:ilvl="0">
      <w:start w:val="1"/>
      <w:numFmt w:val="decimal"/>
      <w:lvlText w:val="%1."/>
      <w:lvlJc w:val="left"/>
      <w:pPr>
        <w:tabs>
          <w:tab w:val="num" w:pos="540"/>
        </w:tabs>
        <w:ind w:left="540" w:hanging="270"/>
      </w:pPr>
    </w:lvl>
  </w:abstractNum>
  <w:abstractNum w:abstractNumId="19">
    <w:nsid w:val="FFFFFF88"/>
    <w:multiLevelType w:val="singleLevel"/>
    <w:tmpl w:val="D0A62B40"/>
    <w:lvl w:ilvl="0">
      <w:start w:val="1"/>
      <w:numFmt w:val="decimal"/>
      <w:lvlText w:val="%1."/>
      <w:lvlJc w:val="left"/>
      <w:pPr>
        <w:tabs>
          <w:tab w:val="num" w:pos="540"/>
        </w:tabs>
        <w:ind w:left="540" w:hanging="270"/>
      </w:pPr>
    </w:lvl>
  </w:abstractNum>
  <w:abstractNum w:abstractNumId="20">
    <w:nsid w:val="FFFFFF88"/>
    <w:multiLevelType w:val="singleLevel"/>
    <w:tmpl w:val="D0A62B40"/>
    <w:lvl w:ilvl="0">
      <w:start w:val="1"/>
      <w:numFmt w:val="decimal"/>
      <w:lvlText w:val="%1."/>
      <w:lvlJc w:val="left"/>
      <w:pPr>
        <w:tabs>
          <w:tab w:val="num" w:pos="540"/>
        </w:tabs>
        <w:ind w:left="540" w:hanging="270"/>
      </w:pPr>
    </w:lvl>
  </w:abstractNum>
  <w:abstractNum w:abstractNumId="21">
    <w:nsid w:val="FFFFFF88"/>
    <w:multiLevelType w:val="singleLevel"/>
    <w:tmpl w:val="D0A62B40"/>
    <w:lvl w:ilvl="0">
      <w:start w:val="1"/>
      <w:numFmt w:val="decimal"/>
      <w:lvlText w:val="%1."/>
      <w:lvlJc w:val="left"/>
      <w:pPr>
        <w:tabs>
          <w:tab w:val="num" w:pos="540"/>
        </w:tabs>
        <w:ind w:left="540" w:hanging="270"/>
      </w:pPr>
    </w:lvl>
  </w:abstractNum>
  <w:abstractNum w:abstractNumId="22">
    <w:nsid w:val="FFFFFF88"/>
    <w:multiLevelType w:val="singleLevel"/>
    <w:tmpl w:val="D0A62B40"/>
    <w:lvl w:ilvl="0">
      <w:start w:val="1"/>
      <w:numFmt w:val="decimal"/>
      <w:lvlText w:val="%1."/>
      <w:lvlJc w:val="left"/>
      <w:pPr>
        <w:tabs>
          <w:tab w:val="num" w:pos="540"/>
        </w:tabs>
        <w:ind w:left="540" w:hanging="270"/>
      </w:pPr>
    </w:lvl>
  </w:abstractNum>
  <w:abstractNum w:abstractNumId="23">
    <w:nsid w:val="FFFFFF88"/>
    <w:multiLevelType w:val="singleLevel"/>
    <w:tmpl w:val="D0A62B40"/>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 w:numId="21">
    <w:abstractNumId w:val="20"/>
    <w:lvlOverride w:ilvl="0">
      <w:startOverride w:val="1"/>
    </w:lvlOverride>
  </w:num>
  <w:num w:numId="22">
    <w:abstractNumId w:val="21"/>
    <w:lvlOverride w:ilvl="0">
      <w:startOverride w:val="1"/>
    </w:lvlOverride>
  </w:num>
  <w:num w:numId="23">
    <w:abstractNumId w:val="22"/>
    <w:lvlOverride w:ilvl="0">
      <w:startOverride w:val="1"/>
    </w:lvlOverride>
  </w:num>
  <w:num w:numId="24">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On-Premises Dental Appointment Scheduler Standard Operating Procedure</dc:title>
  <dc:subject>Safe product operation, scheduling, protected rescheduling, daily flow, administration, privacy, downtime, and escalation</dc:subject>
  <dc:creator/>
  <cp:keywords>dental scheduling, standard operating procedure, on premises, privacy, operations</cp:keywords>
  <dc:description>Organization-neutral SOP; contains no patient records, credentials, or private infrastructure details.</dc:description>
  <cp:lastModifiedBy/>
  <cp:revision>1</cp:revision>
  <dcterms:created xsi:type="dcterms:W3CDTF">2013-12-23T23:15:00Z</dcterms:created>
  <dcterms:modified xsi:type="dcterms:W3CDTF">2013-12-23T23:15:00Z</dcterms:modified>
  <cp:category/>
</cp:coreProperties>
</file>