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Calibri" w:hAnsi="Calibri"/>
          <w:b/>
          <w:i w:val="0"/>
          <w:color w:val="172B4D"/>
          <w:sz w:val="46"/>
        </w:rPr>
        <w:t>Dental Scheduling Optimization Validation Plan</w:t>
      </w:r>
    </w:p>
    <w:p>
      <w:pPr>
        <w:spacing w:after="280"/>
      </w:pPr>
      <w:r>
        <w:rPr>
          <w:rFonts w:ascii="Calibri" w:hAnsi="Calibri"/>
          <w:b w:val="0"/>
          <w:i w:val="0"/>
          <w:color w:val="626B78"/>
          <w:sz w:val="28"/>
        </w:rPr>
        <w:t>Historical replay, capacity conversion, economic impact, annual extrapolation, and market sizing</w:t>
      </w:r>
    </w:p>
    <w:p>
      <w:pPr>
        <w:spacing w:after="60"/>
      </w:pPr>
      <w:r>
        <w:rPr>
          <w:rFonts w:ascii="Calibri" w:hAnsi="Calibri"/>
          <w:b/>
          <w:i w:val="0"/>
          <w:color w:val="000000"/>
          <w:sz w:val="22"/>
        </w:rPr>
        <w:t>Purpose:</w:t>
      </w:r>
      <w:r>
        <w:rPr>
          <w:rFonts w:ascii="Calibri" w:hAnsi="Calibri"/>
          <w:b w:val="0"/>
          <w:i w:val="0"/>
          <w:color w:val="000000"/>
          <w:sz w:val="22"/>
        </w:rPr>
        <w:t xml:space="preserve"> Validate whether optimization creates usable appointment capacity and measurable economic value without weakening scheduling constraints.</w:t>
      </w:r>
    </w:p>
    <w:p>
      <w:pPr>
        <w:spacing w:after="60"/>
      </w:pPr>
      <w:r>
        <w:rPr>
          <w:rFonts w:ascii="Calibri" w:hAnsi="Calibri"/>
          <w:b/>
          <w:i w:val="0"/>
          <w:color w:val="000000"/>
          <w:sz w:val="22"/>
        </w:rPr>
        <w:t>Recommended evidence window:</w:t>
      </w:r>
      <w:r>
        <w:rPr>
          <w:rFonts w:ascii="Calibri" w:hAnsi="Calibri"/>
          <w:b w:val="0"/>
          <w:i w:val="0"/>
          <w:color w:val="000000"/>
          <w:sz w:val="22"/>
        </w:rPr>
        <w:t xml:space="preserve"> Four consecutive weeks for the first study; three or more representative months before annual claims.</w:t>
      </w:r>
    </w:p>
    <w:p>
      <w:pPr>
        <w:spacing w:after="60"/>
      </w:pPr>
      <w:r>
        <w:rPr>
          <w:rFonts w:ascii="Calibri" w:hAnsi="Calibri"/>
          <w:b/>
          <w:i w:val="0"/>
          <w:color w:val="000000"/>
          <w:sz w:val="22"/>
        </w:rPr>
        <w:t>Status:</w:t>
      </w:r>
      <w:r>
        <w:rPr>
          <w:rFonts w:ascii="Calibri" w:hAnsi="Calibri"/>
          <w:b w:val="0"/>
          <w:i w:val="0"/>
          <w:color w:val="000000"/>
          <w:sz w:val="22"/>
        </w:rPr>
        <w:t xml:space="preserve"> Draft study protocol for stakeholder review and data readiness assessment.</w:t>
      </w:r>
    </w:p>
    <w:p>
      <w:pPr>
        <w:spacing w:before="160" w:after="200"/>
        <w:ind w:left="259" w:right="173"/>
        <w:shd w:fill="F4F6F9"/>
        <w:pBdr>
          <w:left w:val="single" w:sz="18" w:color="2E74B5"/>
        </w:pBdr>
      </w:pPr>
      <w:r>
        <w:rPr>
          <w:rFonts w:ascii="Calibri" w:hAnsi="Calibri"/>
          <w:b/>
          <w:i w:val="0"/>
          <w:color w:val="1F4D78"/>
          <w:sz w:val="22"/>
        </w:rPr>
        <w:t xml:space="preserve">Primary recommendation  </w:t>
      </w:r>
      <w:r>
        <w:rPr>
          <w:rFonts w:ascii="Calibri" w:hAnsi="Calibri"/>
          <w:b w:val="0"/>
          <w:i w:val="0"/>
          <w:color w:val="172B4D"/>
          <w:sz w:val="22"/>
        </w:rPr>
        <w:t>Run a production-realistic chronological replay as the headline analysis and a full-month refactoring only as a separately labeled theoretical upper bound. Recovered minutes count as value only after they form a feasible opening and match real demand.</w:t>
      </w:r>
    </w:p>
    <w:p>
      <w:pPr>
        <w:pStyle w:val="Heading1"/>
      </w:pPr>
      <w:r>
        <w:t>1. Study objective and decisions</w:t>
      </w:r>
    </w:p>
    <w:p>
      <w:pPr>
        <w:spacing w:after="120"/>
      </w:pPr>
      <w:r>
        <w:rPr>
          <w:rFonts w:ascii="Calibri" w:hAnsi="Calibri"/>
          <w:b w:val="0"/>
          <w:i w:val="0"/>
          <w:color w:val="000000"/>
          <w:sz w:val="22"/>
        </w:rPr>
        <w:t>The study will determine whether the scheduling optimizer can place more patients, reduce unusable calendar fragmentation, improve resource utilization, and increase expected practice economics while preserving locked appointments, clinical policy, staffing, rooms, equipment, and operating-hour constraints.</w:t>
      </w:r>
    </w:p>
    <w:p>
      <w:pPr>
        <w:spacing w:after="120"/>
      </w:pPr>
      <w:r>
        <w:rPr>
          <w:rFonts w:ascii="Calibri" w:hAnsi="Calibri"/>
          <w:b w:val="0"/>
          <w:i w:val="0"/>
          <w:color w:val="000000"/>
          <w:sz w:val="22"/>
        </w:rPr>
        <w:t>The evidence should support four distinct decisions:</w:t>
      </w:r>
    </w:p>
    <w:p>
      <w:pPr>
        <w:numPr>
          <w:ilvl w:val="0"/>
          <w:numId w:val="40"/>
        </w:numPr>
      </w:pPr>
      <w:r>
        <w:rPr>
          <w:rFonts w:ascii="Calibri" w:hAnsi="Calibri"/>
          <w:b w:val="0"/>
          <w:i w:val="0"/>
          <w:color w:val="000000"/>
          <w:sz w:val="22"/>
        </w:rPr>
        <w:t>Product verification: does the optimizer produce valid schedules and useful recommendations?</w:t>
      </w:r>
    </w:p>
    <w:p>
      <w:pPr>
        <w:numPr>
          <w:ilvl w:val="0"/>
          <w:numId w:val="40"/>
        </w:numPr>
      </w:pPr>
      <w:r>
        <w:rPr>
          <w:rFonts w:ascii="Calibri" w:hAnsi="Calibri"/>
          <w:b w:val="0"/>
          <w:i w:val="0"/>
          <w:color w:val="000000"/>
          <w:sz w:val="22"/>
        </w:rPr>
        <w:t>Operational value: does it convert existing capacity into more bookable appointments without unacceptable overtime or workload concentration?</w:t>
      </w:r>
    </w:p>
    <w:p>
      <w:pPr>
        <w:numPr>
          <w:ilvl w:val="0"/>
          <w:numId w:val="40"/>
        </w:numPr>
      </w:pPr>
      <w:r>
        <w:rPr>
          <w:rFonts w:ascii="Calibri" w:hAnsi="Calibri"/>
          <w:b w:val="0"/>
          <w:i w:val="0"/>
          <w:color w:val="000000"/>
          <w:sz w:val="22"/>
        </w:rPr>
        <w:t>Economic value: what incremental production, expected collections, and contribution margin are plausibly attributable to better allocation?</w:t>
      </w:r>
    </w:p>
    <w:p>
      <w:pPr>
        <w:numPr>
          <w:ilvl w:val="0"/>
          <w:numId w:val="40"/>
        </w:numPr>
      </w:pPr>
      <w:r>
        <w:rPr>
          <w:rFonts w:ascii="Calibri" w:hAnsi="Calibri"/>
          <w:b w:val="0"/>
          <w:i w:val="0"/>
          <w:color w:val="000000"/>
          <w:sz w:val="22"/>
        </w:rPr>
        <w:t>Commercial sizing: what portion of the demonstrated value can inform pricing, serviceable market sizing, and a defensible go-to-market case?</w:t>
      </w:r>
    </w:p>
    <w:p>
      <w:pPr>
        <w:pStyle w:val="Heading1"/>
      </w:pPr>
      <w:r>
        <w:t>2. Hypotheses and guardrails</w:t>
      </w:r>
    </w:p>
    <w:tbl>
      <w:tblPr>
        <w:tblStyle w:val="TableGrid"/>
        <w:tblW w:type="dxa" w:w="9360"/>
        <w:jc w:val="left"/>
        <w:tblLayout w:type="fixed"/>
        <w:tblLook w:firstColumn="1" w:firstRow="1" w:lastColumn="0" w:lastRow="0" w:noHBand="0" w:noVBand="1" w:val="04A0"/>
        <w:tblInd w:w="120" w:type="dxa"/>
      </w:tblPr>
      <w:tblGrid>
        <w:gridCol w:w="850"/>
        <w:gridCol w:w="2700"/>
        <w:gridCol w:w="3100"/>
        <w:gridCol w:w="2710"/>
      </w:tblGrid>
      <w:tr>
        <w:trPr>
          <w:tblHeader/>
        </w:trPr>
        <w:tc>
          <w:tcPr>
            <w:tcW w:type="dxa" w:w="850"/>
            <w:shd w:fill="F2F4F7"/>
            <w:tcMar>
              <w:top w:w="80" w:type="dxa"/>
              <w:start w:w="120" w:type="dxa"/>
              <w:bottom w:w="80" w:type="dxa"/>
              <w:end w:w="120" w:type="dxa"/>
            </w:tcMar>
            <w:vAlign w:val="center"/>
          </w:tcPr>
          <w:p>
            <w:pPr>
              <w:spacing w:after="0"/>
            </w:pPr>
            <w:r>
              <w:rPr>
                <w:rFonts w:ascii="Calibri" w:hAnsi="Calibri"/>
                <w:b/>
                <w:i w:val="0"/>
                <w:color w:val="172B4D"/>
                <w:sz w:val="19"/>
              </w:rPr>
              <w:t>ID</w:t>
            </w:r>
          </w:p>
        </w:tc>
        <w:tc>
          <w:tcPr>
            <w:tcW w:type="dxa" w:w="2700"/>
            <w:shd w:fill="F2F4F7"/>
            <w:tcMar>
              <w:top w:w="80" w:type="dxa"/>
              <w:start w:w="120" w:type="dxa"/>
              <w:bottom w:w="80" w:type="dxa"/>
              <w:end w:w="120" w:type="dxa"/>
            </w:tcMar>
            <w:vAlign w:val="center"/>
          </w:tcPr>
          <w:p>
            <w:pPr>
              <w:spacing w:after="0"/>
            </w:pPr>
            <w:r>
              <w:rPr>
                <w:rFonts w:ascii="Calibri" w:hAnsi="Calibri"/>
                <w:b/>
                <w:i w:val="0"/>
                <w:color w:val="172B4D"/>
                <w:sz w:val="19"/>
              </w:rPr>
              <w:t>Hypothesis</w:t>
            </w:r>
          </w:p>
        </w:tc>
        <w:tc>
          <w:tcPr>
            <w:tcW w:type="dxa" w:w="3100"/>
            <w:shd w:fill="F2F4F7"/>
            <w:tcMar>
              <w:top w:w="80" w:type="dxa"/>
              <w:start w:w="120" w:type="dxa"/>
              <w:bottom w:w="80" w:type="dxa"/>
              <w:end w:w="120" w:type="dxa"/>
            </w:tcMar>
            <w:vAlign w:val="center"/>
          </w:tcPr>
          <w:p>
            <w:pPr>
              <w:spacing w:after="0"/>
            </w:pPr>
            <w:r>
              <w:rPr>
                <w:rFonts w:ascii="Calibri" w:hAnsi="Calibri"/>
                <w:b/>
                <w:i w:val="0"/>
                <w:color w:val="172B4D"/>
                <w:sz w:val="19"/>
              </w:rPr>
              <w:t>Evidence required</w:t>
            </w:r>
          </w:p>
        </w:tc>
        <w:tc>
          <w:tcPr>
            <w:tcW w:type="dxa" w:w="2710"/>
            <w:shd w:fill="F2F4F7"/>
            <w:tcMar>
              <w:top w:w="80" w:type="dxa"/>
              <w:start w:w="120" w:type="dxa"/>
              <w:bottom w:w="80" w:type="dxa"/>
              <w:end w:w="120" w:type="dxa"/>
            </w:tcMar>
            <w:vAlign w:val="center"/>
          </w:tcPr>
          <w:p>
            <w:pPr>
              <w:spacing w:after="0"/>
            </w:pPr>
            <w:r>
              <w:rPr>
                <w:rFonts w:ascii="Calibri" w:hAnsi="Calibri"/>
                <w:b/>
                <w:i w:val="0"/>
                <w:color w:val="172B4D"/>
                <w:sz w:val="19"/>
              </w:rPr>
              <w:t>Failure condition</w:t>
            </w:r>
          </w:p>
        </w:tc>
      </w:tr>
      <w:tr>
        <w:trP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8"/>
              </w:rPr>
              <w:t>H1</w:t>
            </w:r>
          </w:p>
        </w:tc>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8"/>
              </w:rPr>
              <w:t>Better allocation increases feasible bookings.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000000"/>
                <w:sz w:val="18"/>
              </w:rPr>
              <w:t>More demand-matched appointments than baseline.</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000000"/>
                <w:sz w:val="18"/>
              </w:rPr>
              <w:t>Gain depends on invalid moves or conflicts.</w:t>
            </w:r>
          </w:p>
        </w:tc>
      </w:tr>
      <w:tr>
        <w:trP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8"/>
              </w:rPr>
              <w:t>H2</w:t>
            </w:r>
          </w:p>
        </w:tc>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8"/>
              </w:rPr>
              <w:t>Recovered capacity becomes usable blocks.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000000"/>
                <w:sz w:val="18"/>
              </w:rPr>
              <w:t>More contiguous openings of procedure-appropriate length.</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000000"/>
                <w:sz w:val="18"/>
              </w:rPr>
              <w:t>Only isolated minutes or unusable fragments increase.</w:t>
            </w:r>
          </w:p>
        </w:tc>
      </w:tr>
      <w:tr>
        <w:trP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8"/>
              </w:rPr>
              <w:t>H3</w:t>
            </w:r>
          </w:p>
        </w:tc>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8"/>
              </w:rPr>
              <w:t>Value survives operational costs.</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000000"/>
                <w:sz w:val="18"/>
              </w:rPr>
              <w:t>Positive attendance-adjusted contribution margin.</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000000"/>
                <w:sz w:val="18"/>
              </w:rPr>
              <w:t>Uplift disappears after collections, labor, or overtime.</w:t>
            </w:r>
          </w:p>
        </w:tc>
      </w:tr>
      <w:tr>
        <w:trP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8"/>
              </w:rPr>
              <w:t>H4</w:t>
            </w:r>
          </w:p>
        </w:tc>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8"/>
              </w:rPr>
              <w:t>Benefits generalize beyond one week.</w:t>
            </w:r>
          </w:p>
        </w:tc>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000000"/>
                <w:sz w:val="18"/>
              </w:rPr>
              <w:t>Consistent results across representative periods and sensitivity ranges.</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000000"/>
                <w:sz w:val="18"/>
              </w:rPr>
              <w:t>Results are driven by one atypical period.</w:t>
            </w:r>
          </w:p>
        </w:tc>
      </w:tr>
    </w:tbl>
    <w:p>
      <w:pPr>
        <w:spacing w:after="20"/>
      </w:pPr>
    </w:p>
    <w:p>
      <w:pPr>
        <w:spacing w:before="160" w:after="200"/>
        <w:ind w:left="259" w:right="173"/>
        <w:shd w:fill="F4F6F9"/>
        <w:pBdr>
          <w:left w:val="single" w:sz="18" w:color="2E74B5"/>
        </w:pBdr>
      </w:pPr>
      <w:r>
        <w:rPr>
          <w:rFonts w:ascii="Calibri" w:hAnsi="Calibri"/>
          <w:b/>
          <w:i w:val="0"/>
          <w:color w:val="1F4D78"/>
          <w:sz w:val="22"/>
        </w:rPr>
        <w:t xml:space="preserve">Non-negotiable guardrail  </w:t>
      </w:r>
      <w:r>
        <w:rPr>
          <w:rFonts w:ascii="Calibri" w:hAnsi="Calibri"/>
          <w:b w:val="0"/>
          <w:i w:val="0"/>
          <w:color w:val="172B4D"/>
          <w:sz w:val="22"/>
        </w:rPr>
        <w:t>A confirmed appointment remains fixed in the production-realistic replay. Any hypothetical movement belongs only in the upper-bound analysis and must never be presented as deployable behavior without explicit patient and user authorization.</w:t>
      </w:r>
    </w:p>
    <w:p>
      <w:pPr>
        <w:pStyle w:val="Heading1"/>
      </w:pPr>
      <w:r>
        <w:t>3. Experimental design</w:t>
      </w:r>
    </w:p>
    <w:p>
      <w:pPr>
        <w:spacing w:after="120"/>
      </w:pPr>
      <w:r>
        <w:rPr>
          <w:rFonts w:ascii="Calibri" w:hAnsi="Calibri"/>
          <w:b w:val="0"/>
          <w:i w:val="0"/>
          <w:color w:val="000000"/>
          <w:sz w:val="22"/>
        </w:rPr>
        <w:t>Use the same de-identified demand, calendar, configuration, and operating conditions in every lane. Differences should come only from the scheduling policy being evaluated.</w:t>
      </w:r>
    </w:p>
    <w:tbl>
      <w:tblPr>
        <w:tblStyle w:val="TableGrid"/>
        <w:tblW w:type="dxa" w:w="9360"/>
        <w:jc w:val="left"/>
        <w:tblLayout w:type="fixed"/>
        <w:tblLook w:firstColumn="1" w:firstRow="1" w:lastColumn="0" w:lastRow="0" w:noHBand="0" w:noVBand="1" w:val="04A0"/>
        <w:tblInd w:w="120" w:type="dxa"/>
      </w:tblPr>
      <w:tblGrid>
        <w:gridCol w:w="1650"/>
        <w:gridCol w:w="2650"/>
        <w:gridCol w:w="2600"/>
        <w:gridCol w:w="2460"/>
      </w:tblGrid>
      <w:tr>
        <w:trPr>
          <w:tblHeader/>
        </w:trPr>
        <w:tc>
          <w:tcPr>
            <w:tcW w:type="dxa" w:w="1650"/>
            <w:shd w:fill="F2F4F7"/>
            <w:tcMar>
              <w:top w:w="80" w:type="dxa"/>
              <w:start w:w="120" w:type="dxa"/>
              <w:bottom w:w="80" w:type="dxa"/>
              <w:end w:w="120" w:type="dxa"/>
            </w:tcMar>
            <w:vAlign w:val="center"/>
          </w:tcPr>
          <w:p>
            <w:pPr>
              <w:spacing w:after="0"/>
            </w:pPr>
            <w:r>
              <w:rPr>
                <w:rFonts w:ascii="Calibri" w:hAnsi="Calibri"/>
                <w:b/>
                <w:i w:val="0"/>
                <w:color w:val="172B4D"/>
                <w:sz w:val="19"/>
              </w:rPr>
              <w:t>Lane</w:t>
            </w:r>
          </w:p>
        </w:tc>
        <w:tc>
          <w:tcPr>
            <w:tcW w:type="dxa" w:w="2650"/>
            <w:shd w:fill="F2F4F7"/>
            <w:tcMar>
              <w:top w:w="80" w:type="dxa"/>
              <w:start w:w="120" w:type="dxa"/>
              <w:bottom w:w="80" w:type="dxa"/>
              <w:end w:w="120" w:type="dxa"/>
            </w:tcMar>
            <w:vAlign w:val="center"/>
          </w:tcPr>
          <w:p>
            <w:pPr>
              <w:spacing w:after="0"/>
            </w:pPr>
            <w:r>
              <w:rPr>
                <w:rFonts w:ascii="Calibri" w:hAnsi="Calibri"/>
                <w:b/>
                <w:i w:val="0"/>
                <w:color w:val="172B4D"/>
                <w:sz w:val="19"/>
              </w:rPr>
              <w:t>Question answered</w:t>
            </w:r>
          </w:p>
        </w:tc>
        <w:tc>
          <w:tcPr>
            <w:tcW w:type="dxa" w:w="2600"/>
            <w:shd w:fill="F2F4F7"/>
            <w:tcMar>
              <w:top w:w="80" w:type="dxa"/>
              <w:start w:w="120" w:type="dxa"/>
              <w:bottom w:w="80" w:type="dxa"/>
              <w:end w:w="120" w:type="dxa"/>
            </w:tcMar>
            <w:vAlign w:val="center"/>
          </w:tcPr>
          <w:p>
            <w:pPr>
              <w:spacing w:after="0"/>
            </w:pPr>
            <w:r>
              <w:rPr>
                <w:rFonts w:ascii="Calibri" w:hAnsi="Calibri"/>
                <w:b/>
                <w:i w:val="0"/>
                <w:color w:val="172B4D"/>
                <w:sz w:val="19"/>
              </w:rPr>
              <w:t>Appointment movement</w:t>
            </w:r>
          </w:p>
        </w:tc>
        <w:tc>
          <w:tcPr>
            <w:tcW w:type="dxa" w:w="2460"/>
            <w:shd w:fill="F2F4F7"/>
            <w:tcMar>
              <w:top w:w="80" w:type="dxa"/>
              <w:start w:w="120" w:type="dxa"/>
              <w:bottom w:w="80" w:type="dxa"/>
              <w:end w:w="120" w:type="dxa"/>
            </w:tcMar>
            <w:vAlign w:val="center"/>
          </w:tcPr>
          <w:p>
            <w:pPr>
              <w:spacing w:after="0"/>
            </w:pPr>
            <w:r>
              <w:rPr>
                <w:rFonts w:ascii="Calibri" w:hAnsi="Calibri"/>
                <w:b/>
                <w:i w:val="0"/>
                <w:color w:val="172B4D"/>
                <w:sz w:val="19"/>
              </w:rPr>
              <w:t>How results are used</w:t>
            </w:r>
          </w:p>
        </w:tc>
      </w:tr>
      <w:tr>
        <w:trP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8"/>
              </w:rPr>
              <w:t>A. Observed baseline</w:t>
            </w:r>
          </w:p>
        </w:tc>
        <w:tc>
          <w:tcPr>
            <w:tcW w:type="dxa" w:w="2650"/>
            <w:tcMar>
              <w:top w:w="80" w:type="dxa"/>
              <w:start w:w="120" w:type="dxa"/>
              <w:bottom w:w="80" w:type="dxa"/>
              <w:end w:w="120" w:type="dxa"/>
            </w:tcMar>
            <w:vAlign w:val="center"/>
          </w:tcPr>
          <w:p>
            <w:pPr>
              <w:spacing w:after="0" w:line="252" w:lineRule="auto"/>
            </w:pPr>
            <w:r>
              <w:rPr>
                <w:rFonts w:ascii="Calibri" w:hAnsi="Calibri"/>
                <w:b w:val="0"/>
                <w:i w:val="0"/>
                <w:color w:val="000000"/>
                <w:sz w:val="18"/>
              </w:rPr>
              <w:t>What actually happened?</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8"/>
              </w:rPr>
              <w:t>None; retain historical record.</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Reference for bookings, utilization, waits, production, and outcomes.</w:t>
            </w:r>
          </w:p>
        </w:tc>
      </w:tr>
      <w:tr>
        <w:trP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8"/>
              </w:rPr>
              <w:t>B. Chronological replay</w:t>
            </w:r>
          </w:p>
        </w:tc>
        <w:tc>
          <w:tcPr>
            <w:tcW w:type="dxa" w:w="2650"/>
            <w:tcMar>
              <w:top w:w="80" w:type="dxa"/>
              <w:start w:w="120" w:type="dxa"/>
              <w:bottom w:w="80" w:type="dxa"/>
              <w:end w:w="120" w:type="dxa"/>
            </w:tcMar>
            <w:vAlign w:val="center"/>
          </w:tcPr>
          <w:p>
            <w:pPr>
              <w:spacing w:after="0" w:line="252" w:lineRule="auto"/>
            </w:pPr>
            <w:r>
              <w:rPr>
                <w:rFonts w:ascii="Calibri" w:hAnsi="Calibri"/>
                <w:b w:val="0"/>
                <w:i w:val="0"/>
                <w:color w:val="000000"/>
                <w:sz w:val="18"/>
              </w:rPr>
              <w:t>What could the product have done at each request time?</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8"/>
              </w:rPr>
              <w:t>Previously booked appointments remain locked.</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Headline product and economic impact estimate.</w:t>
            </w:r>
          </w:p>
        </w:tc>
      </w:tr>
      <w:tr>
        <w:trP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8"/>
              </w:rPr>
              <w:t>C. Full-period refactor</w:t>
            </w:r>
          </w:p>
        </w:tc>
        <w:tc>
          <w:tcPr>
            <w:tcW w:type="dxa" w:w="2650"/>
            <w:tcMar>
              <w:top w:w="80" w:type="dxa"/>
              <w:start w:w="120" w:type="dxa"/>
              <w:bottom w:w="80" w:type="dxa"/>
              <w:end w:w="120" w:type="dxa"/>
            </w:tcMar>
            <w:vAlign w:val="center"/>
          </w:tcPr>
          <w:p>
            <w:pPr>
              <w:spacing w:after="0" w:line="252" w:lineRule="auto"/>
            </w:pPr>
            <w:r>
              <w:rPr>
                <w:rFonts w:ascii="Calibri" w:hAnsi="Calibri"/>
                <w:b w:val="0"/>
                <w:i w:val="0"/>
                <w:color w:val="000000"/>
                <w:sz w:val="18"/>
              </w:rPr>
              <w:t>What is the theoretical packing ceiling with hindsight?</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8"/>
              </w:rPr>
              <w:t>Historical visits may be hypothetically rearranged within recorded constraints.</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Upper bound and roadmap insight only.</w:t>
            </w:r>
          </w:p>
        </w:tc>
      </w:tr>
      <w:tr>
        <w:trP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8"/>
              </w:rPr>
              <w:t>D. Authorized-move scenario</w:t>
            </w:r>
          </w:p>
        </w:tc>
        <w:tc>
          <w:tcPr>
            <w:tcW w:type="dxa" w:w="2650"/>
            <w:tcMar>
              <w:top w:w="80" w:type="dxa"/>
              <w:start w:w="120" w:type="dxa"/>
              <w:bottom w:w="80" w:type="dxa"/>
              <w:end w:w="120" w:type="dxa"/>
            </w:tcMar>
            <w:vAlign w:val="center"/>
          </w:tcPr>
          <w:p>
            <w:pPr>
              <w:spacing w:after="0" w:line="252" w:lineRule="auto"/>
            </w:pPr>
            <w:r>
              <w:rPr>
                <w:rFonts w:ascii="Calibri" w:hAnsi="Calibri"/>
                <w:b w:val="0"/>
                <w:i w:val="0"/>
                <w:color w:val="000000"/>
                <w:sz w:val="18"/>
              </w:rPr>
              <w:t>What additional value is possible with a defined consent policy?</w:t>
            </w:r>
          </w:p>
        </w:tc>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8"/>
              </w:rPr>
              <w:t>Only explicitly eligible moves; each move is counted.</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Optional sensitivity case, never merged into Lane B.</w:t>
            </w:r>
          </w:p>
        </w:tc>
      </w:tr>
    </w:tbl>
    <w:p>
      <w:pPr>
        <w:spacing w:after="20"/>
      </w:pPr>
    </w:p>
    <w:p>
      <w:pPr>
        <w:pStyle w:val="Heading2"/>
      </w:pPr>
      <w:r>
        <w:t>Recommended study window</w:t>
      </w:r>
    </w:p>
    <w:p>
      <w:pPr>
        <w:numPr>
          <w:ilvl w:val="0"/>
          <w:numId w:val="40"/>
        </w:numPr>
      </w:pPr>
      <w:r>
        <w:rPr>
          <w:rFonts w:ascii="Calibri" w:hAnsi="Calibri"/>
          <w:b w:val="0"/>
          <w:i w:val="0"/>
          <w:color w:val="000000"/>
          <w:sz w:val="22"/>
        </w:rPr>
        <w:t>Pilot analysis: one complete four-week period with typical staffing and no known extraordinary closure.</w:t>
      </w:r>
    </w:p>
    <w:p>
      <w:pPr>
        <w:numPr>
          <w:ilvl w:val="0"/>
          <w:numId w:val="40"/>
        </w:numPr>
      </w:pPr>
      <w:r>
        <w:rPr>
          <w:rFonts w:ascii="Calibri" w:hAnsi="Calibri"/>
          <w:b w:val="0"/>
          <w:i w:val="0"/>
          <w:color w:val="000000"/>
          <w:sz w:val="22"/>
        </w:rPr>
        <w:t>Robust validation: at least three months spanning different demand and leave patterns.</w:t>
      </w:r>
    </w:p>
    <w:p>
      <w:pPr>
        <w:numPr>
          <w:ilvl w:val="0"/>
          <w:numId w:val="40"/>
        </w:numPr>
      </w:pPr>
      <w:r>
        <w:rPr>
          <w:rFonts w:ascii="Calibri" w:hAnsi="Calibri"/>
          <w:b w:val="0"/>
          <w:i w:val="0"/>
          <w:color w:val="000000"/>
          <w:sz w:val="22"/>
        </w:rPr>
        <w:t>Annual projection: seasonal weighting or multiple scenarios; never multiply an atypical week by 52 without qualification.</w:t>
      </w:r>
    </w:p>
    <w:p>
      <w:pPr>
        <w:pStyle w:val="Heading2"/>
      </w:pPr>
      <w:r>
        <w:t>Unit of analysis and replay clock</w:t>
      </w:r>
    </w:p>
    <w:p>
      <w:pPr>
        <w:spacing w:after="120"/>
      </w:pPr>
      <w:r>
        <w:rPr>
          <w:rFonts w:ascii="Calibri" w:hAnsi="Calibri"/>
          <w:b w:val="0"/>
          <w:i w:val="0"/>
          <w:color w:val="000000"/>
          <w:sz w:val="22"/>
        </w:rPr>
        <w:t>The primary unit is a scheduling request at the time it originally became actionable. For each request, reconstruct only the information that would have been available then, generate feasible options, apply the stated selection rule, and advance the replay clock. This prevents hindsight leakage.</w:t>
      </w:r>
    </w:p>
    <w:p>
      <w:pPr>
        <w:pStyle w:val="Heading1"/>
      </w:pPr>
      <w:r>
        <w:t>4. Data specification</w:t>
      </w:r>
    </w:p>
    <w:p>
      <w:pPr>
        <w:spacing w:after="120"/>
      </w:pPr>
      <w:r>
        <w:rPr>
          <w:rFonts w:ascii="Calibri" w:hAnsi="Calibri"/>
          <w:b w:val="0"/>
          <w:i w:val="0"/>
          <w:color w:val="000000"/>
          <w:sz w:val="22"/>
        </w:rPr>
        <w:t>Use the minimum necessary local dataset. Replace direct patient identifiers with stable study keys before analysis and keep the re-identification key outside the study workspace. Raw condition narratives are unnecessary.</w:t>
      </w:r>
    </w:p>
    <w:tbl>
      <w:tblPr>
        <w:tblStyle w:val="TableGrid"/>
        <w:tblW w:type="dxa" w:w="9360"/>
        <w:jc w:val="left"/>
        <w:tblLayout w:type="fixed"/>
        <w:tblLook w:firstColumn="1" w:firstRow="1" w:lastColumn="0" w:lastRow="0" w:noHBand="0" w:noVBand="1" w:val="04A0"/>
        <w:tblInd w:w="120" w:type="dxa"/>
      </w:tblPr>
      <w:tblGrid>
        <w:gridCol w:w="1550"/>
        <w:gridCol w:w="3270"/>
        <w:gridCol w:w="2730"/>
        <w:gridCol w:w="1810"/>
      </w:tblGrid>
      <w:tr>
        <w:trPr>
          <w:tblHeader/>
        </w:trPr>
        <w:tc>
          <w:tcPr>
            <w:tcW w:type="dxa" w:w="1550"/>
            <w:shd w:fill="F2F4F7"/>
            <w:tcMar>
              <w:top w:w="80" w:type="dxa"/>
              <w:start w:w="120" w:type="dxa"/>
              <w:bottom w:w="80" w:type="dxa"/>
              <w:end w:w="120" w:type="dxa"/>
            </w:tcMar>
            <w:vAlign w:val="center"/>
          </w:tcPr>
          <w:p>
            <w:pPr>
              <w:spacing w:after="0"/>
            </w:pPr>
            <w:r>
              <w:rPr>
                <w:rFonts w:ascii="Calibri" w:hAnsi="Calibri"/>
                <w:b/>
                <w:i w:val="0"/>
                <w:color w:val="172B4D"/>
                <w:sz w:val="19"/>
              </w:rPr>
              <w:t>Dataset</w:t>
            </w:r>
          </w:p>
        </w:tc>
        <w:tc>
          <w:tcPr>
            <w:tcW w:type="dxa" w:w="3270"/>
            <w:shd w:fill="F2F4F7"/>
            <w:tcMar>
              <w:top w:w="80" w:type="dxa"/>
              <w:start w:w="120" w:type="dxa"/>
              <w:bottom w:w="80" w:type="dxa"/>
              <w:end w:w="120" w:type="dxa"/>
            </w:tcMar>
            <w:vAlign w:val="center"/>
          </w:tcPr>
          <w:p>
            <w:pPr>
              <w:spacing w:after="0"/>
            </w:pPr>
            <w:r>
              <w:rPr>
                <w:rFonts w:ascii="Calibri" w:hAnsi="Calibri"/>
                <w:b/>
                <w:i w:val="0"/>
                <w:color w:val="172B4D"/>
                <w:sz w:val="19"/>
              </w:rPr>
              <w:t>Minimum fields</w:t>
            </w:r>
          </w:p>
        </w:tc>
        <w:tc>
          <w:tcPr>
            <w:tcW w:type="dxa" w:w="2730"/>
            <w:shd w:fill="F2F4F7"/>
            <w:tcMar>
              <w:top w:w="80" w:type="dxa"/>
              <w:start w:w="120" w:type="dxa"/>
              <w:bottom w:w="80" w:type="dxa"/>
              <w:end w:w="120" w:type="dxa"/>
            </w:tcMar>
            <w:vAlign w:val="center"/>
          </w:tcPr>
          <w:p>
            <w:pPr>
              <w:spacing w:after="0"/>
            </w:pPr>
            <w:r>
              <w:rPr>
                <w:rFonts w:ascii="Calibri" w:hAnsi="Calibri"/>
                <w:b/>
                <w:i w:val="0"/>
                <w:color w:val="172B4D"/>
                <w:sz w:val="19"/>
              </w:rPr>
              <w:t>Why needed</w:t>
            </w:r>
          </w:p>
        </w:tc>
        <w:tc>
          <w:tcPr>
            <w:tcW w:type="dxa" w:w="1810"/>
            <w:shd w:fill="F2F4F7"/>
            <w:tcMar>
              <w:top w:w="80" w:type="dxa"/>
              <w:start w:w="120" w:type="dxa"/>
              <w:bottom w:w="80" w:type="dxa"/>
              <w:end w:w="120" w:type="dxa"/>
            </w:tcMar>
            <w:vAlign w:val="center"/>
          </w:tcPr>
          <w:p>
            <w:pPr>
              <w:spacing w:after="0"/>
            </w:pPr>
            <w:r>
              <w:rPr>
                <w:rFonts w:ascii="Calibri" w:hAnsi="Calibri"/>
                <w:b/>
                <w:i w:val="0"/>
                <w:color w:val="172B4D"/>
                <w:sz w:val="19"/>
              </w:rPr>
              <w:t>If unavailable</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Requests</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Request time; procedure; date/time availability; priority; preferred clinician; study patient key</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Replays demand in the correct order and prevents invented demand.</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Use waitlist/phone-log proxy and label uncertainty.</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Appointments</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Booked/actual times; procedure; doctor; room; status; creation time</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Reconstructs the baseline and locked state.</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Bookings-only analysis cannot prove realized extra revenue.</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Resources</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Provider shifts/leave; rooms; equipment units; closures; reserved blocks</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Recreates hard capacity constraints.</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Document every imputed assumption.</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Policy</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Qualifications; procedure phases/durations; buffers; supervision limits</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Defines clinical and operational feasibility.</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Use approved product defaults only as a sensitivity case.</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Economics</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Procedure fee or production value; collection rate; variable cost; incremental labor</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Converts feasible additions into economic value.</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Report production potential, not revenue or margin.</w:t>
            </w:r>
          </w:p>
        </w:tc>
      </w:tr>
      <w:tr>
        <w:trPr/>
        <w:tc>
          <w:tcPr>
            <w:tcW w:type="dxa" w:w="1550"/>
            <w:tcMar>
              <w:top w:w="80" w:type="dxa"/>
              <w:start w:w="120" w:type="dxa"/>
              <w:bottom w:w="80" w:type="dxa"/>
              <w:end w:w="120" w:type="dxa"/>
            </w:tcMar>
            <w:vAlign w:val="center"/>
          </w:tcPr>
          <w:p>
            <w:pPr>
              <w:spacing w:after="0" w:line="252" w:lineRule="auto"/>
            </w:pPr>
            <w:r>
              <w:rPr>
                <w:rFonts w:ascii="Calibri" w:hAnsi="Calibri"/>
                <w:b w:val="0"/>
                <w:i w:val="0"/>
                <w:color w:val="000000"/>
                <w:sz w:val="18"/>
              </w:rPr>
              <w:t>Outcomes</w:t>
            </w:r>
          </w:p>
        </w:tc>
        <w:tc>
          <w:tcPr>
            <w:tcW w:type="dxa" w:w="3270"/>
            <w:tcMar>
              <w:top w:w="80" w:type="dxa"/>
              <w:start w:w="120" w:type="dxa"/>
              <w:bottom w:w="80" w:type="dxa"/>
              <w:end w:w="120" w:type="dxa"/>
            </w:tcMar>
            <w:vAlign w:val="center"/>
          </w:tcPr>
          <w:p>
            <w:pPr>
              <w:spacing w:after="0" w:line="252" w:lineRule="auto"/>
            </w:pPr>
            <w:r>
              <w:rPr>
                <w:rFonts w:ascii="Calibri" w:hAnsi="Calibri"/>
                <w:b w:val="0"/>
                <w:i w:val="0"/>
                <w:color w:val="000000"/>
                <w:sz w:val="18"/>
              </w:rPr>
              <w:t>Completed/cancelled/no-show; check-in/seated/completed timing</w:t>
            </w:r>
          </w:p>
        </w:tc>
        <w:tc>
          <w:tcPr>
            <w:tcW w:type="dxa" w:w="2730"/>
            <w:tcMar>
              <w:top w:w="80" w:type="dxa"/>
              <w:start w:w="120" w:type="dxa"/>
              <w:bottom w:w="80" w:type="dxa"/>
              <w:end w:w="120" w:type="dxa"/>
            </w:tcMar>
            <w:vAlign w:val="center"/>
          </w:tcPr>
          <w:p>
            <w:pPr>
              <w:spacing w:after="0" w:line="252" w:lineRule="auto"/>
            </w:pPr>
            <w:r>
              <w:rPr>
                <w:rFonts w:ascii="Calibri" w:hAnsi="Calibri"/>
                <w:b w:val="0"/>
                <w:i w:val="0"/>
                <w:color w:val="000000"/>
                <w:sz w:val="18"/>
              </w:rPr>
              <w:t>Adjusts for attendance and assesses throughput.</w:t>
            </w:r>
          </w:p>
        </w:tc>
        <w:tc>
          <w:tcPr>
            <w:tcW w:type="dxa" w:w="1810"/>
            <w:tcMar>
              <w:top w:w="80" w:type="dxa"/>
              <w:start w:w="120" w:type="dxa"/>
              <w:bottom w:w="80" w:type="dxa"/>
              <w:end w:w="120" w:type="dxa"/>
            </w:tcMar>
            <w:vAlign w:val="center"/>
          </w:tcPr>
          <w:p>
            <w:pPr>
              <w:spacing w:after="0" w:line="252" w:lineRule="auto"/>
            </w:pPr>
            <w:r>
              <w:rPr>
                <w:rFonts w:ascii="Calibri" w:hAnsi="Calibri"/>
                <w:b w:val="0"/>
                <w:i w:val="0"/>
                <w:color w:val="000000"/>
                <w:sz w:val="18"/>
              </w:rPr>
              <w:t>Use scenario ranges rather than a point estimate.</w:t>
            </w:r>
          </w:p>
        </w:tc>
      </w:tr>
    </w:tbl>
    <w:p>
      <w:pPr>
        <w:spacing w:after="20"/>
      </w:pPr>
    </w:p>
    <w:p>
      <w:pPr>
        <w:pStyle w:val="Heading2"/>
      </w:pPr>
      <w:r>
        <w:t>Data-quality gates</w:t>
      </w:r>
    </w:p>
    <w:p>
      <w:pPr>
        <w:numPr>
          <w:ilvl w:val="0"/>
          <w:numId w:val="40"/>
        </w:numPr>
      </w:pPr>
      <w:r>
        <w:rPr>
          <w:rFonts w:ascii="Calibri" w:hAnsi="Calibri"/>
          <w:b w:val="0"/>
          <w:i w:val="0"/>
          <w:color w:val="000000"/>
          <w:sz w:val="22"/>
        </w:rPr>
        <w:t>Every appointment has a valid start before end, timezone, procedure, and provider/resource assignment.</w:t>
      </w:r>
    </w:p>
    <w:p>
      <w:pPr>
        <w:numPr>
          <w:ilvl w:val="0"/>
          <w:numId w:val="40"/>
        </w:numPr>
      </w:pPr>
      <w:r>
        <w:rPr>
          <w:rFonts w:ascii="Calibri" w:hAnsi="Calibri"/>
          <w:b w:val="0"/>
          <w:i w:val="0"/>
          <w:color w:val="000000"/>
          <w:sz w:val="22"/>
        </w:rPr>
        <w:t>Request creation time precedes booking time; availability does not extend beyond what the patient provided.</w:t>
      </w:r>
    </w:p>
    <w:p>
      <w:pPr>
        <w:numPr>
          <w:ilvl w:val="0"/>
          <w:numId w:val="40"/>
        </w:numPr>
      </w:pPr>
      <w:r>
        <w:rPr>
          <w:rFonts w:ascii="Calibri" w:hAnsi="Calibri"/>
          <w:b w:val="0"/>
          <w:i w:val="0"/>
          <w:color w:val="000000"/>
          <w:sz w:val="22"/>
        </w:rPr>
        <w:t>Procedure durations and resource rules use a named policy version.</w:t>
      </w:r>
    </w:p>
    <w:p>
      <w:pPr>
        <w:numPr>
          <w:ilvl w:val="0"/>
          <w:numId w:val="40"/>
        </w:numPr>
      </w:pPr>
      <w:r>
        <w:rPr>
          <w:rFonts w:ascii="Calibri" w:hAnsi="Calibri"/>
          <w:b w:val="0"/>
          <w:i w:val="0"/>
          <w:color w:val="000000"/>
          <w:sz w:val="22"/>
        </w:rPr>
        <w:t>Duplicate records, impossible overlaps, missing statuses, and outliers are quantified before simulation.</w:t>
      </w:r>
    </w:p>
    <w:p>
      <w:pPr>
        <w:numPr>
          <w:ilvl w:val="0"/>
          <w:numId w:val="40"/>
        </w:numPr>
      </w:pPr>
      <w:r>
        <w:rPr>
          <w:rFonts w:ascii="Calibri" w:hAnsi="Calibri"/>
          <w:b w:val="0"/>
          <w:i w:val="0"/>
          <w:color w:val="000000"/>
          <w:sz w:val="22"/>
        </w:rPr>
        <w:t>The study dataset contains no names, MRNs, contact details, birth dates, or unnecessary narrative.</w:t>
      </w:r>
    </w:p>
    <w:p>
      <w:pPr>
        <w:numPr>
          <w:ilvl w:val="0"/>
          <w:numId w:val="40"/>
        </w:numPr>
      </w:pPr>
      <w:r>
        <w:rPr>
          <w:rFonts w:ascii="Calibri" w:hAnsi="Calibri"/>
          <w:b w:val="0"/>
          <w:i w:val="0"/>
          <w:color w:val="000000"/>
          <w:sz w:val="22"/>
        </w:rPr>
        <w:t>All exclusions and imputations are recorded and included in the final limitations section.</w:t>
      </w:r>
    </w:p>
    <w:p>
      <w:pPr>
        <w:pStyle w:val="Heading1"/>
      </w:pPr>
      <w:r>
        <w:t>5. Simulation procedure</w:t>
      </w:r>
    </w:p>
    <w:p>
      <w:pPr>
        <w:numPr>
          <w:ilvl w:val="0"/>
          <w:numId w:val="41"/>
        </w:numPr>
      </w:pPr>
      <w:r>
        <w:rPr>
          <w:rFonts w:ascii="Calibri" w:hAnsi="Calibri"/>
          <w:b w:val="0"/>
          <w:i w:val="0"/>
          <w:color w:val="000000"/>
          <w:sz w:val="22"/>
        </w:rPr>
        <w:t>Freeze the study protocol, analysis window, policy version, financial assumptions, and acceptance thresholds before inspecting outcomes.</w:t>
      </w:r>
    </w:p>
    <w:p>
      <w:pPr>
        <w:numPr>
          <w:ilvl w:val="0"/>
          <w:numId w:val="41"/>
        </w:numPr>
      </w:pPr>
      <w:r>
        <w:rPr>
          <w:rFonts w:ascii="Calibri" w:hAnsi="Calibri"/>
          <w:b w:val="0"/>
          <w:i w:val="0"/>
          <w:color w:val="000000"/>
          <w:sz w:val="22"/>
        </w:rPr>
        <w:t>Create the de-identified study extract and produce a data-quality report. Resolve only documented defects; retain an immutable input snapshot.</w:t>
      </w:r>
    </w:p>
    <w:p>
      <w:pPr>
        <w:numPr>
          <w:ilvl w:val="0"/>
          <w:numId w:val="41"/>
        </w:numPr>
      </w:pPr>
      <w:r>
        <w:rPr>
          <w:rFonts w:ascii="Calibri" w:hAnsi="Calibri"/>
          <w:b w:val="0"/>
          <w:i w:val="0"/>
          <w:color w:val="000000"/>
          <w:sz w:val="22"/>
        </w:rPr>
        <w:t>Reconstruct the observed baseline by day, provider, room, equipment unit, and procedure, including cancellations and no-shows.</w:t>
      </w:r>
    </w:p>
    <w:p>
      <w:pPr>
        <w:numPr>
          <w:ilvl w:val="0"/>
          <w:numId w:val="41"/>
        </w:numPr>
      </w:pPr>
      <w:r>
        <w:rPr>
          <w:rFonts w:ascii="Calibri" w:hAnsi="Calibri"/>
          <w:b w:val="0"/>
          <w:i w:val="0"/>
          <w:color w:val="000000"/>
          <w:sz w:val="22"/>
        </w:rPr>
        <w:t>Run the chronological replay. At each request time, keep all prior bookings locked, generate feasible candidates, and apply a fixed candidate-selection rule.</w:t>
      </w:r>
    </w:p>
    <w:p>
      <w:pPr>
        <w:numPr>
          <w:ilvl w:val="0"/>
          <w:numId w:val="41"/>
        </w:numPr>
      </w:pPr>
      <w:r>
        <w:rPr>
          <w:rFonts w:ascii="Calibri" w:hAnsi="Calibri"/>
          <w:b w:val="0"/>
          <w:i w:val="0"/>
          <w:color w:val="000000"/>
          <w:sz w:val="22"/>
        </w:rPr>
        <w:t>Run the full-period refactor separately. Preserve clinical/resource constraints and patient availability, but label every moved historical visit as hypothetical.</w:t>
      </w:r>
    </w:p>
    <w:p>
      <w:pPr>
        <w:numPr>
          <w:ilvl w:val="0"/>
          <w:numId w:val="41"/>
        </w:numPr>
      </w:pPr>
      <w:r>
        <w:rPr>
          <w:rFonts w:ascii="Calibri" w:hAnsi="Calibri"/>
          <w:b w:val="0"/>
          <w:i w:val="0"/>
          <w:color w:val="000000"/>
          <w:sz w:val="22"/>
        </w:rPr>
        <w:t>Match each newly created feasible opening to demand that was known and eligible at that time. Do not count empty capacity as an added patient.</w:t>
      </w:r>
    </w:p>
    <w:p>
      <w:pPr>
        <w:numPr>
          <w:ilvl w:val="0"/>
          <w:numId w:val="41"/>
        </w:numPr>
      </w:pPr>
      <w:r>
        <w:rPr>
          <w:rFonts w:ascii="Calibri" w:hAnsi="Calibri"/>
          <w:b w:val="0"/>
          <w:i w:val="0"/>
          <w:color w:val="000000"/>
          <w:sz w:val="22"/>
        </w:rPr>
        <w:t>Calculate capacity, access, operational, financial, safety, and fairness metrics for each lane and for key procedure/provider segments.</w:t>
      </w:r>
    </w:p>
    <w:p>
      <w:pPr>
        <w:numPr>
          <w:ilvl w:val="0"/>
          <w:numId w:val="41"/>
        </w:numPr>
      </w:pPr>
      <w:r>
        <w:rPr>
          <w:rFonts w:ascii="Calibri" w:hAnsi="Calibri"/>
          <w:b w:val="0"/>
          <w:i w:val="0"/>
          <w:color w:val="000000"/>
          <w:sz w:val="22"/>
        </w:rPr>
        <w:t>Repeat using conservative, expected, and optimistic assumptions; bootstrap days or weeks where sample volume permits.</w:t>
      </w:r>
    </w:p>
    <w:p>
      <w:pPr>
        <w:numPr>
          <w:ilvl w:val="0"/>
          <w:numId w:val="41"/>
        </w:numPr>
      </w:pPr>
      <w:r>
        <w:rPr>
          <w:rFonts w:ascii="Calibri" w:hAnsi="Calibri"/>
          <w:b w:val="0"/>
          <w:i w:val="0"/>
          <w:color w:val="000000"/>
          <w:sz w:val="22"/>
        </w:rPr>
        <w:t>Review exceptions with scheduling and clinical owners, document limitations, and obtain sign-off before externalizing a claim.</w:t>
      </w:r>
    </w:p>
    <w:p>
      <w:pPr>
        <w:pStyle w:val="Heading2"/>
      </w:pPr>
      <w:r>
        <w:t>Candidate-selection policy</w:t>
      </w:r>
    </w:p>
    <w:p>
      <w:pPr>
        <w:spacing w:after="120"/>
      </w:pPr>
      <w:r>
        <w:rPr>
          <w:rFonts w:ascii="Calibri" w:hAnsi="Calibri"/>
          <w:b w:val="0"/>
          <w:i w:val="0"/>
          <w:color w:val="000000"/>
          <w:sz w:val="22"/>
        </w:rPr>
        <w:t>The replay must use a declared decision rule—for example, select the highest-ranked feasible candidate accepted by the simulated patient preference model. If historical acceptance behavior is unknown, report at least two cases: perfect acceptance as an upper bound and an evidence-based or conservative acceptance rate.</w:t>
      </w:r>
    </w:p>
    <w:p>
      <w:pPr>
        <w:pStyle w:val="Heading1"/>
      </w:pPr>
      <w:r>
        <w:t>6. Capacity conversion framework</w:t>
      </w:r>
    </w:p>
    <w:p>
      <w:pPr>
        <w:spacing w:before="160" w:after="200"/>
        <w:ind w:left="259" w:right="173"/>
        <w:shd w:fill="F4F6F9"/>
        <w:pBdr>
          <w:left w:val="single" w:sz="18" w:color="2E74B5"/>
        </w:pBdr>
      </w:pPr>
      <w:r>
        <w:rPr>
          <w:rFonts w:ascii="Calibri" w:hAnsi="Calibri"/>
          <w:b/>
          <w:i w:val="0"/>
          <w:color w:val="1F4D78"/>
          <w:sz w:val="22"/>
        </w:rPr>
        <w:t xml:space="preserve">Do not equate minutes with patients  </w:t>
      </w:r>
      <w:r>
        <w:rPr>
          <w:rFonts w:ascii="Calibri" w:hAnsi="Calibri"/>
          <w:b w:val="0"/>
          <w:i w:val="0"/>
          <w:color w:val="172B4D"/>
          <w:sz w:val="22"/>
        </w:rPr>
        <w:t>Optimization value appears when scattered idle time becomes a contiguous, resource-complete opening that fits a real eligible request. The conversion funnel below prevents overstating impact.</w:t>
      </w:r>
    </w:p>
    <w:p>
      <w:pPr>
        <w:numPr>
          <w:ilvl w:val="0"/>
          <w:numId w:val="41"/>
        </w:numPr>
      </w:pPr>
      <w:r>
        <w:rPr>
          <w:rFonts w:ascii="Calibri" w:hAnsi="Calibri"/>
          <w:b w:val="0"/>
          <w:i w:val="0"/>
          <w:color w:val="000000"/>
          <w:sz w:val="22"/>
        </w:rPr>
        <w:t>Recovered chair or provider minutes relative to the observed baseline.</w:t>
      </w:r>
    </w:p>
    <w:p>
      <w:pPr>
        <w:numPr>
          <w:ilvl w:val="0"/>
          <w:numId w:val="41"/>
        </w:numPr>
      </w:pPr>
      <w:r>
        <w:rPr>
          <w:rFonts w:ascii="Calibri" w:hAnsi="Calibri"/>
          <w:b w:val="0"/>
          <w:i w:val="0"/>
          <w:color w:val="000000"/>
          <w:sz w:val="22"/>
        </w:rPr>
        <w:t>Contiguous bookable openings after procedure duration, buffers, phases, operating hours, and overtime limits.</w:t>
      </w:r>
    </w:p>
    <w:p>
      <w:pPr>
        <w:numPr>
          <w:ilvl w:val="0"/>
          <w:numId w:val="41"/>
        </w:numPr>
      </w:pPr>
      <w:r>
        <w:rPr>
          <w:rFonts w:ascii="Calibri" w:hAnsi="Calibri"/>
          <w:b w:val="0"/>
          <w:i w:val="0"/>
          <w:color w:val="000000"/>
          <w:sz w:val="22"/>
        </w:rPr>
        <w:t>Resource-complete openings with the correct dentist, support staff, room, equipment, and supervision capacity.</w:t>
      </w:r>
    </w:p>
    <w:p>
      <w:pPr>
        <w:numPr>
          <w:ilvl w:val="0"/>
          <w:numId w:val="41"/>
        </w:numPr>
      </w:pPr>
      <w:r>
        <w:rPr>
          <w:rFonts w:ascii="Calibri" w:hAnsi="Calibri"/>
          <w:b w:val="0"/>
          <w:i w:val="0"/>
          <w:color w:val="000000"/>
          <w:sz w:val="22"/>
        </w:rPr>
        <w:t>Demand-matched openings for a request available at that time and willing to accept the option.</w:t>
      </w:r>
    </w:p>
    <w:p>
      <w:pPr>
        <w:numPr>
          <w:ilvl w:val="0"/>
          <w:numId w:val="41"/>
        </w:numPr>
      </w:pPr>
      <w:r>
        <w:rPr>
          <w:rFonts w:ascii="Calibri" w:hAnsi="Calibri"/>
          <w:b w:val="0"/>
          <w:i w:val="0"/>
          <w:color w:val="000000"/>
          <w:sz w:val="22"/>
        </w:rPr>
        <w:t>Scheduled additional appointments after collision and confirmation rechecks.</w:t>
      </w:r>
    </w:p>
    <w:p>
      <w:pPr>
        <w:numPr>
          <w:ilvl w:val="0"/>
          <w:numId w:val="41"/>
        </w:numPr>
      </w:pPr>
      <w:r>
        <w:rPr>
          <w:rFonts w:ascii="Calibri" w:hAnsi="Calibri"/>
          <w:b w:val="0"/>
          <w:i w:val="0"/>
          <w:color w:val="000000"/>
          <w:sz w:val="22"/>
        </w:rPr>
        <w:t>Expected completed visits after cancellation and no-show adjustment.</w:t>
      </w:r>
    </w:p>
    <w:p>
      <w:pPr>
        <w:numPr>
          <w:ilvl w:val="0"/>
          <w:numId w:val="41"/>
        </w:numPr>
      </w:pPr>
      <w:r>
        <w:rPr>
          <w:rFonts w:ascii="Calibri" w:hAnsi="Calibri"/>
          <w:b w:val="0"/>
          <w:i w:val="0"/>
          <w:color w:val="000000"/>
          <w:sz w:val="22"/>
        </w:rPr>
        <w:t>Expected collections and contribution margin after payer/collection and incremental-cost assumptions.</w:t>
      </w:r>
    </w:p>
    <w:p>
      <w:pPr>
        <w:pStyle w:val="Heading1"/>
      </w:pPr>
      <w:r>
        <w:t>7. Metrics and acceptance gates</w:t>
      </w:r>
    </w:p>
    <w:tbl>
      <w:tblPr>
        <w:tblStyle w:val="TableGrid"/>
        <w:tblW w:type="dxa" w:w="9360"/>
        <w:jc w:val="left"/>
        <w:tblLayout w:type="fixed"/>
        <w:tblLook w:firstColumn="1" w:firstRow="1" w:lastColumn="0" w:lastRow="0" w:noHBand="0" w:noVBand="1" w:val="04A0"/>
        <w:tblInd w:w="120" w:type="dxa"/>
      </w:tblPr>
      <w:tblGrid>
        <w:gridCol w:w="1450"/>
        <w:gridCol w:w="2850"/>
        <w:gridCol w:w="1830"/>
        <w:gridCol w:w="3230"/>
      </w:tblGrid>
      <w:tr>
        <w:trPr>
          <w:tblHeader/>
        </w:trPr>
        <w:tc>
          <w:tcPr>
            <w:tcW w:type="dxa" w:w="1450"/>
            <w:shd w:fill="F2F4F7"/>
            <w:tcMar>
              <w:top w:w="80" w:type="dxa"/>
              <w:start w:w="120" w:type="dxa"/>
              <w:bottom w:w="80" w:type="dxa"/>
              <w:end w:w="120" w:type="dxa"/>
            </w:tcMar>
            <w:vAlign w:val="center"/>
          </w:tcPr>
          <w:p>
            <w:pPr>
              <w:spacing w:after="0"/>
            </w:pPr>
            <w:r>
              <w:rPr>
                <w:rFonts w:ascii="Calibri" w:hAnsi="Calibri"/>
                <w:b/>
                <w:i w:val="0"/>
                <w:color w:val="172B4D"/>
                <w:sz w:val="19"/>
              </w:rPr>
              <w:t>Category</w:t>
            </w:r>
          </w:p>
        </w:tc>
        <w:tc>
          <w:tcPr>
            <w:tcW w:type="dxa" w:w="2850"/>
            <w:shd w:fill="F2F4F7"/>
            <w:tcMar>
              <w:top w:w="80" w:type="dxa"/>
              <w:start w:w="120" w:type="dxa"/>
              <w:bottom w:w="80" w:type="dxa"/>
              <w:end w:w="120" w:type="dxa"/>
            </w:tcMar>
            <w:vAlign w:val="center"/>
          </w:tcPr>
          <w:p>
            <w:pPr>
              <w:spacing w:after="0"/>
            </w:pPr>
            <w:r>
              <w:rPr>
                <w:rFonts w:ascii="Calibri" w:hAnsi="Calibri"/>
                <w:b/>
                <w:i w:val="0"/>
                <w:color w:val="172B4D"/>
                <w:sz w:val="19"/>
              </w:rPr>
              <w:t>Primary metric</w:t>
            </w:r>
          </w:p>
        </w:tc>
        <w:tc>
          <w:tcPr>
            <w:tcW w:type="dxa" w:w="1830"/>
            <w:shd w:fill="F2F4F7"/>
            <w:tcMar>
              <w:top w:w="80" w:type="dxa"/>
              <w:start w:w="120" w:type="dxa"/>
              <w:bottom w:w="80" w:type="dxa"/>
              <w:end w:w="120" w:type="dxa"/>
            </w:tcMar>
            <w:vAlign w:val="center"/>
          </w:tcPr>
          <w:p>
            <w:pPr>
              <w:spacing w:after="0"/>
            </w:pPr>
            <w:r>
              <w:rPr>
                <w:rFonts w:ascii="Calibri" w:hAnsi="Calibri"/>
                <w:b/>
                <w:i w:val="0"/>
                <w:color w:val="172B4D"/>
                <w:sz w:val="19"/>
              </w:rPr>
              <w:t>Comparison</w:t>
            </w:r>
          </w:p>
        </w:tc>
        <w:tc>
          <w:tcPr>
            <w:tcW w:type="dxa" w:w="3230"/>
            <w:shd w:fill="F2F4F7"/>
            <w:tcMar>
              <w:top w:w="80" w:type="dxa"/>
              <w:start w:w="120" w:type="dxa"/>
              <w:bottom w:w="80" w:type="dxa"/>
              <w:end w:w="120" w:type="dxa"/>
            </w:tcMar>
            <w:vAlign w:val="center"/>
          </w:tcPr>
          <w:p>
            <w:pPr>
              <w:spacing w:after="0"/>
            </w:pPr>
            <w:r>
              <w:rPr>
                <w:rFonts w:ascii="Calibri" w:hAnsi="Calibri"/>
                <w:b/>
                <w:i w:val="0"/>
                <w:color w:val="172B4D"/>
                <w:sz w:val="19"/>
              </w:rPr>
              <w:t>Required interpretation</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Safety</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Resource conflicts; unauthorized moves</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All lanes</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Must remain zero; any breach invalidates the run.</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Capacity</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Bookable resource-complete minutes; contiguous openings</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 vs baseline</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Report by duration band and procedure compatibility.</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Throughput</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Additional scheduled and expected completed visits</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 vs baseline</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Must be linked to eligible demand.</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Access</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Median/p90 days to appointment; urgent-window attainment</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 vs baseline</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Segment by procedure and approved priority.</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Operations</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Chair/provider utilization; overtime; workload spread</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 vs baseline</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Uplift cannot rely on unsafe load or hidden overtime.</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Economics</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Incremental production, collections, and contribution margin</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Replay vs baseline</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Show assumptions and confidence/sensitivity range.</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Upper bound</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Gap between refactor and chronological replay</w:t>
            </w:r>
          </w:p>
        </w:tc>
        <w:tc>
          <w:tcPr>
            <w:tcW w:type="dxa" w:w="1830"/>
            <w:tcMar>
              <w:top w:w="80" w:type="dxa"/>
              <w:start w:w="120" w:type="dxa"/>
              <w:bottom w:w="80" w:type="dxa"/>
              <w:end w:w="120" w:type="dxa"/>
            </w:tcMar>
            <w:vAlign w:val="center"/>
          </w:tcPr>
          <w:p>
            <w:pPr>
              <w:spacing w:after="0" w:line="252" w:lineRule="auto"/>
            </w:pPr>
            <w:r>
              <w:rPr>
                <w:rFonts w:ascii="Calibri" w:hAnsi="Calibri"/>
                <w:b w:val="0"/>
                <w:i w:val="0"/>
                <w:color w:val="000000"/>
                <w:sz w:val="18"/>
              </w:rPr>
              <w:t>Lane C vs B</w:t>
            </w:r>
          </w:p>
        </w:tc>
        <w:tc>
          <w:tcPr>
            <w:tcW w:type="dxa" w:w="3230"/>
            <w:tcMar>
              <w:top w:w="80" w:type="dxa"/>
              <w:start w:w="120" w:type="dxa"/>
              <w:bottom w:w="80" w:type="dxa"/>
              <w:end w:w="120" w:type="dxa"/>
            </w:tcMar>
            <w:vAlign w:val="center"/>
          </w:tcPr>
          <w:p>
            <w:pPr>
              <w:spacing w:after="0" w:line="252" w:lineRule="auto"/>
            </w:pPr>
            <w:r>
              <w:rPr>
                <w:rFonts w:ascii="Calibri" w:hAnsi="Calibri"/>
                <w:b w:val="0"/>
                <w:i w:val="0"/>
                <w:color w:val="000000"/>
                <w:sz w:val="18"/>
              </w:rPr>
              <w:t>Represents hindsight/consent opportunity, not current product value.</w:t>
            </w:r>
          </w:p>
        </w:tc>
      </w:tr>
    </w:tbl>
    <w:p>
      <w:pPr>
        <w:spacing w:after="20"/>
      </w:pPr>
    </w:p>
    <w:p>
      <w:pPr>
        <w:pStyle w:val="Heading2"/>
      </w:pPr>
      <w:r>
        <w:t>Suggested first-study gates</w:t>
      </w:r>
    </w:p>
    <w:p>
      <w:pPr>
        <w:numPr>
          <w:ilvl w:val="0"/>
          <w:numId w:val="40"/>
        </w:numPr>
      </w:pPr>
      <w:r>
        <w:rPr>
          <w:rFonts w:ascii="Calibri" w:hAnsi="Calibri"/>
          <w:b w:val="0"/>
          <w:i w:val="0"/>
          <w:color w:val="000000"/>
          <w:sz w:val="22"/>
        </w:rPr>
        <w:t>Zero hard-constraint violations and zero unauthorized appointment moves.</w:t>
      </w:r>
    </w:p>
    <w:p>
      <w:pPr>
        <w:numPr>
          <w:ilvl w:val="0"/>
          <w:numId w:val="40"/>
        </w:numPr>
      </w:pPr>
      <w:r>
        <w:rPr>
          <w:rFonts w:ascii="Calibri" w:hAnsi="Calibri"/>
          <w:b w:val="0"/>
          <w:i w:val="0"/>
          <w:color w:val="000000"/>
          <w:sz w:val="22"/>
        </w:rPr>
        <w:t>Every claimed additional visit maps to one eligible request and a complete resource plan.</w:t>
      </w:r>
    </w:p>
    <w:p>
      <w:pPr>
        <w:numPr>
          <w:ilvl w:val="0"/>
          <w:numId w:val="40"/>
        </w:numPr>
      </w:pPr>
      <w:r>
        <w:rPr>
          <w:rFonts w:ascii="Calibri" w:hAnsi="Calibri"/>
          <w:b w:val="0"/>
          <w:i w:val="0"/>
          <w:color w:val="000000"/>
          <w:sz w:val="22"/>
        </w:rPr>
        <w:t>No material increase in unapproved overtime, provider concurrency, or inequitable wait outcomes.</w:t>
      </w:r>
    </w:p>
    <w:p>
      <w:pPr>
        <w:numPr>
          <w:ilvl w:val="0"/>
          <w:numId w:val="40"/>
        </w:numPr>
      </w:pPr>
      <w:r>
        <w:rPr>
          <w:rFonts w:ascii="Calibri" w:hAnsi="Calibri"/>
          <w:b w:val="0"/>
          <w:i w:val="0"/>
          <w:color w:val="000000"/>
          <w:sz w:val="22"/>
        </w:rPr>
        <w:t>Positive expected contribution margin in the conservative scenario before claiming financial value.</w:t>
      </w:r>
    </w:p>
    <w:p>
      <w:pPr>
        <w:numPr>
          <w:ilvl w:val="0"/>
          <w:numId w:val="40"/>
        </w:numPr>
      </w:pPr>
      <w:r>
        <w:rPr>
          <w:rFonts w:ascii="Calibri" w:hAnsi="Calibri"/>
          <w:b w:val="0"/>
          <w:i w:val="0"/>
          <w:color w:val="000000"/>
          <w:sz w:val="22"/>
        </w:rPr>
        <w:t>Results remain directionally positive after excluding the strongest day and varying attendance, collection, and acceptance assumptions.</w:t>
      </w:r>
    </w:p>
    <w:p>
      <w:pPr>
        <w:pStyle w:val="Heading1"/>
      </w:pPr>
      <w:r>
        <w:t>8. Financial impact model</w:t>
      </w:r>
    </w:p>
    <w:tbl>
      <w:tblPr>
        <w:tblStyle w:val="TableGrid"/>
        <w:tblW w:type="dxa" w:w="9360"/>
        <w:jc w:val="left"/>
        <w:tblLayout w:type="fixed"/>
        <w:tblLook w:firstColumn="1" w:firstRow="1" w:lastColumn="0" w:lastRow="0" w:noHBand="0" w:noVBand="1" w:val="04A0"/>
        <w:tblInd w:w="120" w:type="dxa"/>
      </w:tblPr>
      <w:tblGrid>
        <w:gridCol w:w="2000"/>
        <w:gridCol w:w="4350"/>
        <w:gridCol w:w="3010"/>
      </w:tblGrid>
      <w:tr>
        <w:trPr>
          <w:tblHeader/>
        </w:trPr>
        <w:tc>
          <w:tcPr>
            <w:tcW w:type="dxa" w:w="2000"/>
            <w:shd w:fill="F2F4F7"/>
            <w:tcMar>
              <w:top w:w="80" w:type="dxa"/>
              <w:start w:w="120" w:type="dxa"/>
              <w:bottom w:w="80" w:type="dxa"/>
              <w:end w:w="120" w:type="dxa"/>
            </w:tcMar>
            <w:vAlign w:val="center"/>
          </w:tcPr>
          <w:p>
            <w:pPr>
              <w:spacing w:after="0"/>
            </w:pPr>
            <w:r>
              <w:rPr>
                <w:rFonts w:ascii="Calibri" w:hAnsi="Calibri"/>
                <w:b/>
                <w:i w:val="0"/>
                <w:color w:val="172B4D"/>
                <w:sz w:val="19"/>
              </w:rPr>
              <w:t>Measure</w:t>
            </w:r>
          </w:p>
        </w:tc>
        <w:tc>
          <w:tcPr>
            <w:tcW w:type="dxa" w:w="4350"/>
            <w:shd w:fill="F2F4F7"/>
            <w:tcMar>
              <w:top w:w="80" w:type="dxa"/>
              <w:start w:w="120" w:type="dxa"/>
              <w:bottom w:w="80" w:type="dxa"/>
              <w:end w:w="120" w:type="dxa"/>
            </w:tcMar>
            <w:vAlign w:val="center"/>
          </w:tcPr>
          <w:p>
            <w:pPr>
              <w:spacing w:after="0"/>
            </w:pPr>
            <w:r>
              <w:rPr>
                <w:rFonts w:ascii="Calibri" w:hAnsi="Calibri"/>
                <w:b/>
                <w:i w:val="0"/>
                <w:color w:val="172B4D"/>
                <w:sz w:val="19"/>
              </w:rPr>
              <w:t>Formula</w:t>
            </w:r>
          </w:p>
        </w:tc>
        <w:tc>
          <w:tcPr>
            <w:tcW w:type="dxa" w:w="3010"/>
            <w:shd w:fill="F2F4F7"/>
            <w:tcMar>
              <w:top w:w="80" w:type="dxa"/>
              <w:start w:w="120" w:type="dxa"/>
              <w:bottom w:w="80" w:type="dxa"/>
              <w:end w:w="120" w:type="dxa"/>
            </w:tcMar>
            <w:vAlign w:val="center"/>
          </w:tcPr>
          <w:p>
            <w:pPr>
              <w:spacing w:after="0"/>
            </w:pPr>
            <w:r>
              <w:rPr>
                <w:rFonts w:ascii="Calibri" w:hAnsi="Calibri"/>
                <w:b/>
                <w:i w:val="0"/>
                <w:color w:val="172B4D"/>
                <w:sz w:val="19"/>
              </w:rPr>
              <w:t>Use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Incremental scheduled production</w:t>
            </w:r>
          </w:p>
        </w:tc>
        <w:tc>
          <w:tcPr>
            <w:tcW w:type="dxa" w:w="4350"/>
            <w:tcMar>
              <w:top w:w="80" w:type="dxa"/>
              <w:start w:w="120" w:type="dxa"/>
              <w:bottom w:w="80" w:type="dxa"/>
              <w:end w:w="120" w:type="dxa"/>
            </w:tcMar>
            <w:vAlign w:val="center"/>
          </w:tcPr>
          <w:p>
            <w:pPr>
              <w:spacing w:after="0" w:line="252" w:lineRule="auto"/>
            </w:pPr>
            <w:r>
              <w:rPr>
                <w:rFonts w:ascii="Calibri" w:hAnsi="Calibri"/>
                <w:b w:val="0"/>
                <w:i w:val="0"/>
                <w:color w:val="000000"/>
                <w:sz w:val="18"/>
              </w:rPr>
              <w:t>Σ additional scheduled visits × approved procedure production value</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8"/>
              </w:rPr>
              <w:t>Operational production potential; not cash revenue.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completed production</w:t>
            </w:r>
          </w:p>
        </w:tc>
        <w:tc>
          <w:tcPr>
            <w:tcW w:type="dxa" w:w="4350"/>
            <w:tcMar>
              <w:top w:w="80" w:type="dxa"/>
              <w:start w:w="120" w:type="dxa"/>
              <w:bottom w:w="80" w:type="dxa"/>
              <w:end w:w="120" w:type="dxa"/>
            </w:tcMar>
            <w:vAlign w:val="center"/>
          </w:tcPr>
          <w:p>
            <w:pPr>
              <w:spacing w:after="0" w:line="252" w:lineRule="auto"/>
            </w:pPr>
            <w:r>
              <w:rPr>
                <w:rFonts w:ascii="Calibri" w:hAnsi="Calibri"/>
                <w:b w:val="0"/>
                <w:i w:val="0"/>
                <w:color w:val="000000"/>
                <w:sz w:val="18"/>
              </w:rPr>
              <w:t>Σ production value × acceptance probability × show probability</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8"/>
              </w:rPr>
              <w:t>Adjusts for whether an offered slot is accepted and attended.</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collections</w:t>
            </w:r>
          </w:p>
        </w:tc>
        <w:tc>
          <w:tcPr>
            <w:tcW w:type="dxa" w:w="4350"/>
            <w:tcMar>
              <w:top w:w="80" w:type="dxa"/>
              <w:start w:w="120" w:type="dxa"/>
              <w:bottom w:w="80" w:type="dxa"/>
              <w:end w:w="120" w:type="dxa"/>
            </w:tcMar>
            <w:vAlign w:val="center"/>
          </w:tcPr>
          <w:p>
            <w:pPr>
              <w:spacing w:after="0" w:line="252" w:lineRule="auto"/>
            </w:pPr>
            <w:r>
              <w:rPr>
                <w:rFonts w:ascii="Calibri" w:hAnsi="Calibri"/>
                <w:b w:val="0"/>
                <w:i w:val="0"/>
                <w:color w:val="000000"/>
                <w:sz w:val="18"/>
              </w:rPr>
              <w:t>Σ expected completed production × collection rate</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8"/>
              </w:rPr>
              <w:t>Best revenue proxy when payer/payment detail is unavailable.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Contribution margin</w:t>
            </w:r>
          </w:p>
        </w:tc>
        <w:tc>
          <w:tcPr>
            <w:tcW w:type="dxa" w:w="435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collections − incremental variable supplies − incremental labor/overtime</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8"/>
              </w:rPr>
              <w:t>Economic benefit available before fixed costs and software price.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Value per optimized day</w:t>
            </w:r>
          </w:p>
        </w:tc>
        <w:tc>
          <w:tcPr>
            <w:tcW w:type="dxa" w:w="4350"/>
            <w:tcMar>
              <w:top w:w="80" w:type="dxa"/>
              <w:start w:w="120" w:type="dxa"/>
              <w:bottom w:w="80" w:type="dxa"/>
              <w:end w:w="120" w:type="dxa"/>
            </w:tcMar>
            <w:vAlign w:val="center"/>
          </w:tcPr>
          <w:p>
            <w:pPr>
              <w:spacing w:after="0" w:line="252" w:lineRule="auto"/>
            </w:pPr>
            <w:r>
              <w:rPr>
                <w:rFonts w:ascii="Calibri" w:hAnsi="Calibri"/>
                <w:b w:val="0"/>
                <w:i w:val="0"/>
                <w:color w:val="000000"/>
                <w:sz w:val="18"/>
              </w:rPr>
              <w:t>Incremental contribution margin ÷ comparable operating days</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8"/>
              </w:rPr>
              <w:t>Supports practice-level annual scenarios.</w:t>
            </w:r>
          </w:p>
        </w:tc>
      </w:tr>
    </w:tbl>
    <w:p>
      <w:pPr>
        <w:spacing w:after="20"/>
      </w:pPr>
    </w:p>
    <w:p>
      <w:pPr>
        <w:spacing w:after="120"/>
      </w:pPr>
      <w:r>
        <w:rPr>
          <w:rFonts w:ascii="Calibri" w:hAnsi="Calibri"/>
          <w:b w:val="0"/>
          <w:i w:val="0"/>
          <w:color w:val="000000"/>
          <w:sz w:val="22"/>
        </w:rPr>
        <w:t>Report procedure mix explicitly. A newly bookable 30-minute preventive visit and a 90-minute restorative visit have different resource, attendance, collection, and margin profiles. Do not apply a blended average when the added mix is known.</w:t>
      </w:r>
    </w:p>
    <w:p>
      <w:pPr>
        <w:pStyle w:val="Heading2"/>
      </w:pPr>
      <w:r>
        <w:t>Scenario assumptions</w:t>
      </w:r>
    </w:p>
    <w:tbl>
      <w:tblPr>
        <w:tblStyle w:val="TableGrid"/>
        <w:tblW w:type="dxa" w:w="9360"/>
        <w:jc w:val="left"/>
        <w:tblLayout w:type="fixed"/>
        <w:tblLook w:firstColumn="1" w:firstRow="1" w:lastColumn="0" w:lastRow="0" w:noHBand="0" w:noVBand="1" w:val="04A0"/>
        <w:tblInd w:w="120" w:type="dxa"/>
      </w:tblPr>
      <w:tblGrid>
        <w:gridCol w:w="2000"/>
        <w:gridCol w:w="2450"/>
        <w:gridCol w:w="2450"/>
        <w:gridCol w:w="2460"/>
      </w:tblGrid>
      <w:tr>
        <w:trPr>
          <w:tblHeader/>
        </w:trPr>
        <w:tc>
          <w:tcPr>
            <w:tcW w:type="dxa" w:w="2000"/>
            <w:shd w:fill="F2F4F7"/>
            <w:tcMar>
              <w:top w:w="80" w:type="dxa"/>
              <w:start w:w="120" w:type="dxa"/>
              <w:bottom w:w="80" w:type="dxa"/>
              <w:end w:w="120" w:type="dxa"/>
            </w:tcMar>
            <w:vAlign w:val="center"/>
          </w:tcPr>
          <w:p>
            <w:pPr>
              <w:spacing w:after="0"/>
            </w:pPr>
            <w:r>
              <w:rPr>
                <w:rFonts w:ascii="Calibri" w:hAnsi="Calibri"/>
                <w:b/>
                <w:i w:val="0"/>
                <w:color w:val="172B4D"/>
                <w:sz w:val="19"/>
              </w:rPr>
              <w:t>Input</w:t>
            </w:r>
          </w:p>
        </w:tc>
        <w:tc>
          <w:tcPr>
            <w:tcW w:type="dxa" w:w="2450"/>
            <w:shd w:fill="F2F4F7"/>
            <w:tcMar>
              <w:top w:w="80" w:type="dxa"/>
              <w:start w:w="120" w:type="dxa"/>
              <w:bottom w:w="80" w:type="dxa"/>
              <w:end w:w="120" w:type="dxa"/>
            </w:tcMar>
            <w:vAlign w:val="center"/>
          </w:tcPr>
          <w:p>
            <w:pPr>
              <w:spacing w:after="0"/>
            </w:pPr>
            <w:r>
              <w:rPr>
                <w:rFonts w:ascii="Calibri" w:hAnsi="Calibri"/>
                <w:b/>
                <w:i w:val="0"/>
                <w:color w:val="172B4D"/>
                <w:sz w:val="19"/>
              </w:rPr>
              <w:t>Conservative</w:t>
            </w:r>
          </w:p>
        </w:tc>
        <w:tc>
          <w:tcPr>
            <w:tcW w:type="dxa" w:w="2450"/>
            <w:shd w:fill="F2F4F7"/>
            <w:tcMar>
              <w:top w:w="80" w:type="dxa"/>
              <w:start w:w="120" w:type="dxa"/>
              <w:bottom w:w="80" w:type="dxa"/>
              <w:end w:w="120" w:type="dxa"/>
            </w:tcMar>
            <w:vAlign w:val="center"/>
          </w:tcPr>
          <w:p>
            <w:pPr>
              <w:spacing w:after="0"/>
            </w:pPr>
            <w:r>
              <w:rPr>
                <w:rFonts w:ascii="Calibri" w:hAnsi="Calibri"/>
                <w:b/>
                <w:i w:val="0"/>
                <w:color w:val="172B4D"/>
                <w:sz w:val="19"/>
              </w:rPr>
              <w:t>Expected</w:t>
            </w:r>
          </w:p>
        </w:tc>
        <w:tc>
          <w:tcPr>
            <w:tcW w:type="dxa" w:w="2460"/>
            <w:shd w:fill="F2F4F7"/>
            <w:tcMar>
              <w:top w:w="80" w:type="dxa"/>
              <w:start w:w="120" w:type="dxa"/>
              <w:bottom w:w="80" w:type="dxa"/>
              <w:end w:w="120" w:type="dxa"/>
            </w:tcMar>
            <w:vAlign w:val="center"/>
          </w:tcPr>
          <w:p>
            <w:pPr>
              <w:spacing w:after="0"/>
            </w:pPr>
            <w:r>
              <w:rPr>
                <w:rFonts w:ascii="Calibri" w:hAnsi="Calibri"/>
                <w:b/>
                <w:i w:val="0"/>
                <w:color w:val="172B4D"/>
                <w:sz w:val="19"/>
              </w:rPr>
              <w:t>Optimistic</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Slot acceptance</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Lower bound from available evidence</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Observed or pilot estimate</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Perfect acceptance ceiling</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Attendance</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Procedure-specific lower bound</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Observed rate</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Observed rate plus approved intervention effect</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Collections</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Lower credible collection rate</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Observed rate</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Upper credible rate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Incremental labor</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Include overtime/extra coverage</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staffing plan</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No extra labor only when capacity is genuinely idle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Demand</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Verified backlog only</w:t>
            </w:r>
          </w:p>
        </w:tc>
        <w:tc>
          <w:tcPr>
            <w:tcW w:type="dxa" w:w="2450"/>
            <w:tcMar>
              <w:top w:w="80" w:type="dxa"/>
              <w:start w:w="120" w:type="dxa"/>
              <w:bottom w:w="80" w:type="dxa"/>
              <w:end w:w="120" w:type="dxa"/>
            </w:tcMar>
            <w:vAlign w:val="center"/>
          </w:tcPr>
          <w:p>
            <w:pPr>
              <w:spacing w:after="0" w:line="252" w:lineRule="auto"/>
            </w:pPr>
            <w:r>
              <w:rPr>
                <w:rFonts w:ascii="Calibri" w:hAnsi="Calibri"/>
                <w:b w:val="0"/>
                <w:i w:val="0"/>
                <w:color w:val="000000"/>
                <w:sz w:val="18"/>
              </w:rPr>
              <w:t>Verified backlog plus observed turned-away requests</w:t>
            </w:r>
          </w:p>
        </w:tc>
        <w:tc>
          <w:tcPr>
            <w:tcW w:type="dxa" w:w="2460"/>
            <w:tcMar>
              <w:top w:w="80" w:type="dxa"/>
              <w:start w:w="120" w:type="dxa"/>
              <w:bottom w:w="80" w:type="dxa"/>
              <w:end w:w="120" w:type="dxa"/>
            </w:tcMar>
            <w:vAlign w:val="center"/>
          </w:tcPr>
          <w:p>
            <w:pPr>
              <w:spacing w:after="0" w:line="252" w:lineRule="auto"/>
            </w:pPr>
            <w:r>
              <w:rPr>
                <w:rFonts w:ascii="Calibri" w:hAnsi="Calibri"/>
                <w:b w:val="0"/>
                <w:i w:val="0"/>
                <w:color w:val="000000"/>
                <w:sz w:val="18"/>
              </w:rPr>
              <w:t>Synthetic demand ceiling, labeled</w:t>
            </w:r>
          </w:p>
        </w:tc>
      </w:tr>
    </w:tbl>
    <w:p>
      <w:pPr>
        <w:spacing w:after="20"/>
      </w:pPr>
    </w:p>
    <w:p>
      <w:pPr>
        <w:pStyle w:val="Heading1"/>
      </w:pPr>
      <w:r>
        <w:t>9. Annual extrapolation</w:t>
      </w:r>
    </w:p>
    <w:p>
      <w:pPr>
        <w:spacing w:after="120"/>
      </w:pPr>
      <w:r>
        <w:rPr>
          <w:rFonts w:ascii="Calibri" w:hAnsi="Calibri"/>
          <w:b w:val="0"/>
          <w:i w:val="0"/>
          <w:color w:val="000000"/>
          <w:sz w:val="22"/>
        </w:rPr>
        <w:t>Annualization should preserve the distinction between measured results and modeled assumptions. A single week multiplied by 52 is suitable only as a rough illustration, not a decision-grade forecast.</w:t>
      </w:r>
    </w:p>
    <w:p>
      <w:pPr>
        <w:numPr>
          <w:ilvl w:val="0"/>
          <w:numId w:val="41"/>
        </w:numPr>
      </w:pPr>
      <w:r>
        <w:rPr>
          <w:rFonts w:ascii="Calibri" w:hAnsi="Calibri"/>
          <w:b w:val="0"/>
          <w:i w:val="0"/>
          <w:color w:val="000000"/>
          <w:sz w:val="22"/>
        </w:rPr>
        <w:t>Calculate impact per comparable operating day and by weekday, procedure, provider, and demand level.</w:t>
      </w:r>
    </w:p>
    <w:p>
      <w:pPr>
        <w:numPr>
          <w:ilvl w:val="0"/>
          <w:numId w:val="41"/>
        </w:numPr>
      </w:pPr>
      <w:r>
        <w:rPr>
          <w:rFonts w:ascii="Calibri" w:hAnsi="Calibri"/>
          <w:b w:val="0"/>
          <w:i w:val="0"/>
          <w:color w:val="000000"/>
          <w:sz w:val="22"/>
        </w:rPr>
        <w:t>Remove holidays, planned closures, nonrepresentative outages, and days lacking comparable staffing—or model them explicitly.</w:t>
      </w:r>
    </w:p>
    <w:p>
      <w:pPr>
        <w:numPr>
          <w:ilvl w:val="0"/>
          <w:numId w:val="41"/>
        </w:numPr>
      </w:pPr>
      <w:r>
        <w:rPr>
          <w:rFonts w:ascii="Calibri" w:hAnsi="Calibri"/>
          <w:b w:val="0"/>
          <w:i w:val="0"/>
          <w:color w:val="000000"/>
          <w:sz w:val="22"/>
        </w:rPr>
        <w:t>Apply seasonal weights from available monthly demand and cancellation patterns. If unavailable, use low/base/high utilization factors.</w:t>
      </w:r>
    </w:p>
    <w:p>
      <w:pPr>
        <w:numPr>
          <w:ilvl w:val="0"/>
          <w:numId w:val="41"/>
        </w:numPr>
      </w:pPr>
      <w:r>
        <w:rPr>
          <w:rFonts w:ascii="Calibri" w:hAnsi="Calibri"/>
          <w:b w:val="0"/>
          <w:i w:val="0"/>
          <w:color w:val="000000"/>
          <w:sz w:val="22"/>
        </w:rPr>
        <w:t>Scale only demand-supported added visits; do not scale unused openings when no matching backlog exists.</w:t>
      </w:r>
    </w:p>
    <w:p>
      <w:pPr>
        <w:numPr>
          <w:ilvl w:val="0"/>
          <w:numId w:val="41"/>
        </w:numPr>
      </w:pPr>
      <w:r>
        <w:rPr>
          <w:rFonts w:ascii="Calibri" w:hAnsi="Calibri"/>
          <w:b w:val="0"/>
          <w:i w:val="0"/>
          <w:color w:val="000000"/>
          <w:sz w:val="22"/>
        </w:rPr>
        <w:t>Present an annual range with assumption table, confidence interval where defensible, and sensitivity to the largest drivers.</w:t>
      </w:r>
    </w:p>
    <w:p>
      <w:pPr>
        <w:numPr>
          <w:ilvl w:val="0"/>
          <w:numId w:val="41"/>
        </w:numPr>
      </w:pPr>
      <w:r>
        <w:rPr>
          <w:rFonts w:ascii="Calibri" w:hAnsi="Calibri"/>
          <w:b w:val="0"/>
          <w:i w:val="0"/>
          <w:color w:val="000000"/>
          <w:sz w:val="22"/>
        </w:rPr>
        <w:t>Reconcile the annual projection to physical capacity: operating days, chairs, provider hours, equipment, and supervision limits.</w:t>
      </w:r>
    </w:p>
    <w:p>
      <w:pPr>
        <w:spacing w:before="160" w:after="200"/>
        <w:ind w:left="259" w:right="173"/>
        <w:shd w:fill="F4F6F9"/>
        <w:pBdr>
          <w:left w:val="single" w:sz="18" w:color="2E74B5"/>
        </w:pBdr>
      </w:pPr>
      <w:r>
        <w:rPr>
          <w:rFonts w:ascii="Calibri" w:hAnsi="Calibri"/>
          <w:b/>
          <w:i w:val="0"/>
          <w:color w:val="1F4D78"/>
          <w:sz w:val="22"/>
        </w:rPr>
        <w:t xml:space="preserve">Recommended claim language  </w:t>
      </w:r>
      <w:r>
        <w:rPr>
          <w:rFonts w:ascii="Calibri" w:hAnsi="Calibri"/>
          <w:b w:val="0"/>
          <w:i w:val="0"/>
          <w:color w:val="172B4D"/>
          <w:sz w:val="22"/>
        </w:rPr>
        <w:t>In the four-week replay, the optimizer created X additional demand-matched appointments and $Y expected contribution margin under stated assumptions. A modeled annual range is $A–$B; it is not yet an observed annual outcome.</w:t>
      </w:r>
    </w:p>
    <w:p>
      <w:pPr>
        <w:pStyle w:val="Heading1"/>
      </w:pPr>
      <w:r>
        <w:t>10. TAM, SAM, and SOM framework</w:t>
      </w:r>
    </w:p>
    <w:p>
      <w:pPr>
        <w:spacing w:after="120"/>
      </w:pPr>
      <w:r>
        <w:rPr>
          <w:rFonts w:ascii="Calibri" w:hAnsi="Calibri"/>
          <w:b w:val="0"/>
          <w:i w:val="0"/>
          <w:color w:val="000000"/>
          <w:sz w:val="22"/>
        </w:rPr>
        <w:t>Keep practice economic uplift separate from the software market. The first supports willingness to pay and ROI; it is not itself product TAM.</w:t>
      </w:r>
    </w:p>
    <w:tbl>
      <w:tblPr>
        <w:tblStyle w:val="TableGrid"/>
        <w:tblW w:type="dxa" w:w="9360"/>
        <w:jc w:val="left"/>
        <w:tblLayout w:type="fixed"/>
        <w:tblLook w:firstColumn="1" w:firstRow="1" w:lastColumn="0" w:lastRow="0" w:noHBand="0" w:noVBand="1" w:val="04A0"/>
        <w:tblInd w:w="120" w:type="dxa"/>
      </w:tblPr>
      <w:tblGrid>
        <w:gridCol w:w="1450"/>
        <w:gridCol w:w="2850"/>
        <w:gridCol w:w="2940"/>
        <w:gridCol w:w="2120"/>
      </w:tblGrid>
      <w:tr>
        <w:trPr>
          <w:tblHeader/>
        </w:trPr>
        <w:tc>
          <w:tcPr>
            <w:tcW w:type="dxa" w:w="1450"/>
            <w:shd w:fill="F2F4F7"/>
            <w:tcMar>
              <w:top w:w="80" w:type="dxa"/>
              <w:start w:w="120" w:type="dxa"/>
              <w:bottom w:w="80" w:type="dxa"/>
              <w:end w:w="120" w:type="dxa"/>
            </w:tcMar>
            <w:vAlign w:val="center"/>
          </w:tcPr>
          <w:p>
            <w:pPr>
              <w:spacing w:after="0"/>
            </w:pPr>
            <w:r>
              <w:rPr>
                <w:rFonts w:ascii="Calibri" w:hAnsi="Calibri"/>
                <w:b/>
                <w:i w:val="0"/>
                <w:color w:val="172B4D"/>
                <w:sz w:val="19"/>
              </w:rPr>
              <w:t>Layer</w:t>
            </w:r>
          </w:p>
        </w:tc>
        <w:tc>
          <w:tcPr>
            <w:tcW w:type="dxa" w:w="2850"/>
            <w:shd w:fill="F2F4F7"/>
            <w:tcMar>
              <w:top w:w="80" w:type="dxa"/>
              <w:start w:w="120" w:type="dxa"/>
              <w:bottom w:w="80" w:type="dxa"/>
              <w:end w:w="120" w:type="dxa"/>
            </w:tcMar>
            <w:vAlign w:val="center"/>
          </w:tcPr>
          <w:p>
            <w:pPr>
              <w:spacing w:after="0"/>
            </w:pPr>
            <w:r>
              <w:rPr>
                <w:rFonts w:ascii="Calibri" w:hAnsi="Calibri"/>
                <w:b/>
                <w:i w:val="0"/>
                <w:color w:val="172B4D"/>
                <w:sz w:val="19"/>
              </w:rPr>
              <w:t>Calculation</w:t>
            </w:r>
          </w:p>
        </w:tc>
        <w:tc>
          <w:tcPr>
            <w:tcW w:type="dxa" w:w="2940"/>
            <w:shd w:fill="F2F4F7"/>
            <w:tcMar>
              <w:top w:w="80" w:type="dxa"/>
              <w:start w:w="120" w:type="dxa"/>
              <w:bottom w:w="80" w:type="dxa"/>
              <w:end w:w="120" w:type="dxa"/>
            </w:tcMar>
            <w:vAlign w:val="center"/>
          </w:tcPr>
          <w:p>
            <w:pPr>
              <w:spacing w:after="0"/>
            </w:pPr>
            <w:r>
              <w:rPr>
                <w:rFonts w:ascii="Calibri" w:hAnsi="Calibri"/>
                <w:b/>
                <w:i w:val="0"/>
                <w:color w:val="172B4D"/>
                <w:sz w:val="19"/>
              </w:rPr>
              <w:t>Evidence needed</w:t>
            </w:r>
          </w:p>
        </w:tc>
        <w:tc>
          <w:tcPr>
            <w:tcW w:type="dxa" w:w="2120"/>
            <w:shd w:fill="F2F4F7"/>
            <w:tcMar>
              <w:top w:w="80" w:type="dxa"/>
              <w:start w:w="120" w:type="dxa"/>
              <w:bottom w:w="80" w:type="dxa"/>
              <w:end w:w="120" w:type="dxa"/>
            </w:tcMar>
            <w:vAlign w:val="center"/>
          </w:tcPr>
          <w:p>
            <w:pPr>
              <w:spacing w:after="0"/>
            </w:pPr>
            <w:r>
              <w:rPr>
                <w:rFonts w:ascii="Calibri" w:hAnsi="Calibri"/>
                <w:b/>
                <w:i w:val="0"/>
                <w:color w:val="172B4D"/>
                <w:sz w:val="19"/>
              </w:rPr>
              <w:t>Output</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Practice value pool</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Eligible practices × conservative annual contribution-margin uplift</w:t>
            </w:r>
          </w:p>
        </w:tc>
        <w:tc>
          <w:tcPr>
            <w:tcW w:type="dxa" w:w="2940"/>
            <w:tcMar>
              <w:top w:w="80" w:type="dxa"/>
              <w:start w:w="120" w:type="dxa"/>
              <w:bottom w:w="80" w:type="dxa"/>
              <w:end w:w="120" w:type="dxa"/>
            </w:tcMar>
            <w:vAlign w:val="center"/>
          </w:tcPr>
          <w:p>
            <w:pPr>
              <w:spacing w:after="0" w:line="252" w:lineRule="auto"/>
            </w:pPr>
            <w:r>
              <w:rPr>
                <w:rFonts w:ascii="Calibri" w:hAnsi="Calibri"/>
                <w:b w:val="0"/>
                <w:i w:val="0"/>
                <w:color w:val="000000"/>
                <w:sz w:val="18"/>
              </w:rPr>
              <w:t>Validated uplift distribution and practice segmentation</w:t>
            </w:r>
          </w:p>
        </w:tc>
        <w:tc>
          <w:tcPr>
            <w:tcW w:type="dxa" w:w="2120"/>
            <w:tcMar>
              <w:top w:w="80" w:type="dxa"/>
              <w:start w:w="120" w:type="dxa"/>
              <w:bottom w:w="80" w:type="dxa"/>
              <w:end w:w="120" w:type="dxa"/>
            </w:tcMar>
            <w:vAlign w:val="center"/>
          </w:tcPr>
          <w:p>
            <w:pPr>
              <w:spacing w:after="0" w:line="252" w:lineRule="auto"/>
            </w:pPr>
            <w:r>
              <w:rPr>
                <w:rFonts w:ascii="Calibri" w:hAnsi="Calibri"/>
                <w:b w:val="0"/>
                <w:i w:val="0"/>
                <w:color w:val="000000"/>
                <w:sz w:val="18"/>
              </w:rPr>
              <w:t>Economic opportunity created for customers</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TAM</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All target practices × plausible annual contract value</w:t>
            </w:r>
          </w:p>
        </w:tc>
        <w:tc>
          <w:tcPr>
            <w:tcW w:type="dxa" w:w="2940"/>
            <w:tcMar>
              <w:top w:w="80" w:type="dxa"/>
              <w:start w:w="120" w:type="dxa"/>
              <w:bottom w:w="80" w:type="dxa"/>
              <w:end w:w="120" w:type="dxa"/>
            </w:tcMar>
            <w:vAlign w:val="center"/>
          </w:tcPr>
          <w:p>
            <w:pPr>
              <w:spacing w:after="0" w:line="252" w:lineRule="auto"/>
            </w:pPr>
            <w:r>
              <w:rPr>
                <w:rFonts w:ascii="Calibri" w:hAnsi="Calibri"/>
                <w:b w:val="0"/>
                <w:i w:val="0"/>
                <w:color w:val="000000"/>
                <w:sz w:val="18"/>
              </w:rPr>
              <w:t>Practice counts, target definition, pricing model</w:t>
            </w:r>
          </w:p>
        </w:tc>
        <w:tc>
          <w:tcPr>
            <w:tcW w:type="dxa" w:w="2120"/>
            <w:tcMar>
              <w:top w:w="80" w:type="dxa"/>
              <w:start w:w="120" w:type="dxa"/>
              <w:bottom w:w="80" w:type="dxa"/>
              <w:end w:w="120" w:type="dxa"/>
            </w:tcMar>
            <w:vAlign w:val="center"/>
          </w:tcPr>
          <w:p>
            <w:pPr>
              <w:spacing w:after="0" w:line="252" w:lineRule="auto"/>
            </w:pPr>
            <w:r>
              <w:rPr>
                <w:rFonts w:ascii="Calibri" w:hAnsi="Calibri"/>
                <w:b w:val="0"/>
                <w:i w:val="0"/>
                <w:color w:val="000000"/>
                <w:sz w:val="18"/>
              </w:rPr>
              <w:t>Maximum annual software revenue opportunity</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SAM</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TAM filtered for geography, practice size, system compatibility, deployment model, and regulation</w:t>
            </w:r>
          </w:p>
        </w:tc>
        <w:tc>
          <w:tcPr>
            <w:tcW w:type="dxa" w:w="2940"/>
            <w:tcMar>
              <w:top w:w="80" w:type="dxa"/>
              <w:start w:w="120" w:type="dxa"/>
              <w:bottom w:w="80" w:type="dxa"/>
              <w:end w:w="120" w:type="dxa"/>
            </w:tcMar>
            <w:vAlign w:val="center"/>
          </w:tcPr>
          <w:p>
            <w:pPr>
              <w:spacing w:after="0" w:line="252" w:lineRule="auto"/>
            </w:pPr>
            <w:r>
              <w:rPr>
                <w:rFonts w:ascii="Calibri" w:hAnsi="Calibri"/>
                <w:b w:val="0"/>
                <w:i w:val="0"/>
                <w:color w:val="000000"/>
                <w:sz w:val="18"/>
              </w:rPr>
              <w:t>Segment and compatibility evidence</w:t>
            </w:r>
          </w:p>
        </w:tc>
        <w:tc>
          <w:tcPr>
            <w:tcW w:type="dxa" w:w="2120"/>
            <w:tcMar>
              <w:top w:w="80" w:type="dxa"/>
              <w:start w:w="120" w:type="dxa"/>
              <w:bottom w:w="80" w:type="dxa"/>
              <w:end w:w="120" w:type="dxa"/>
            </w:tcMar>
            <w:vAlign w:val="center"/>
          </w:tcPr>
          <w:p>
            <w:pPr>
              <w:spacing w:after="0" w:line="252" w:lineRule="auto"/>
            </w:pPr>
            <w:r>
              <w:rPr>
                <w:rFonts w:ascii="Calibri" w:hAnsi="Calibri"/>
                <w:b w:val="0"/>
                <w:i w:val="0"/>
                <w:color w:val="000000"/>
                <w:sz w:val="18"/>
              </w:rPr>
              <w:t>Market that can actually be served</w:t>
            </w:r>
          </w:p>
        </w:tc>
      </w:tr>
      <w:tr>
        <w:trP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SOM</w:t>
            </w:r>
          </w:p>
        </w:tc>
        <w:tc>
          <w:tcPr>
            <w:tcW w:type="dxa" w:w="2850"/>
            <w:tcMar>
              <w:top w:w="80" w:type="dxa"/>
              <w:start w:w="120" w:type="dxa"/>
              <w:bottom w:w="80" w:type="dxa"/>
              <w:end w:w="120" w:type="dxa"/>
            </w:tcMar>
            <w:vAlign w:val="center"/>
          </w:tcPr>
          <w:p>
            <w:pPr>
              <w:spacing w:after="0" w:line="252" w:lineRule="auto"/>
            </w:pPr>
            <w:r>
              <w:rPr>
                <w:rFonts w:ascii="Calibri" w:hAnsi="Calibri"/>
                <w:b w:val="0"/>
                <w:i w:val="0"/>
                <w:color w:val="000000"/>
                <w:sz w:val="18"/>
              </w:rPr>
              <w:t>SAM × attainable penetration over a named 3–5 year period</w:t>
            </w:r>
          </w:p>
        </w:tc>
        <w:tc>
          <w:tcPr>
            <w:tcW w:type="dxa" w:w="2940"/>
            <w:tcMar>
              <w:top w:w="80" w:type="dxa"/>
              <w:start w:w="120" w:type="dxa"/>
              <w:bottom w:w="80" w:type="dxa"/>
              <w:end w:w="120" w:type="dxa"/>
            </w:tcMar>
            <w:vAlign w:val="center"/>
          </w:tcPr>
          <w:p>
            <w:pPr>
              <w:spacing w:after="0" w:line="252" w:lineRule="auto"/>
            </w:pPr>
            <w:r>
              <w:rPr>
                <w:rFonts w:ascii="Calibri" w:hAnsi="Calibri"/>
                <w:b w:val="0"/>
                <w:i w:val="0"/>
                <w:color w:val="000000"/>
                <w:sz w:val="18"/>
              </w:rPr>
              <w:t>Sales capacity, channels, conversion, churn, implementation throughput</w:t>
            </w:r>
          </w:p>
        </w:tc>
        <w:tc>
          <w:tcPr>
            <w:tcW w:type="dxa" w:w="2120"/>
            <w:tcMar>
              <w:top w:w="80" w:type="dxa"/>
              <w:start w:w="120" w:type="dxa"/>
              <w:bottom w:w="80" w:type="dxa"/>
              <w:end w:w="120" w:type="dxa"/>
            </w:tcMar>
            <w:vAlign w:val="center"/>
          </w:tcPr>
          <w:p>
            <w:pPr>
              <w:spacing w:after="0" w:line="252" w:lineRule="auto"/>
            </w:pPr>
            <w:r>
              <w:rPr>
                <w:rFonts w:ascii="Calibri" w:hAnsi="Calibri"/>
                <w:b w:val="0"/>
                <w:i w:val="0"/>
                <w:color w:val="000000"/>
                <w:sz w:val="18"/>
              </w:rPr>
              <w:t>Realistic obtainable recurring revenue</w:t>
            </w:r>
          </w:p>
        </w:tc>
      </w:tr>
    </w:tbl>
    <w:p>
      <w:pPr>
        <w:spacing w:after="20"/>
      </w:pPr>
    </w:p>
    <w:p>
      <w:pPr>
        <w:spacing w:after="120"/>
      </w:pPr>
      <w:r>
        <w:rPr>
          <w:rFonts w:ascii="Calibri" w:hAnsi="Calibri"/>
          <w:b w:val="0"/>
          <w:i w:val="0"/>
          <w:color w:val="000000"/>
          <w:sz w:val="22"/>
        </w:rPr>
        <w:t>Use external, cited market sources for practice counts and validate pricing with customer discovery. Do not extrapolate one practice's production mix to every practice. Segment at minimum by number of dentists/chairs, procedure mix, utilization, unmet demand, current scheduling system, and on-premises readiness.</w:t>
      </w:r>
    </w:p>
    <w:p>
      <w:pPr>
        <w:pStyle w:val="Heading1"/>
      </w:pPr>
      <w:r>
        <w:t>11. Bias, risk, and interpretation controls</w:t>
      </w:r>
    </w:p>
    <w:tbl>
      <w:tblPr>
        <w:tblStyle w:val="TableGrid"/>
        <w:tblW w:type="dxa" w:w="9360"/>
        <w:jc w:val="left"/>
        <w:tblLayout w:type="fixed"/>
        <w:tblLook w:firstColumn="1" w:firstRow="1" w:lastColumn="0" w:lastRow="0" w:noHBand="0" w:noVBand="1" w:val="04A0"/>
        <w:tblInd w:w="120" w:type="dxa"/>
      </w:tblPr>
      <w:tblGrid>
        <w:gridCol w:w="1670"/>
        <w:gridCol w:w="2630"/>
        <w:gridCol w:w="2750"/>
        <w:gridCol w:w="2310"/>
      </w:tblGrid>
      <w:tr>
        <w:trPr>
          <w:tblHeader/>
        </w:trPr>
        <w:tc>
          <w:tcPr>
            <w:tcW w:type="dxa" w:w="1670"/>
            <w:shd w:fill="F2F4F7"/>
            <w:tcMar>
              <w:top w:w="80" w:type="dxa"/>
              <w:start w:w="120" w:type="dxa"/>
              <w:bottom w:w="80" w:type="dxa"/>
              <w:end w:w="120" w:type="dxa"/>
            </w:tcMar>
            <w:vAlign w:val="center"/>
          </w:tcPr>
          <w:p>
            <w:pPr>
              <w:spacing w:after="0"/>
            </w:pPr>
            <w:r>
              <w:rPr>
                <w:rFonts w:ascii="Calibri" w:hAnsi="Calibri"/>
                <w:b/>
                <w:i w:val="0"/>
                <w:color w:val="172B4D"/>
                <w:sz w:val="19"/>
              </w:rPr>
              <w:t>Risk</w:t>
            </w:r>
          </w:p>
        </w:tc>
        <w:tc>
          <w:tcPr>
            <w:tcW w:type="dxa" w:w="2630"/>
            <w:shd w:fill="F2F4F7"/>
            <w:tcMar>
              <w:top w:w="80" w:type="dxa"/>
              <w:start w:w="120" w:type="dxa"/>
              <w:bottom w:w="80" w:type="dxa"/>
              <w:end w:w="120" w:type="dxa"/>
            </w:tcMar>
            <w:vAlign w:val="center"/>
          </w:tcPr>
          <w:p>
            <w:pPr>
              <w:spacing w:after="0"/>
            </w:pPr>
            <w:r>
              <w:rPr>
                <w:rFonts w:ascii="Calibri" w:hAnsi="Calibri"/>
                <w:b/>
                <w:i w:val="0"/>
                <w:color w:val="172B4D"/>
                <w:sz w:val="19"/>
              </w:rPr>
              <w:t>How it inflates results</w:t>
            </w:r>
          </w:p>
        </w:tc>
        <w:tc>
          <w:tcPr>
            <w:tcW w:type="dxa" w:w="2750"/>
            <w:shd w:fill="F2F4F7"/>
            <w:tcMar>
              <w:top w:w="80" w:type="dxa"/>
              <w:start w:w="120" w:type="dxa"/>
              <w:bottom w:w="80" w:type="dxa"/>
              <w:end w:w="120" w:type="dxa"/>
            </w:tcMar>
            <w:vAlign w:val="center"/>
          </w:tcPr>
          <w:p>
            <w:pPr>
              <w:spacing w:after="0"/>
            </w:pPr>
            <w:r>
              <w:rPr>
                <w:rFonts w:ascii="Calibri" w:hAnsi="Calibri"/>
                <w:b/>
                <w:i w:val="0"/>
                <w:color w:val="172B4D"/>
                <w:sz w:val="19"/>
              </w:rPr>
              <w:t>Control</w:t>
            </w:r>
          </w:p>
        </w:tc>
        <w:tc>
          <w:tcPr>
            <w:tcW w:type="dxa" w:w="2310"/>
            <w:shd w:fill="F2F4F7"/>
            <w:tcMar>
              <w:top w:w="80" w:type="dxa"/>
              <w:start w:w="120" w:type="dxa"/>
              <w:bottom w:w="80" w:type="dxa"/>
              <w:end w:w="120" w:type="dxa"/>
            </w:tcMar>
            <w:vAlign w:val="center"/>
          </w:tcPr>
          <w:p>
            <w:pPr>
              <w:spacing w:after="0"/>
            </w:pPr>
            <w:r>
              <w:rPr>
                <w:rFonts w:ascii="Calibri" w:hAnsi="Calibri"/>
                <w:b/>
                <w:i w:val="0"/>
                <w:color w:val="172B4D"/>
                <w:sz w:val="19"/>
              </w:rPr>
              <w:t>Disclosure</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Hindsight leakage</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Uses future cancellations or availability unknowable at request time.</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Chronological replay clock and immutable input snapshot.</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List every data field available at each decision.</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Invented demand</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Treats any opening as revenue.</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Require request/backlog match; isolate synthetic stress demand.</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Separate capacity from demand-supported throughput.</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Duration optimism</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Compresses care below safe or observed need.</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Use approved durations and sensitivity bands.</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Report policy version and duration source.</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Consent omission</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Counts moved bookings as deployable.</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Lock bookings in headline lane; count moves separately.</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Label refactor as theoretical upper bound.</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Revenue overstatement</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Confuses production with cash or margin.</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Apply attendance, collections, and incremental costs.</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Show all three financial layers.</w:t>
            </w:r>
          </w:p>
        </w:tc>
      </w:tr>
      <w:tr>
        <w:trPr/>
        <w:tc>
          <w:tcPr>
            <w:tcW w:type="dxa" w:w="1670"/>
            <w:tcMar>
              <w:top w:w="80" w:type="dxa"/>
              <w:start w:w="120" w:type="dxa"/>
              <w:bottom w:w="80" w:type="dxa"/>
              <w:end w:w="120" w:type="dxa"/>
            </w:tcMar>
            <w:vAlign w:val="center"/>
          </w:tcPr>
          <w:p>
            <w:pPr>
              <w:spacing w:after="0" w:line="252" w:lineRule="auto"/>
            </w:pPr>
            <w:r>
              <w:rPr>
                <w:rFonts w:ascii="Calibri" w:hAnsi="Calibri"/>
                <w:b w:val="0"/>
                <w:i w:val="0"/>
                <w:color w:val="000000"/>
                <w:sz w:val="18"/>
              </w:rPr>
              <w:t>Atypical period</w:t>
            </w:r>
          </w:p>
        </w:tc>
        <w:tc>
          <w:tcPr>
            <w:tcW w:type="dxa" w:w="2630"/>
            <w:tcMar>
              <w:top w:w="80" w:type="dxa"/>
              <w:start w:w="120" w:type="dxa"/>
              <w:bottom w:w="80" w:type="dxa"/>
              <w:end w:w="120" w:type="dxa"/>
            </w:tcMar>
            <w:vAlign w:val="center"/>
          </w:tcPr>
          <w:p>
            <w:pPr>
              <w:spacing w:after="0" w:line="252" w:lineRule="auto"/>
            </w:pPr>
            <w:r>
              <w:rPr>
                <w:rFonts w:ascii="Calibri" w:hAnsi="Calibri"/>
                <w:b w:val="0"/>
                <w:i w:val="0"/>
                <w:color w:val="000000"/>
                <w:sz w:val="18"/>
              </w:rPr>
              <w:t>Scales an unusually strong week to a year.</w:t>
            </w:r>
          </w:p>
        </w:tc>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8"/>
              </w:rPr>
              <w:t>Multiple periods, robust statistics, seasonal scenarios.</w:t>
            </w:r>
          </w:p>
        </w:tc>
        <w:tc>
          <w:tcPr>
            <w:tcW w:type="dxa" w:w="2310"/>
            <w:tcMar>
              <w:top w:w="80" w:type="dxa"/>
              <w:start w:w="120" w:type="dxa"/>
              <w:bottom w:w="80" w:type="dxa"/>
              <w:end w:w="120" w:type="dxa"/>
            </w:tcMar>
            <w:vAlign w:val="center"/>
          </w:tcPr>
          <w:p>
            <w:pPr>
              <w:spacing w:after="0" w:line="252" w:lineRule="auto"/>
            </w:pPr>
            <w:r>
              <w:rPr>
                <w:rFonts w:ascii="Calibri" w:hAnsi="Calibri"/>
                <w:b w:val="0"/>
                <w:i w:val="0"/>
                <w:color w:val="000000"/>
                <w:sz w:val="18"/>
              </w:rPr>
              <w:t>State dates, exclusions, and representativeness.</w:t>
            </w:r>
          </w:p>
        </w:tc>
      </w:tr>
    </w:tbl>
    <w:p>
      <w:pPr>
        <w:spacing w:after="20"/>
      </w:pPr>
    </w:p>
    <w:p>
      <w:pPr>
        <w:pStyle w:val="Heading1"/>
      </w:pPr>
      <w:r>
        <w:t>12. Work plan, ownership, and deliverables</w:t>
      </w:r>
    </w:p>
    <w:tbl>
      <w:tblPr>
        <w:tblStyle w:val="TableGrid"/>
        <w:tblW w:type="dxa" w:w="9360"/>
        <w:jc w:val="left"/>
        <w:tblLayout w:type="fixed"/>
        <w:tblLook w:firstColumn="1" w:firstRow="1" w:lastColumn="0" w:lastRow="0" w:noHBand="0" w:noVBand="1" w:val="04A0"/>
        <w:tblInd w:w="120" w:type="dxa"/>
      </w:tblPr>
      <w:tblGrid>
        <w:gridCol w:w="1250"/>
        <w:gridCol w:w="1450"/>
        <w:gridCol w:w="3850"/>
        <w:gridCol w:w="2810"/>
      </w:tblGrid>
      <w:tr>
        <w:trPr>
          <w:tblHeader/>
        </w:trPr>
        <w:tc>
          <w:tcPr>
            <w:tcW w:type="dxa" w:w="1250"/>
            <w:shd w:fill="F2F4F7"/>
            <w:tcMar>
              <w:top w:w="80" w:type="dxa"/>
              <w:start w:w="120" w:type="dxa"/>
              <w:bottom w:w="80" w:type="dxa"/>
              <w:end w:w="120" w:type="dxa"/>
            </w:tcMar>
            <w:vAlign w:val="center"/>
          </w:tcPr>
          <w:p>
            <w:pPr>
              <w:spacing w:after="0"/>
            </w:pPr>
            <w:r>
              <w:rPr>
                <w:rFonts w:ascii="Calibri" w:hAnsi="Calibri"/>
                <w:b/>
                <w:i w:val="0"/>
                <w:color w:val="172B4D"/>
                <w:sz w:val="19"/>
              </w:rPr>
              <w:t>Phase</w:t>
            </w:r>
          </w:p>
        </w:tc>
        <w:tc>
          <w:tcPr>
            <w:tcW w:type="dxa" w:w="1450"/>
            <w:shd w:fill="F2F4F7"/>
            <w:tcMar>
              <w:top w:w="80" w:type="dxa"/>
              <w:start w:w="120" w:type="dxa"/>
              <w:bottom w:w="80" w:type="dxa"/>
              <w:end w:w="120" w:type="dxa"/>
            </w:tcMar>
            <w:vAlign w:val="center"/>
          </w:tcPr>
          <w:p>
            <w:pPr>
              <w:spacing w:after="0"/>
            </w:pPr>
            <w:r>
              <w:rPr>
                <w:rFonts w:ascii="Calibri" w:hAnsi="Calibri"/>
                <w:b/>
                <w:i w:val="0"/>
                <w:color w:val="172B4D"/>
                <w:sz w:val="19"/>
              </w:rPr>
              <w:t>Indicative timing</w:t>
            </w:r>
          </w:p>
        </w:tc>
        <w:tc>
          <w:tcPr>
            <w:tcW w:type="dxa" w:w="3850"/>
            <w:shd w:fill="F2F4F7"/>
            <w:tcMar>
              <w:top w:w="80" w:type="dxa"/>
              <w:start w:w="120" w:type="dxa"/>
              <w:bottom w:w="80" w:type="dxa"/>
              <w:end w:w="120" w:type="dxa"/>
            </w:tcMar>
            <w:vAlign w:val="center"/>
          </w:tcPr>
          <w:p>
            <w:pPr>
              <w:spacing w:after="0"/>
            </w:pPr>
            <w:r>
              <w:rPr>
                <w:rFonts w:ascii="Calibri" w:hAnsi="Calibri"/>
                <w:b/>
                <w:i w:val="0"/>
                <w:color w:val="172B4D"/>
                <w:sz w:val="19"/>
              </w:rPr>
              <w:t>Core work</w:t>
            </w:r>
          </w:p>
        </w:tc>
        <w:tc>
          <w:tcPr>
            <w:tcW w:type="dxa" w:w="2810"/>
            <w:shd w:fill="F2F4F7"/>
            <w:tcMar>
              <w:top w:w="80" w:type="dxa"/>
              <w:start w:w="120" w:type="dxa"/>
              <w:bottom w:w="80" w:type="dxa"/>
              <w:end w:w="120" w:type="dxa"/>
            </w:tcMar>
            <w:vAlign w:val="center"/>
          </w:tcPr>
          <w:p>
            <w:pPr>
              <w:spacing w:after="0"/>
            </w:pPr>
            <w:r>
              <w:rPr>
                <w:rFonts w:ascii="Calibri" w:hAnsi="Calibri"/>
                <w:b/>
                <w:i w:val="0"/>
                <w:color w:val="172B4D"/>
                <w:sz w:val="19"/>
              </w:rPr>
              <w:t>Exit evidence</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1. Protocol</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2–3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Freeze questions, lanes, rules, metrics, and assumptions.</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Approved protocol and metric dictionary</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2. Data readiness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3–5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Extract, de-identify, validate, and reconcile one month.</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Quality report and immutable input snapshot</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3. Replay</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3–5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Run baseline reconstruction and chronological replay.</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Reproducible run package and exception log</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4. Upper bound</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1–2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Run full-period refactor and optional consent scenario.</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Clearly separated ceiling analysis</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5. Economics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2–3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Convert demand-matched additions to scenario economics.</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Financial model and assumption register</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6. Review</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2–3 days</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Clinical, operations, finance, privacy, and product review.</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Signed findings and limitation register</w:t>
            </w:r>
          </w:p>
        </w:tc>
      </w:tr>
      <w:tr>
        <w:trPr/>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8"/>
              </w:rPr>
              <w:t>7. Scale</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8"/>
              </w:rPr>
              <w:t>After validation</w:t>
            </w:r>
          </w:p>
        </w:tc>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000000"/>
                <w:sz w:val="18"/>
              </w:rPr>
              <w:t>Repeat across representative months; build annual/TAM ranges.</w:t>
            </w:r>
          </w:p>
        </w:tc>
        <w:tc>
          <w:tcPr>
            <w:tcW w:type="dxa" w:w="2810"/>
            <w:tcMar>
              <w:top w:w="80" w:type="dxa"/>
              <w:start w:w="120" w:type="dxa"/>
              <w:bottom w:w="80" w:type="dxa"/>
              <w:end w:w="120" w:type="dxa"/>
            </w:tcMar>
            <w:vAlign w:val="center"/>
          </w:tcPr>
          <w:p>
            <w:pPr>
              <w:spacing w:after="0" w:line="252" w:lineRule="auto"/>
            </w:pPr>
            <w:r>
              <w:rPr>
                <w:rFonts w:ascii="Calibri" w:hAnsi="Calibri"/>
                <w:b w:val="0"/>
                <w:i w:val="0"/>
                <w:color w:val="000000"/>
                <w:sz w:val="18"/>
              </w:rPr>
              <w:t>Decision-grade report and go-to-market inputs</w:t>
            </w:r>
          </w:p>
        </w:tc>
      </w:tr>
    </w:tbl>
    <w:p>
      <w:pPr>
        <w:spacing w:after="20"/>
      </w:pPr>
    </w:p>
    <w:p>
      <w:pPr>
        <w:pStyle w:val="Heading2"/>
      </w:pPr>
      <w:r>
        <w:t>Decision owners</w:t>
      </w:r>
    </w:p>
    <w:tbl>
      <w:tblPr>
        <w:tblStyle w:val="TableGrid"/>
        <w:tblW w:type="dxa" w:w="9360"/>
        <w:jc w:val="left"/>
        <w:tblLayout w:type="fixed"/>
        <w:tblLook w:firstColumn="1" w:firstRow="1" w:lastColumn="0" w:lastRow="0" w:noHBand="0" w:noVBand="1" w:val="04A0"/>
        <w:tblInd w:w="120" w:type="dxa"/>
      </w:tblPr>
      <w:tblGrid>
        <w:gridCol w:w="1950"/>
        <w:gridCol w:w="4410"/>
        <w:gridCol w:w="3000"/>
      </w:tblGrid>
      <w:tr>
        <w:trPr>
          <w:tblHeader/>
        </w:trPr>
        <w:tc>
          <w:tcPr>
            <w:tcW w:type="dxa" w:w="1950"/>
            <w:shd w:fill="F2F4F7"/>
            <w:tcMar>
              <w:top w:w="80" w:type="dxa"/>
              <w:start w:w="120" w:type="dxa"/>
              <w:bottom w:w="80" w:type="dxa"/>
              <w:end w:w="120" w:type="dxa"/>
            </w:tcMar>
            <w:vAlign w:val="center"/>
          </w:tcPr>
          <w:p>
            <w:pPr>
              <w:spacing w:after="0"/>
            </w:pPr>
            <w:r>
              <w:rPr>
                <w:rFonts w:ascii="Calibri" w:hAnsi="Calibri"/>
                <w:b/>
                <w:i w:val="0"/>
                <w:color w:val="172B4D"/>
                <w:sz w:val="19"/>
              </w:rPr>
              <w:t>Owner</w:t>
            </w:r>
          </w:p>
        </w:tc>
        <w:tc>
          <w:tcPr>
            <w:tcW w:type="dxa" w:w="4410"/>
            <w:shd w:fill="F2F4F7"/>
            <w:tcMar>
              <w:top w:w="80" w:type="dxa"/>
              <w:start w:w="120" w:type="dxa"/>
              <w:bottom w:w="80" w:type="dxa"/>
              <w:end w:w="120" w:type="dxa"/>
            </w:tcMar>
            <w:vAlign w:val="center"/>
          </w:tcPr>
          <w:p>
            <w:pPr>
              <w:spacing w:after="0"/>
            </w:pPr>
            <w:r>
              <w:rPr>
                <w:rFonts w:ascii="Calibri" w:hAnsi="Calibri"/>
                <w:b/>
                <w:i w:val="0"/>
                <w:color w:val="172B4D"/>
                <w:sz w:val="19"/>
              </w:rPr>
              <w:t>Accountability</w:t>
            </w:r>
          </w:p>
        </w:tc>
        <w:tc>
          <w:tcPr>
            <w:tcW w:type="dxa" w:w="3000"/>
            <w:shd w:fill="F2F4F7"/>
            <w:tcMar>
              <w:top w:w="80" w:type="dxa"/>
              <w:start w:w="120" w:type="dxa"/>
              <w:bottom w:w="80" w:type="dxa"/>
              <w:end w:w="120" w:type="dxa"/>
            </w:tcMar>
            <w:vAlign w:val="center"/>
          </w:tcPr>
          <w:p>
            <w:pPr>
              <w:spacing w:after="0"/>
            </w:pPr>
            <w:r>
              <w:rPr>
                <w:rFonts w:ascii="Calibri" w:hAnsi="Calibri"/>
                <w:b/>
                <w:i w:val="0"/>
                <w:color w:val="172B4D"/>
                <w:sz w:val="19"/>
              </w:rPr>
              <w:t>Required approval</w:t>
            </w:r>
          </w:p>
        </w:tc>
      </w:tr>
      <w:tr>
        <w:trPr/>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8"/>
              </w:rPr>
              <w:t>Clinical owner</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8"/>
              </w:rPr>
              <w:t>Procedure durations, qualifications, phases, safety limits</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000000"/>
                <w:sz w:val="18"/>
              </w:rPr>
              <w:t>Rules used in every simulation lane</w:t>
            </w:r>
          </w:p>
        </w:tc>
      </w:tr>
      <w:tr>
        <w:trPr/>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8"/>
              </w:rPr>
              <w:t>Operations owner</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8"/>
              </w:rPr>
              <w:t>Hours, staffing, rooms, equipment, patient workflow</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000000"/>
                <w:sz w:val="18"/>
              </w:rPr>
              <w:t>Baseline reconstruction and feasibility assumptions</w:t>
            </w:r>
          </w:p>
        </w:tc>
      </w:tr>
      <w:tr>
        <w:trPr/>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8"/>
              </w:rPr>
              <w:t>Finance owner</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8"/>
              </w:rPr>
              <w:t>Production values, collections, costs, annual model</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000000"/>
                <w:sz w:val="18"/>
              </w:rPr>
              <w:t>Financial definitions and scenario ranges</w:t>
            </w:r>
          </w:p>
        </w:tc>
      </w:tr>
      <w:tr>
        <w:trPr/>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8"/>
              </w:rPr>
              <w:t>Privacy/security owner</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8"/>
              </w:rPr>
              <w:t>De-identification, access, retention, approved environment</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000000"/>
                <w:sz w:val="18"/>
              </w:rPr>
              <w:t>Study dataset and handling controls</w:t>
            </w:r>
          </w:p>
        </w:tc>
      </w:tr>
      <w:tr>
        <w:trPr/>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8"/>
              </w:rPr>
              <w:t>Product/analytics owner</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8"/>
              </w:rPr>
              <w:t>Protocol, replay integrity, metrics, findings</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000000"/>
                <w:sz w:val="18"/>
              </w:rPr>
              <w:t>Reproducibility and claim wording</w:t>
            </w:r>
          </w:p>
        </w:tc>
      </w:tr>
    </w:tbl>
    <w:p>
      <w:pPr>
        <w:spacing w:after="20"/>
      </w:pPr>
    </w:p>
    <w:p>
      <w:pPr>
        <w:pStyle w:val="Heading2"/>
      </w:pPr>
      <w:r>
        <w:t>Required deliverables</w:t>
      </w:r>
    </w:p>
    <w:p>
      <w:pPr>
        <w:numPr>
          <w:ilvl w:val="0"/>
          <w:numId w:val="40"/>
        </w:numPr>
      </w:pPr>
      <w:r>
        <w:rPr>
          <w:rFonts w:ascii="Calibri" w:hAnsi="Calibri"/>
          <w:b w:val="0"/>
          <w:i w:val="0"/>
          <w:color w:val="000000"/>
          <w:sz w:val="22"/>
        </w:rPr>
        <w:t>Study protocol and metric dictionary.</w:t>
      </w:r>
    </w:p>
    <w:p>
      <w:pPr>
        <w:numPr>
          <w:ilvl w:val="0"/>
          <w:numId w:val="40"/>
        </w:numPr>
      </w:pPr>
      <w:r>
        <w:rPr>
          <w:rFonts w:ascii="Calibri" w:hAnsi="Calibri"/>
          <w:b w:val="0"/>
          <w:i w:val="0"/>
          <w:color w:val="000000"/>
          <w:sz w:val="22"/>
        </w:rPr>
        <w:t>De-identified data-quality report and assumption register.</w:t>
      </w:r>
    </w:p>
    <w:p>
      <w:pPr>
        <w:numPr>
          <w:ilvl w:val="0"/>
          <w:numId w:val="40"/>
        </w:numPr>
      </w:pPr>
      <w:r>
        <w:rPr>
          <w:rFonts w:ascii="Calibri" w:hAnsi="Calibri"/>
          <w:b w:val="0"/>
          <w:i w:val="0"/>
          <w:color w:val="000000"/>
          <w:sz w:val="22"/>
        </w:rPr>
        <w:t>Observed baseline, chronological replay, and separately labeled upper-bound results.</w:t>
      </w:r>
    </w:p>
    <w:p>
      <w:pPr>
        <w:numPr>
          <w:ilvl w:val="0"/>
          <w:numId w:val="40"/>
        </w:numPr>
      </w:pPr>
      <w:r>
        <w:rPr>
          <w:rFonts w:ascii="Calibri" w:hAnsi="Calibri"/>
          <w:b w:val="0"/>
          <w:i w:val="0"/>
          <w:color w:val="000000"/>
          <w:sz w:val="22"/>
        </w:rPr>
        <w:t>Constraint-violation and appointment-movement audit report.</w:t>
      </w:r>
    </w:p>
    <w:p>
      <w:pPr>
        <w:numPr>
          <w:ilvl w:val="0"/>
          <w:numId w:val="40"/>
        </w:numPr>
      </w:pPr>
      <w:r>
        <w:rPr>
          <w:rFonts w:ascii="Calibri" w:hAnsi="Calibri"/>
          <w:b w:val="0"/>
          <w:i w:val="0"/>
          <w:color w:val="000000"/>
          <w:sz w:val="22"/>
        </w:rPr>
        <w:t>Capacity conversion funnel by day, provider, room, and procedure.</w:t>
      </w:r>
    </w:p>
    <w:p>
      <w:pPr>
        <w:numPr>
          <w:ilvl w:val="0"/>
          <w:numId w:val="40"/>
        </w:numPr>
      </w:pPr>
      <w:r>
        <w:rPr>
          <w:rFonts w:ascii="Calibri" w:hAnsi="Calibri"/>
          <w:b w:val="0"/>
          <w:i w:val="0"/>
          <w:color w:val="000000"/>
          <w:sz w:val="22"/>
        </w:rPr>
        <w:t>Conservative/expected/optimistic financial model with procedure-level detail.</w:t>
      </w:r>
    </w:p>
    <w:p>
      <w:pPr>
        <w:numPr>
          <w:ilvl w:val="0"/>
          <w:numId w:val="40"/>
        </w:numPr>
      </w:pPr>
      <w:r>
        <w:rPr>
          <w:rFonts w:ascii="Calibri" w:hAnsi="Calibri"/>
          <w:b w:val="0"/>
          <w:i w:val="0"/>
          <w:color w:val="000000"/>
          <w:sz w:val="22"/>
        </w:rPr>
        <w:t>Annual projection range, limitations, and sensitivity analysis.</w:t>
      </w:r>
    </w:p>
    <w:p>
      <w:pPr>
        <w:numPr>
          <w:ilvl w:val="0"/>
          <w:numId w:val="40"/>
        </w:numPr>
      </w:pPr>
      <w:r>
        <w:rPr>
          <w:rFonts w:ascii="Calibri" w:hAnsi="Calibri"/>
          <w:b w:val="0"/>
          <w:i w:val="0"/>
          <w:color w:val="000000"/>
          <w:sz w:val="22"/>
        </w:rPr>
        <w:t>TAM/SAM/SOM model using cited market inputs and validated pricing assumptions.</w:t>
      </w:r>
    </w:p>
    <w:p>
      <w:pPr>
        <w:numPr>
          <w:ilvl w:val="0"/>
          <w:numId w:val="40"/>
        </w:numPr>
      </w:pPr>
      <w:r>
        <w:rPr>
          <w:rFonts w:ascii="Calibri" w:hAnsi="Calibri"/>
          <w:b w:val="0"/>
          <w:i w:val="0"/>
          <w:color w:val="000000"/>
          <w:sz w:val="22"/>
        </w:rPr>
        <w:t>Stakeholder decision record: proceed, revise, extend evidence, or stop.</w:t>
      </w:r>
    </w:p>
    <w:p>
      <w:pPr>
        <w:pStyle w:val="Heading1"/>
      </w:pPr>
      <w:r>
        <w:t>13. Final review checklist</w:t>
      </w:r>
    </w:p>
    <w:p>
      <w:pPr>
        <w:numPr>
          <w:ilvl w:val="0"/>
          <w:numId w:val="40"/>
        </w:numPr>
      </w:pPr>
      <w:r>
        <w:rPr>
          <w:rFonts w:ascii="Calibri" w:hAnsi="Calibri"/>
          <w:b w:val="0"/>
          <w:i w:val="0"/>
          <w:color w:val="000000"/>
          <w:sz w:val="22"/>
        </w:rPr>
        <w:t>Study period and population are representative or limitations are explicit.</w:t>
      </w:r>
    </w:p>
    <w:p>
      <w:pPr>
        <w:numPr>
          <w:ilvl w:val="0"/>
          <w:numId w:val="40"/>
        </w:numPr>
      </w:pPr>
      <w:r>
        <w:rPr>
          <w:rFonts w:ascii="Calibri" w:hAnsi="Calibri"/>
          <w:b w:val="0"/>
          <w:i w:val="0"/>
          <w:color w:val="000000"/>
          <w:sz w:val="22"/>
        </w:rPr>
        <w:t>Headline results come from chronological replay with locked existing appointments.</w:t>
      </w:r>
    </w:p>
    <w:p>
      <w:pPr>
        <w:numPr>
          <w:ilvl w:val="0"/>
          <w:numId w:val="40"/>
        </w:numPr>
      </w:pPr>
      <w:r>
        <w:rPr>
          <w:rFonts w:ascii="Calibri" w:hAnsi="Calibri"/>
          <w:b w:val="0"/>
          <w:i w:val="0"/>
          <w:color w:val="000000"/>
          <w:sz w:val="22"/>
        </w:rPr>
        <w:t>Every added appointment has eligible demand and a complete resource plan.</w:t>
      </w:r>
    </w:p>
    <w:p>
      <w:pPr>
        <w:numPr>
          <w:ilvl w:val="0"/>
          <w:numId w:val="40"/>
        </w:numPr>
      </w:pPr>
      <w:r>
        <w:rPr>
          <w:rFonts w:ascii="Calibri" w:hAnsi="Calibri"/>
          <w:b w:val="0"/>
          <w:i w:val="0"/>
          <w:color w:val="000000"/>
          <w:sz w:val="22"/>
        </w:rPr>
        <w:t>Capacity, scheduled production, expected collections, and contribution margin are not conflated.</w:t>
      </w:r>
    </w:p>
    <w:p>
      <w:pPr>
        <w:numPr>
          <w:ilvl w:val="0"/>
          <w:numId w:val="40"/>
        </w:numPr>
      </w:pPr>
      <w:r>
        <w:rPr>
          <w:rFonts w:ascii="Calibri" w:hAnsi="Calibri"/>
          <w:b w:val="0"/>
          <w:i w:val="0"/>
          <w:color w:val="000000"/>
          <w:sz w:val="22"/>
        </w:rPr>
        <w:t>No hard-constraint violation or unauthorized move is present.</w:t>
      </w:r>
    </w:p>
    <w:p>
      <w:pPr>
        <w:numPr>
          <w:ilvl w:val="0"/>
          <w:numId w:val="40"/>
        </w:numPr>
      </w:pPr>
      <w:r>
        <w:rPr>
          <w:rFonts w:ascii="Calibri" w:hAnsi="Calibri"/>
          <w:b w:val="0"/>
          <w:i w:val="0"/>
          <w:color w:val="000000"/>
          <w:sz w:val="22"/>
        </w:rPr>
        <w:t>Upper-bound refactoring is visually and numerically separated from deployable results.</w:t>
      </w:r>
    </w:p>
    <w:p>
      <w:pPr>
        <w:numPr>
          <w:ilvl w:val="0"/>
          <w:numId w:val="40"/>
        </w:numPr>
      </w:pPr>
      <w:r>
        <w:rPr>
          <w:rFonts w:ascii="Calibri" w:hAnsi="Calibri"/>
          <w:b w:val="0"/>
          <w:i w:val="0"/>
          <w:color w:val="000000"/>
          <w:sz w:val="22"/>
        </w:rPr>
        <w:t>Annual figures are ranges with seasonality and sensitivity, not a simple unqualified multiplier.</w:t>
      </w:r>
    </w:p>
    <w:p>
      <w:pPr>
        <w:numPr>
          <w:ilvl w:val="0"/>
          <w:numId w:val="40"/>
        </w:numPr>
      </w:pPr>
      <w:r>
        <w:rPr>
          <w:rFonts w:ascii="Calibri" w:hAnsi="Calibri"/>
          <w:b w:val="0"/>
          <w:i w:val="0"/>
          <w:color w:val="000000"/>
          <w:sz w:val="22"/>
        </w:rPr>
        <w:t>Practice uplift is separated from software TAM, SAM, and SOM.</w:t>
      </w:r>
    </w:p>
    <w:p>
      <w:pPr>
        <w:numPr>
          <w:ilvl w:val="0"/>
          <w:numId w:val="40"/>
        </w:numPr>
      </w:pPr>
      <w:r>
        <w:rPr>
          <w:rFonts w:ascii="Calibri" w:hAnsi="Calibri"/>
          <w:b w:val="0"/>
          <w:i w:val="0"/>
          <w:color w:val="000000"/>
          <w:sz w:val="22"/>
        </w:rPr>
        <w:t>Data is de-identified, locally controlled, minimum necessary, and retained under an approved plan.</w:t>
      </w:r>
    </w:p>
    <w:p>
      <w:pPr>
        <w:numPr>
          <w:ilvl w:val="0"/>
          <w:numId w:val="40"/>
        </w:numPr>
      </w:pPr>
      <w:r>
        <w:rPr>
          <w:rFonts w:ascii="Calibri" w:hAnsi="Calibri"/>
          <w:b w:val="0"/>
          <w:i w:val="0"/>
          <w:color w:val="000000"/>
          <w:sz w:val="22"/>
        </w:rPr>
        <w:t>Clinical, operations, finance, privacy/security, and product owners have approved the final interpretation.</w:t>
      </w:r>
    </w:p>
    <w:p>
      <w:pPr>
        <w:pStyle w:val="Heading1"/>
      </w:pPr>
      <w:r>
        <w:t>Appendix A. Minimum result summary</w:t>
      </w:r>
    </w:p>
    <w:tbl>
      <w:tblPr>
        <w:tblStyle w:val="TableGrid"/>
        <w:tblW w:type="dxa" w:w="9360"/>
        <w:jc w:val="left"/>
        <w:tblLayout w:type="fixed"/>
        <w:tblLook w:firstColumn="1" w:firstRow="1" w:lastColumn="0" w:lastRow="0" w:noHBand="0" w:noVBand="1" w:val="04A0"/>
        <w:tblInd w:w="120" w:type="dxa"/>
      </w:tblPr>
      <w:tblGrid>
        <w:gridCol w:w="2000"/>
        <w:gridCol w:w="1300"/>
        <w:gridCol w:w="1900"/>
        <w:gridCol w:w="1500"/>
        <w:gridCol w:w="2660"/>
      </w:tblGrid>
      <w:tr>
        <w:trPr>
          <w:tblHeader/>
        </w:trPr>
        <w:tc>
          <w:tcPr>
            <w:tcW w:type="dxa" w:w="2000"/>
            <w:shd w:fill="F2F4F7"/>
            <w:tcMar>
              <w:top w:w="80" w:type="dxa"/>
              <w:start w:w="120" w:type="dxa"/>
              <w:bottom w:w="80" w:type="dxa"/>
              <w:end w:w="120" w:type="dxa"/>
            </w:tcMar>
            <w:vAlign w:val="center"/>
          </w:tcPr>
          <w:p>
            <w:pPr>
              <w:spacing w:after="0"/>
            </w:pPr>
            <w:r>
              <w:rPr>
                <w:rFonts w:ascii="Calibri" w:hAnsi="Calibri"/>
                <w:b/>
                <w:i w:val="0"/>
                <w:color w:val="172B4D"/>
                <w:sz w:val="19"/>
              </w:rPr>
              <w:t>Result</w:t>
            </w:r>
          </w:p>
        </w:tc>
        <w:tc>
          <w:tcPr>
            <w:tcW w:type="dxa" w:w="1300"/>
            <w:shd w:fill="F2F4F7"/>
            <w:tcMar>
              <w:top w:w="80" w:type="dxa"/>
              <w:start w:w="120" w:type="dxa"/>
              <w:bottom w:w="80" w:type="dxa"/>
              <w:end w:w="120" w:type="dxa"/>
            </w:tcMar>
            <w:vAlign w:val="center"/>
          </w:tcPr>
          <w:p>
            <w:pPr>
              <w:spacing w:after="0"/>
            </w:pPr>
            <w:r>
              <w:rPr>
                <w:rFonts w:ascii="Calibri" w:hAnsi="Calibri"/>
                <w:b/>
                <w:i w:val="0"/>
                <w:color w:val="172B4D"/>
                <w:sz w:val="19"/>
              </w:rPr>
              <w:t>Baseline</w:t>
            </w:r>
          </w:p>
        </w:tc>
        <w:tc>
          <w:tcPr>
            <w:tcW w:type="dxa" w:w="1900"/>
            <w:shd w:fill="F2F4F7"/>
            <w:tcMar>
              <w:top w:w="80" w:type="dxa"/>
              <w:start w:w="120" w:type="dxa"/>
              <w:bottom w:w="80" w:type="dxa"/>
              <w:end w:w="120" w:type="dxa"/>
            </w:tcMar>
            <w:vAlign w:val="center"/>
          </w:tcPr>
          <w:p>
            <w:pPr>
              <w:spacing w:after="0"/>
            </w:pPr>
            <w:r>
              <w:rPr>
                <w:rFonts w:ascii="Calibri" w:hAnsi="Calibri"/>
                <w:b/>
                <w:i w:val="0"/>
                <w:color w:val="172B4D"/>
                <w:sz w:val="19"/>
              </w:rPr>
              <w:t>Chronological replay</w:t>
            </w:r>
          </w:p>
        </w:tc>
        <w:tc>
          <w:tcPr>
            <w:tcW w:type="dxa" w:w="1500"/>
            <w:shd w:fill="F2F4F7"/>
            <w:tcMar>
              <w:top w:w="80" w:type="dxa"/>
              <w:start w:w="120" w:type="dxa"/>
              <w:bottom w:w="80" w:type="dxa"/>
              <w:end w:w="120" w:type="dxa"/>
            </w:tcMar>
            <w:vAlign w:val="center"/>
          </w:tcPr>
          <w:p>
            <w:pPr>
              <w:spacing w:after="0"/>
            </w:pPr>
            <w:r>
              <w:rPr>
                <w:rFonts w:ascii="Calibri" w:hAnsi="Calibri"/>
                <w:b/>
                <w:i w:val="0"/>
                <w:color w:val="172B4D"/>
                <w:sz w:val="19"/>
              </w:rPr>
              <w:t>Upper bound</w:t>
            </w:r>
          </w:p>
        </w:tc>
        <w:tc>
          <w:tcPr>
            <w:tcW w:type="dxa" w:w="2660"/>
            <w:shd w:fill="F2F4F7"/>
            <w:tcMar>
              <w:top w:w="80" w:type="dxa"/>
              <w:start w:w="120" w:type="dxa"/>
              <w:bottom w:w="80" w:type="dxa"/>
              <w:end w:w="120" w:type="dxa"/>
            </w:tcMar>
            <w:vAlign w:val="center"/>
          </w:tcPr>
          <w:p>
            <w:pPr>
              <w:spacing w:after="0"/>
            </w:pPr>
            <w:r>
              <w:rPr>
                <w:rFonts w:ascii="Calibri" w:hAnsi="Calibri"/>
                <w:b/>
                <w:i w:val="0"/>
                <w:color w:val="172B4D"/>
                <w:sz w:val="19"/>
              </w:rPr>
              <w:t>Notes</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Appointments scheduled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Separate added visits from rescheduled visits</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completed visits</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Attendance-adjusted</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Bookable capacity hours</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Resource-complete contiguous time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Median/p90 days to appointment</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Segment by procedure/priority</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Provider/chair utilization</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Include overtime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Scheduled production</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Not cash revenue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Expected collections</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Show collection assumptions</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Contribution margin</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Deduct incremental labor and supplies</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Constraint violations</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0 required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0 required</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Any violation invalidates the lane</w:t>
            </w:r>
          </w:p>
        </w:tc>
      </w:tr>
      <w:tr>
        <w:trPr/>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000000"/>
                <w:sz w:val="18"/>
              </w:rPr>
              <w:t>Historical visits moved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8"/>
              </w:rPr>
              <w:t>0</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000000"/>
                <w:sz w:val="18"/>
              </w:rPr>
              <w:t>0 required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8"/>
              </w:rPr>
              <w:t>Report count</w:t>
            </w:r>
          </w:p>
        </w:tc>
        <w:tc>
          <w:tcPr>
            <w:tcW w:type="dxa" w:w="2660"/>
            <w:tcMar>
              <w:top w:w="80" w:type="dxa"/>
              <w:start w:w="120" w:type="dxa"/>
              <w:bottom w:w="80" w:type="dxa"/>
              <w:end w:w="120" w:type="dxa"/>
            </w:tcMar>
            <w:vAlign w:val="center"/>
          </w:tcPr>
          <w:p>
            <w:pPr>
              <w:spacing w:after="0" w:line="252" w:lineRule="auto"/>
            </w:pPr>
            <w:r>
              <w:rPr>
                <w:rFonts w:ascii="Calibri" w:hAnsi="Calibri"/>
                <w:b w:val="0"/>
                <w:i w:val="0"/>
                <w:color w:val="000000"/>
                <w:sz w:val="18"/>
              </w:rPr>
              <w:t>Upper-bound moves are hypothetical</w:t>
            </w:r>
          </w:p>
        </w:tc>
      </w:tr>
    </w:tbl>
    <w:p>
      <w:pPr>
        <w:spacing w:after="2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B78"/>
        <w:sz w:val="17"/>
      </w:rPr>
      <w:t xml:space="preserve">Draft • 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26B78"/>
        <w:sz w:val="18"/>
      </w:rPr>
      <w:t>VALIDATION PLAN</w:t>
    </w:r>
    <w:r>
      <w:rPr>
        <w:rFonts w:ascii="Calibri" w:hAnsi="Calibri"/>
        <w:b w:val="0"/>
        <w:i w:val="0"/>
        <w:color w:val="626B78"/>
        <w:sz w:val="18"/>
      </w:rPr>
      <w:t xml:space="preserve">    |    Dental scheduling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0">
    <w:abstractNumId w:val="40"/>
  </w:num>
  <w:abstractNum w:abstractNumId="4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Scheduling Optimization Validation Plan</dc:title>
  <dc:subject>Historical replay and economic impact study protocol</dc:subject>
  <dc:creator/>
  <cp:keywords>dental scheduling, optimization, validation, capacity, revenue, TAM</cp:keywords>
  <dc:description>Generic planning document; contains no patient or company information.</dc:description>
  <cp:lastModifiedBy/>
  <cp:revision>1</cp:revision>
  <dcterms:created xsi:type="dcterms:W3CDTF">2013-12-23T23:15:00Z</dcterms:created>
  <dcterms:modified xsi:type="dcterms:W3CDTF">2013-12-23T23:15:00Z</dcterms:modified>
  <cp:category/>
</cp:coreProperties>
</file>