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i w:val="false"/>
          <w:iCs w:val="false"/>
          <w:color w:val="1F1F1F"/>
          <w:sz w:val="34"/>
          <w:szCs w:val="34"/>
        </w:rPr>
        <w:t xml:space="preserve">Qualys Policy Compliance integration</w:t>
      </w:r>
    </w:p>
    <w:p>
      <w:pPr>
        <w:pBdr>
          <w:bottom w:val="single" w:color="A5122A" w:sz="6" w:space="8"/>
        </w:pBdr>
        <w:spacing w:after="200"/>
      </w:pPr>
      <w:r>
        <w:rPr>
          <w:rFonts w:ascii="Arial" w:cs="Arial" w:eastAsia="Arial" w:hAnsi="Arial"/>
          <w:b w:val="false"/>
          <w:bCs w:val="false"/>
          <w:i w:val="false"/>
          <w:iCs w:val="false"/>
          <w:color w:val="5A5F63"/>
          <w:sz w:val="22"/>
          <w:szCs w:val="22"/>
        </w:rPr>
        <w:t xml:space="preserve">How long a parameter value can be, what the page size actually is, and why one policy goes per request</w:t>
      </w:r>
    </w:p>
    <w:p>
      <w:pPr>
        <w:keepNext w:val="false"/>
        <w:spacing w:after="120" w:before="0" w:line="260"/>
      </w:pPr>
      <w:r>
        <w:rPr>
          <w:rFonts w:ascii="Arial" w:cs="Arial" w:eastAsia="Arial" w:hAnsi="Arial"/>
          <w:b w:val="false"/>
          <w:bCs w:val="false"/>
          <w:i w:val="false"/>
          <w:iCs w:val="false"/>
          <w:color w:val="5A5F63"/>
          <w:sz w:val="19"/>
          <w:szCs w:val="19"/>
        </w:rPr>
        <w:t xml:space="preserve">Supporting material for a story comment. Every figure below is either a reading taken from a ServiceNow instance running the application versions listed at the end, with the record named so it can be opened and checked, or a published statement from ServiceNow, Qualys, the IETF or a web server vendor, with a link and the sentence it comes from. Section 8 lists the four points where an earlier informal answer of mine was wrong or incomplete.</w:t>
      </w:r>
    </w:p>
    <w:p>
      <w:pPr>
        <w:pStyle w:val="Heading1"/>
        <w:keepNext/>
        <w:spacing w:after="140" w:before="360"/>
      </w:pPr>
      <w:r>
        <w:rPr>
          <w:rFonts w:ascii="Arial" w:cs="Arial" w:eastAsia="Arial" w:hAnsi="Arial"/>
          <w:b/>
          <w:bCs/>
          <w:i w:val="false"/>
          <w:iCs w:val="false"/>
          <w:color w:val="1F1F1F"/>
          <w:sz w:val="30"/>
          <w:szCs w:val="30"/>
        </w:rPr>
        <w:t xml:space="preserve">1. The short answer</w:t>
      </w:r>
    </w:p>
    <w:p>
      <w:pPr>
        <w:keepNext w:val="false"/>
        <w:spacing w:after="120" w:before="0" w:line="260"/>
      </w:pPr>
      <w:r>
        <w:rPr>
          <w:rFonts w:ascii="Arial" w:cs="Arial" w:eastAsia="Arial" w:hAnsi="Arial"/>
          <w:b w:val="false"/>
          <w:bCs w:val="false"/>
          <w:i w:val="false"/>
          <w:iCs w:val="false"/>
          <w:color w:val="1F1F1F"/>
          <w:sz w:val="20"/>
          <w:szCs w:val="20"/>
        </w:rPr>
        <w:t xml:space="preserve">The question was how many characters are safe in an outbound REST parameter, specifically an id list for the Qualys Policy Compliance calls. There is no single number, because a value can sit in four different places on its way into the request, and the limit depends on which one is used.</w:t>
      </w:r>
    </w:p>
    <w:tbl>
      <w:tblPr>
        <w:tblW w:type="pct" w:w="100%"/>
        <w:tblBorders>
          <w:top w:val="single" w:color="C9CDD1" w:sz="4"/>
          <w:left w:val="single" w:color="C9CDD1" w:sz="4"/>
          <w:bottom w:val="single" w:color="C9CDD1" w:sz="4"/>
          <w:right w:val="single" w:color="C9CDD1" w:sz="4"/>
          <w:insideH w:val="single" w:color="C9CDD1" w:sz="4"/>
          <w:insideV w:val="single" w:color="C9CDD1" w:sz="4"/>
        </w:tblBorders>
        <w:tblLayout w:type="fixed"/>
      </w:tblPr>
      <w:tblGrid>
        <w:gridCol w:w="100"/>
        <w:gridCol w:w="100"/>
        <w:gridCol w:w="100"/>
      </w:tblGrid>
      <w:tr>
        <w:trPr>
          <w:cantSplit/>
          <w:tblHeader/>
        </w:trPr>
        <w:tc>
          <w:tcPr>
            <w:tcW w:type="pct" w:w="30%"/>
            <w:shd w:fill="E8EAEC" w:val="clear"/>
            <w:tcMar>
              <w:top w:type="dxa" w:w="70"/>
              <w:left w:type="dxa" w:w="110"/>
              <w:bottom w:type="dxa" w:w="70"/>
              <w:right w:type="dxa" w:w="110"/>
            </w:tcMar>
            <w:vAlign w:val="top"/>
          </w:tcPr>
          <w:p>
            <w:pPr>
              <w:keepNext w:val="false"/>
              <w:spacing w:after="0" w:before="0" w:line="220"/>
            </w:pPr>
            <w:r>
              <w:rPr>
                <w:rFonts w:ascii="Arial" w:cs="Arial" w:eastAsia="Arial" w:hAnsi="Arial"/>
                <w:b/>
                <w:bCs/>
                <w:i w:val="false"/>
                <w:iCs w:val="false"/>
                <w:color w:val="1F1F1F"/>
                <w:sz w:val="17"/>
                <w:szCs w:val="17"/>
              </w:rPr>
              <w:t xml:space="preserve">Where the value sits</w:t>
            </w:r>
          </w:p>
        </w:tc>
        <w:tc>
          <w:tcPr>
            <w:tcW w:type="pct" w:w="20%"/>
            <w:shd w:fill="E8EAEC" w:val="clear"/>
            <w:tcMar>
              <w:top w:type="dxa" w:w="70"/>
              <w:left w:type="dxa" w:w="110"/>
              <w:bottom w:type="dxa" w:w="70"/>
              <w:right w:type="dxa" w:w="110"/>
            </w:tcMar>
            <w:vAlign w:val="top"/>
          </w:tcPr>
          <w:p>
            <w:pPr>
              <w:keepNext w:val="false"/>
              <w:spacing w:after="0" w:before="0" w:line="220"/>
            </w:pPr>
            <w:r>
              <w:rPr>
                <w:rFonts w:ascii="Arial" w:cs="Arial" w:eastAsia="Arial" w:hAnsi="Arial"/>
                <w:b/>
                <w:bCs/>
                <w:i w:val="false"/>
                <w:iCs w:val="false"/>
                <w:color w:val="1F1F1F"/>
                <w:sz w:val="17"/>
                <w:szCs w:val="17"/>
              </w:rPr>
              <w:t xml:space="preserve">Limit</w:t>
            </w:r>
          </w:p>
        </w:tc>
        <w:tc>
          <w:tcPr>
            <w:tcW w:type="pct" w:w="50%"/>
            <w:shd w:fill="E8EAEC" w:val="clear"/>
            <w:tcMar>
              <w:top w:type="dxa" w:w="70"/>
              <w:left w:type="dxa" w:w="110"/>
              <w:bottom w:type="dxa" w:w="70"/>
              <w:right w:type="dxa" w:w="110"/>
            </w:tcMar>
            <w:vAlign w:val="top"/>
          </w:tcPr>
          <w:p>
            <w:pPr>
              <w:keepNext w:val="false"/>
              <w:spacing w:after="0" w:before="0" w:line="220"/>
            </w:pPr>
            <w:r>
              <w:rPr>
                <w:rFonts w:ascii="Arial" w:cs="Arial" w:eastAsia="Arial" w:hAnsi="Arial"/>
                <w:b/>
                <w:bCs/>
                <w:i w:val="false"/>
                <w:iCs w:val="false"/>
                <w:color w:val="1F1F1F"/>
                <w:sz w:val="17"/>
                <w:szCs w:val="17"/>
              </w:rPr>
              <w:t xml:space="preserve">When this is the one that applies</w:t>
            </w:r>
          </w:p>
        </w:tc>
      </w:tr>
      <w:tr>
        <w:trPr>
          <w:cantSplit/>
        </w:trPr>
        <w:tc>
          <w:tcPr>
            <w:tcW w:type="pct" w:w="30%"/>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Value column of an HTTP Query Parameter</w:t>
            </w:r>
          </w:p>
        </w:tc>
        <w:tc>
          <w:tcPr>
            <w:tcW w:type="pct" w:w="20%"/>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1,000 characters declared</w:t>
            </w:r>
          </w:p>
        </w:tc>
        <w:tc>
          <w:tcPr>
            <w:tcW w:type="pct" w:w="50%"/>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A fixed list is stored on the method itself. The form applies this figure; the platform does not enforce it on save.</w:t>
            </w:r>
          </w:p>
        </w:tc>
      </w:tr>
      <w:tr>
        <w:trPr>
          <w:cantSplit/>
        </w:trPr>
        <w:tc>
          <w:tcPr>
            <w:tcW w:type="pct" w:w="30%"/>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Integration Instance Parameter</w:t>
            </w:r>
          </w:p>
        </w:tc>
        <w:tc>
          <w:tcPr>
            <w:tcW w:type="pct" w:w="20%"/>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512 characters declared</w:t>
            </w:r>
          </w:p>
        </w:tc>
        <w:tc>
          <w:tcPr>
            <w:tcW w:type="pct" w:w="50%"/>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The value is configuration that an administrator edits. This is the route the shipped Qualys integration uses.</w:t>
            </w:r>
          </w:p>
        </w:tc>
      </w:tr>
      <w:tr>
        <w:trPr>
          <w:cantSplit/>
        </w:trPr>
        <w:tc>
          <w:tcPr>
            <w:tcW w:type="pct" w:w="30%"/>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System property</w:t>
            </w:r>
          </w:p>
        </w:tc>
        <w:tc>
          <w:tcPr>
            <w:tcW w:type="pct" w:w="20%"/>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4,000 characters declared</w:t>
            </w:r>
          </w:p>
        </w:tc>
        <w:tc>
          <w:tcPr>
            <w:tcW w:type="pct" w:w="50%"/>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A list is kept as configuration outside the integration framework. Widest of the three stores.</w:t>
            </w:r>
          </w:p>
        </w:tc>
      </w:tr>
      <w:tr>
        <w:trPr>
          <w:cantSplit/>
        </w:trPr>
        <w:tc>
          <w:tcPr>
            <w:tcW w:type="pct" w:w="30%"/>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Passed at run time by setStringParameter()</w:t>
            </w:r>
          </w:p>
        </w:tc>
        <w:tc>
          <w:tcPr>
            <w:tcW w:type="pct" w:w="20%"/>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No column limit applies</w:t>
            </w:r>
          </w:p>
        </w:tc>
        <w:tc>
          <w:tcPr>
            <w:tcW w:type="pct" w:w="50%"/>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A script supplies the value. It is never written to a field, so the ceiling moves to the length of the request URL.</w:t>
            </w:r>
          </w:p>
        </w:tc>
      </w:tr>
      <w:tr>
        <w:trPr>
          <w:cantSplit/>
        </w:trPr>
        <w:tc>
          <w:tcPr>
            <w:tcW w:type="pct" w:w="30%"/>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The request URL that results</w:t>
            </w:r>
          </w:p>
        </w:tc>
        <w:tc>
          <w:tcPr>
            <w:tcW w:type="pct" w:w="20%"/>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Plan for about 2,000 characters of query string</w:t>
            </w:r>
          </w:p>
        </w:tc>
        <w:tc>
          <w:tcPr>
            <w:tcW w:type="pct" w:w="50%"/>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Always, once the value is substituted. The standard recommends supporting 8,000 octets; common servers cut lower.</w:t>
            </w:r>
          </w:p>
        </w:tc>
      </w:tr>
    </w:tbl>
    <w:p>
      <w:pPr>
        <w:spacing w:after="60"/>
      </w:pPr>
      <w:r>
        <w:rPr>
          <w:rFonts w:ascii="Arial" w:cs="Arial" w:eastAsia="Arial" w:hAnsi="Arial"/>
          <w:b w:val="false"/>
          <w:bCs w:val="false"/>
          <w:i w:val="false"/>
          <w:iCs w:val="false"/>
          <w:color w:val="1F1F1F"/>
          <w:sz w:val="20"/>
          <w:szCs w:val="20"/>
        </w:rPr>
        <w:t xml:space="preserve"/>
      </w:r>
    </w:p>
    <w:p>
      <w:pPr>
        <w:keepNext w:val="false"/>
        <w:spacing w:after="120" w:before="0" w:line="260"/>
      </w:pPr>
      <w:r>
        <w:rPr>
          <w:rFonts w:ascii="Arial" w:cs="Arial" w:eastAsia="Arial" w:hAnsi="Arial"/>
          <w:b/>
          <w:bCs/>
          <w:i w:val="false"/>
          <w:iCs w:val="false"/>
          <w:color w:val="1F1F1F"/>
          <w:sz w:val="20"/>
          <w:szCs w:val="20"/>
        </w:rPr>
        <w:t xml:space="preserve">So the earlier figure of roughly a thousand characters, four thousand in a property, is right for two of the stored cases and misleading for the case that matters: the shipped integration passes its values at run time, and the configuration field behind them stops at 512, not 1,000.</w:t>
      </w:r>
    </w:p>
    <w:p>
      <w:pPr>
        <w:pStyle w:val="Heading1"/>
        <w:keepNext/>
        <w:spacing w:after="140" w:before="360"/>
      </w:pPr>
      <w:r>
        <w:rPr>
          <w:rFonts w:ascii="Arial" w:cs="Arial" w:eastAsia="Arial" w:hAnsi="Arial"/>
          <w:b/>
          <w:bCs/>
          <w:i w:val="false"/>
          <w:iCs w:val="false"/>
          <w:color w:val="1F1F1F"/>
          <w:sz w:val="30"/>
          <w:szCs w:val="30"/>
        </w:rPr>
        <w:t xml:space="preserve">2. How a value reaches the Qualys request</w:t>
      </w:r>
    </w:p>
    <w:p>
      <w:pPr>
        <w:keepNext w:val="false"/>
        <w:spacing w:after="120" w:before="0" w:line="260"/>
      </w:pPr>
      <w:r>
        <w:rPr>
          <w:rFonts w:ascii="Arial" w:cs="Arial" w:eastAsia="Arial" w:hAnsi="Arial"/>
          <w:b w:val="false"/>
          <w:bCs w:val="false"/>
          <w:i w:val="false"/>
          <w:iCs w:val="false"/>
          <w:color w:val="1F1F1F"/>
          <w:sz w:val="20"/>
          <w:szCs w:val="20"/>
        </w:rPr>
        <w:t xml:space="preserve">Nothing is hard coded into the URL. The two values that change per call arrive as variable substitutions, in four steps.</w:t>
      </w:r>
    </w:p>
    <w:p>
      <w:pPr>
        <w:pStyle w:val="ListParagraph"/>
        <w:numPr>
          <w:ilvl w:val="0"/>
          <w:numId w:val="1"/>
        </w:numPr>
        <w:spacing w:after="80" w:line="260"/>
      </w:pPr>
      <w:r>
        <w:rPr>
          <w:rFonts w:ascii="Arial" w:cs="Arial" w:eastAsia="Arial" w:hAnsi="Arial"/>
          <w:b w:val="false"/>
          <w:bCs w:val="false"/>
          <w:i w:val="false"/>
          <w:iCs w:val="false"/>
          <w:color w:val="1F1F1F"/>
          <w:sz w:val="20"/>
          <w:szCs w:val="20"/>
        </w:rPr>
        <w:t xml:space="preserve">An administrator sets the page size on the Qualys integration instance. That value lives in an Integration Instance Parameter record.</w:t>
      </w:r>
    </w:p>
    <w:p>
      <w:pPr>
        <w:pStyle w:val="ListParagraph"/>
        <w:numPr>
          <w:ilvl w:val="0"/>
          <w:numId w:val="1"/>
        </w:numPr>
        <w:spacing w:after="80" w:line="260"/>
      </w:pPr>
      <w:r>
        <w:rPr>
          <w:rFonts w:ascii="Arial" w:cs="Arial" w:eastAsia="Arial" w:hAnsi="Arial"/>
          <w:b w:val="false"/>
          <w:bCs w:val="false"/>
          <w:i w:val="false"/>
          <w:iCs w:val="false"/>
          <w:color w:val="1F1F1F"/>
          <w:sz w:val="20"/>
          <w:szCs w:val="20"/>
        </w:rPr>
        <w:t xml:space="preserve">The script include reads every parameter for that instance into a configuration object, through the Security Integration Framework.</w:t>
      </w:r>
    </w:p>
    <w:p>
      <w:pPr>
        <w:pStyle w:val="ListParagraph"/>
        <w:numPr>
          <w:ilvl w:val="0"/>
          <w:numId w:val="1"/>
        </w:numPr>
        <w:spacing w:after="80" w:line="260"/>
      </w:pPr>
      <w:r>
        <w:rPr>
          <w:rFonts w:ascii="Arial" w:cs="Arial" w:eastAsia="Arial" w:hAnsi="Arial"/>
          <w:b w:val="false"/>
          <w:bCs w:val="false"/>
          <w:i w:val="false"/>
          <w:iCs w:val="false"/>
          <w:color w:val="1F1F1F"/>
          <w:sz w:val="20"/>
          <w:szCs w:val="20"/>
        </w:rPr>
        <w:t xml:space="preserve">It calls setStringParameter() once per variable, supplying the policy id and the page size for this request.</w:t>
      </w:r>
    </w:p>
    <w:p>
      <w:pPr>
        <w:pStyle w:val="ListParagraph"/>
        <w:numPr>
          <w:ilvl w:val="0"/>
          <w:numId w:val="1"/>
        </w:numPr>
        <w:spacing w:after="80" w:line="260"/>
      </w:pPr>
      <w:r>
        <w:rPr>
          <w:rFonts w:ascii="Arial" w:cs="Arial" w:eastAsia="Arial" w:hAnsi="Arial"/>
          <w:b w:val="false"/>
          <w:bCs w:val="false"/>
          <w:i w:val="false"/>
          <w:iCs w:val="false"/>
          <w:color w:val="1F1F1F"/>
          <w:sz w:val="20"/>
          <w:szCs w:val="20"/>
        </w:rPr>
        <w:t xml:space="preserve">The method holds the query parameters, two of them written as $⁠{policyId} and $⁠{truncation_limit_pc_result}. The platform substitutes them when the message is sent.</w:t>
      </w:r>
    </w:p>
    <w:p>
      <w:pPr>
        <w:spacing w:after="40"/>
      </w:pPr>
      <w:r>
        <w:rPr>
          <w:rFonts w:ascii="Arial" w:cs="Arial" w:eastAsia="Arial" w:hAnsi="Arial"/>
          <w:b w:val="false"/>
          <w:bCs w:val="false"/>
          <w:i w:val="false"/>
          <w:iCs w:val="false"/>
          <w:color w:val="1F1F1F"/>
          <w:sz w:val="20"/>
          <w:szCs w:val="20"/>
        </w:rPr>
        <w:t xml:space="preserve"/>
      </w:r>
    </w:p>
    <w:p>
      <w:pPr>
        <w:keepNext w:val="false"/>
        <w:spacing w:after="120" w:before="0" w:line="260"/>
      </w:pPr>
      <w:r>
        <w:rPr>
          <w:rFonts w:ascii="Arial" w:cs="Arial" w:eastAsia="Arial" w:hAnsi="Arial"/>
          <w:b w:val="false"/>
          <w:bCs w:val="false"/>
          <w:i w:val="false"/>
          <w:iCs w:val="false"/>
          <w:color w:val="5A5F63"/>
          <w:sz w:val="19"/>
          <w:szCs w:val="19"/>
        </w:rPr>
        <w:t xml:space="preserve">The relevant lines of the shipped script include:</w:t>
      </w:r>
    </w:p>
    <w:p>
      <w:pPr>
        <w:shd w:fill="F2F3F4" w:val="clear"/>
        <w:spacing w:after="0" w:before="60" w:line="220"/>
        <w:ind w:left="180" w:right="180"/>
      </w:pPr>
      <w:r>
        <w:rPr>
          <w:rFonts w:ascii="Courier New" w:cs="Courier New" w:eastAsia="Courier New" w:hAnsi="Courier New"/>
          <w:b w:val="false"/>
          <w:bCs w:val="false"/>
          <w:i w:val="false"/>
          <w:iCs w:val="false"/>
          <w:color w:val="1F1F1F"/>
          <w:sz w:val="17"/>
          <w:szCs w:val="17"/>
        </w:rPr>
        <w:t xml:space="preserve">line 255   restMessage.setStringParameter("apiServer", this.config.url);</w:t>
      </w:r>
    </w:p>
    <w:p>
      <w:pPr>
        <w:shd w:fill="F2F3F4" w:val="clear"/>
        <w:spacing w:after="0" w:before="0" w:line="220"/>
        <w:ind w:left="180" w:right="180"/>
      </w:pPr>
      <w:r>
        <w:rPr>
          <w:rFonts w:ascii="Courier New" w:cs="Courier New" w:eastAsia="Courier New" w:hAnsi="Courier New"/>
          <w:b w:val="false"/>
          <w:bCs w:val="false"/>
          <w:i w:val="false"/>
          <w:iCs w:val="false"/>
          <w:color w:val="1F1F1F"/>
          <w:sz w:val="17"/>
          <w:szCs w:val="17"/>
        </w:rPr>
        <w:t xml:space="preserve">line 275   parameters.processing = parameters.pending[0];</w:t>
      </w:r>
    </w:p>
    <w:p>
      <w:pPr>
        <w:shd w:fill="F2F3F4" w:val="clear"/>
        <w:spacing w:after="0" w:before="0" w:line="220"/>
        <w:ind w:left="180" w:right="180"/>
      </w:pPr>
      <w:r>
        <w:rPr>
          <w:rFonts w:ascii="Courier New" w:cs="Courier New" w:eastAsia="Courier New" w:hAnsi="Courier New"/>
          <w:b w:val="false"/>
          <w:bCs w:val="false"/>
          <w:i w:val="false"/>
          <w:iCs w:val="false"/>
          <w:color w:val="1F1F1F"/>
          <w:sz w:val="17"/>
          <w:szCs w:val="17"/>
        </w:rPr>
        <w:t xml:space="preserve">line 281   restMessage.setStringParameter("policyId", parameters.processing);</w:t>
      </w:r>
    </w:p>
    <w:p>
      <w:pPr>
        <w:shd w:fill="F2F3F4" w:val="clear"/>
        <w:spacing w:after="0" w:before="0" w:line="220"/>
        <w:ind w:left="180" w:right="180"/>
      </w:pPr>
      <w:r>
        <w:rPr>
          <w:rFonts w:ascii="Courier New" w:cs="Courier New" w:eastAsia="Courier New" w:hAnsi="Courier New"/>
          <w:b w:val="false"/>
          <w:bCs w:val="false"/>
          <w:i w:val="false"/>
          <w:iCs w:val="false"/>
          <w:color w:val="1F1F1F"/>
          <w:sz w:val="17"/>
          <w:szCs w:val="17"/>
        </w:rPr>
        <w:t xml:space="preserve">line 284   var truncationLimit = this.config.truncation_limit_pc_result;</w:t>
      </w:r>
    </w:p>
    <w:p>
      <w:pPr>
        <w:shd w:fill="F2F3F4" w:val="clear"/>
        <w:spacing w:after="140" w:before="0" w:line="220"/>
        <w:ind w:left="180" w:right="180"/>
      </w:pPr>
      <w:r>
        <w:rPr>
          <w:rFonts w:ascii="Courier New" w:cs="Courier New" w:eastAsia="Courier New" w:hAnsi="Courier New"/>
          <w:b w:val="false"/>
          <w:bCs w:val="false"/>
          <w:i w:val="false"/>
          <w:iCs w:val="false"/>
          <w:color w:val="1F1F1F"/>
          <w:sz w:val="17"/>
          <w:szCs w:val="17"/>
        </w:rPr>
        <w:t xml:space="preserve">line 286   restMessage.setStringParameter("truncation_limit_pc_result", truncationLimit);</w:t>
      </w:r>
    </w:p>
    <w:p>
      <w:pPr>
        <w:keepNext w:val="false"/>
        <w:spacing w:after="120" w:before="0" w:line="260"/>
      </w:pPr>
      <w:r>
        <w:rPr>
          <w:rFonts w:ascii="Arial" w:cs="Arial" w:eastAsia="Arial" w:hAnsi="Arial"/>
          <w:b w:val="false"/>
          <w:bCs w:val="false"/>
          <w:i w:val="false"/>
          <w:iCs w:val="false"/>
          <w:color w:val="5A5F63"/>
          <w:sz w:val="19"/>
          <w:szCs w:val="19"/>
        </w:rPr>
        <w:t xml:space="preserve">The configuration object is built by the Security Integration Framework, which reads the Integration Instance Parameter records belonging to the running instance:</w:t>
      </w:r>
    </w:p>
    <w:p>
      <w:pPr>
        <w:shd w:fill="F2F3F4" w:val="clear"/>
        <w:spacing w:after="0" w:before="60" w:line="220"/>
        <w:ind w:left="180" w:right="180"/>
      </w:pPr>
      <w:r>
        <w:rPr>
          <w:rFonts w:ascii="Courier New" w:cs="Courier New" w:eastAsia="Courier New" w:hAnsi="Courier New"/>
          <w:b w:val="false"/>
          <w:bCs w:val="false"/>
          <w:i w:val="false"/>
          <w:iCs w:val="false"/>
          <w:color w:val="1F1F1F"/>
          <w:sz w:val="17"/>
          <w:szCs w:val="17"/>
        </w:rPr>
        <w:t xml:space="preserve">this.config = (new sn_sec_int.Implementation()).getConfiguration(this.integrationRunGr.implementation + "");</w:t>
      </w:r>
    </w:p>
    <w:p>
      <w:pPr>
        <w:shd w:fill="F2F3F4" w:val="clear"/>
        <w:spacing w:after="0" w:before="0" w:line="220"/>
        <w:ind w:left="180" w:right="180"/>
      </w:pPr>
      <w:r>
        <w:rPr>
          <w:rFonts w:ascii="Courier New" w:cs="Courier New" w:eastAsia="Courier New" w:hAnsi="Courier New"/>
          <w:b w:val="false"/>
          <w:bCs w:val="false"/>
          <w:i w:val="false"/>
          <w:iCs w:val="false"/>
          <w:color w:val="1F1F1F"/>
          <w:sz w:val="17"/>
          <w:szCs w:val="17"/>
        </w:rPr>
        <w:t xml:space="preserve"> </w:t>
      </w:r>
    </w:p>
    <w:p>
      <w:pPr>
        <w:shd w:fill="F2F3F4" w:val="clear"/>
        <w:spacing w:after="0" w:before="0" w:line="220"/>
        <w:ind w:left="180" w:right="180"/>
      </w:pPr>
      <w:r>
        <w:rPr>
          <w:rFonts w:ascii="Courier New" w:cs="Courier New" w:eastAsia="Courier New" w:hAnsi="Courier New"/>
          <w:b w:val="false"/>
          <w:bCs w:val="false"/>
          <w:i w:val="false"/>
          <w:iCs w:val="false"/>
          <w:color w:val="1F1F1F"/>
          <w:sz w:val="17"/>
          <w:szCs w:val="17"/>
        </w:rPr>
        <w:t xml:space="preserve">getConfiguration: function(implementationID, getEncryptedValue, fullConfig) {</w:t>
      </w:r>
    </w:p>
    <w:p>
      <w:pPr>
        <w:shd w:fill="F2F3F4" w:val="clear"/>
        <w:spacing w:after="0" w:before="0" w:line="220"/>
        <w:ind w:left="180" w:right="180"/>
      </w:pPr>
      <w:r>
        <w:rPr>
          <w:rFonts w:ascii="Courier New" w:cs="Courier New" w:eastAsia="Courier New" w:hAnsi="Courier New"/>
          <w:b w:val="false"/>
          <w:bCs w:val="false"/>
          <w:i w:val="false"/>
          <w:iCs w:val="false"/>
          <w:color w:val="1F1F1F"/>
          <w:sz w:val="17"/>
          <w:szCs w:val="17"/>
        </w:rPr>
        <w:t xml:space="preserve">    var implConfigGR = new GlideRecord("sn_sec_int_impl_config");</w:t>
      </w:r>
    </w:p>
    <w:p>
      <w:pPr>
        <w:shd w:fill="F2F3F4" w:val="clear"/>
        <w:spacing w:after="0" w:before="0" w:line="220"/>
        <w:ind w:left="180" w:right="180"/>
      </w:pPr>
      <w:r>
        <w:rPr>
          <w:rFonts w:ascii="Courier New" w:cs="Courier New" w:eastAsia="Courier New" w:hAnsi="Courier New"/>
          <w:b w:val="false"/>
          <w:bCs w:val="false"/>
          <w:i w:val="false"/>
          <w:iCs w:val="false"/>
          <w:color w:val="1F1F1F"/>
          <w:sz w:val="17"/>
          <w:szCs w:val="17"/>
        </w:rPr>
        <w:t xml:space="preserve">    implConfigGR.addQuery("implementation", implementationID);</w:t>
      </w:r>
    </w:p>
    <w:p>
      <w:pPr>
        <w:shd w:fill="F2F3F4" w:val="clear"/>
        <w:spacing w:after="0" w:before="0" w:line="220"/>
        <w:ind w:left="180" w:right="180"/>
      </w:pPr>
      <w:r>
        <w:rPr>
          <w:rFonts w:ascii="Courier New" w:cs="Courier New" w:eastAsia="Courier New" w:hAnsi="Courier New"/>
          <w:b w:val="false"/>
          <w:bCs w:val="false"/>
          <w:i w:val="false"/>
          <w:iCs w:val="false"/>
          <w:color w:val="1F1F1F"/>
          <w:sz w:val="17"/>
          <w:szCs w:val="17"/>
        </w:rPr>
        <w:t xml:space="preserve">    implConfigGR.query();</w:t>
      </w:r>
    </w:p>
    <w:p>
      <w:pPr>
        <w:shd w:fill="F2F3F4" w:val="clear"/>
        <w:spacing w:after="140" w:before="0" w:line="220"/>
        <w:ind w:left="180" w:right="180"/>
      </w:pPr>
      <w:r>
        <w:rPr>
          <w:rFonts w:ascii="Courier New" w:cs="Courier New" w:eastAsia="Courier New" w:hAnsi="Courier New"/>
          <w:b w:val="false"/>
          <w:bCs w:val="false"/>
          <w:i w:val="false"/>
          <w:iCs w:val="false"/>
          <w:color w:val="1F1F1F"/>
          <w:sz w:val="17"/>
          <w:szCs w:val="17"/>
        </w:rPr>
        <w:t xml:space="preserve">    while (implConfigGR.next()) { ... config[implConfigGR.configuration.name + ""] = value; }</w:t>
      </w:r>
    </w:p>
    <w:p>
      <w:pPr>
        <w:keepNext w:val="false"/>
        <w:spacing w:after="120" w:before="0" w:line="260"/>
      </w:pPr>
      <w:r>
        <w:rPr>
          <w:rFonts w:ascii="Arial" w:cs="Arial" w:eastAsia="Arial" w:hAnsi="Arial"/>
          <w:b w:val="false"/>
          <w:bCs w:val="false"/>
          <w:i w:val="false"/>
          <w:iCs w:val="false"/>
          <w:color w:val="1F1F1F"/>
          <w:sz w:val="20"/>
          <w:szCs w:val="20"/>
        </w:rPr>
        <w:t xml:space="preserve">That is the point that matters for length. Anything an administrator configures has already passed through the Integration Instance Parameter field, so that field, at 512 characters, is the binding limit for the configured route. A value a script builds for itself and hands straight to setStringParameter() never touches it.</w:t>
      </w:r>
    </w:p>
    <w:p>
      <w:pPr>
        <w:pStyle w:val="Heading1"/>
        <w:keepNext/>
        <w:spacing w:after="140" w:before="360"/>
      </w:pPr>
      <w:r>
        <w:rPr>
          <w:rFonts w:ascii="Arial" w:cs="Arial" w:eastAsia="Arial" w:hAnsi="Arial"/>
          <w:b/>
          <w:bCs/>
          <w:i w:val="false"/>
          <w:iCs w:val="false"/>
          <w:color w:val="1F1F1F"/>
          <w:sz w:val="30"/>
          <w:szCs w:val="30"/>
        </w:rPr>
        <w:t xml:space="preserve">3. The limits in that chain</w:t>
      </w:r>
    </w:p>
    <w:p>
      <w:pPr>
        <w:keepNext w:val="false"/>
        <w:spacing w:after="120" w:before="0" w:line="260"/>
      </w:pPr>
      <w:r>
        <w:rPr>
          <w:rFonts w:ascii="Arial" w:cs="Arial" w:eastAsia="Arial" w:hAnsi="Arial"/>
          <w:b w:val="false"/>
          <w:bCs w:val="false"/>
          <w:i w:val="false"/>
          <w:iCs w:val="false"/>
          <w:color w:val="1F1F1F"/>
          <w:sz w:val="20"/>
          <w:szCs w:val="20"/>
        </w:rPr>
        <w:t xml:space="preserve">Each row is a dictionary entry read from the instance. To open one, go to /sys_dictionary.do?sys_id= followed by the id in the last column, on your own instance address.</w:t>
      </w:r>
    </w:p>
    <w:tbl>
      <w:tblPr>
        <w:tblW w:type="pct" w:w="100%"/>
        <w:tblBorders>
          <w:top w:val="single" w:color="C9CDD1" w:sz="4"/>
          <w:left w:val="single" w:color="C9CDD1" w:sz="4"/>
          <w:bottom w:val="single" w:color="C9CDD1" w:sz="4"/>
          <w:right w:val="single" w:color="C9CDD1" w:sz="4"/>
          <w:insideH w:val="single" w:color="C9CDD1" w:sz="4"/>
          <w:insideV w:val="single" w:color="C9CDD1" w:sz="4"/>
        </w:tblBorders>
        <w:tblLayout w:type="fixed"/>
      </w:tblPr>
      <w:tblGrid>
        <w:gridCol w:w="100"/>
        <w:gridCol w:w="100"/>
        <w:gridCol w:w="100"/>
        <w:gridCol w:w="100"/>
      </w:tblGrid>
      <w:tr>
        <w:trPr>
          <w:cantSplit/>
          <w:tblHeader/>
        </w:trPr>
        <w:tc>
          <w:tcPr>
            <w:tcW w:type="pct" w:w="30%"/>
            <w:shd w:fill="E8EAEC" w:val="clear"/>
            <w:tcMar>
              <w:top w:type="dxa" w:w="70"/>
              <w:left w:type="dxa" w:w="110"/>
              <w:bottom w:type="dxa" w:w="70"/>
              <w:right w:type="dxa" w:w="110"/>
            </w:tcMar>
            <w:vAlign w:val="top"/>
          </w:tcPr>
          <w:p>
            <w:pPr>
              <w:keepNext w:val="false"/>
              <w:spacing w:after="0" w:before="0" w:line="220"/>
            </w:pPr>
            <w:r>
              <w:rPr>
                <w:rFonts w:ascii="Arial" w:cs="Arial" w:eastAsia="Arial" w:hAnsi="Arial"/>
                <w:b/>
                <w:bCs/>
                <w:i w:val="false"/>
                <w:iCs w:val="false"/>
                <w:color w:val="1F1F1F"/>
                <w:sz w:val="17"/>
                <w:szCs w:val="17"/>
              </w:rPr>
              <w:t xml:space="preserve">Related list and table</w:t>
            </w:r>
          </w:p>
        </w:tc>
        <w:tc>
          <w:tcPr>
            <w:tcW w:type="pct" w:w="22%"/>
            <w:shd w:fill="E8EAEC" w:val="clear"/>
            <w:tcMar>
              <w:top w:type="dxa" w:w="70"/>
              <w:left w:type="dxa" w:w="110"/>
              <w:bottom w:type="dxa" w:w="70"/>
              <w:right w:type="dxa" w:w="110"/>
            </w:tcMar>
            <w:vAlign w:val="top"/>
          </w:tcPr>
          <w:p>
            <w:pPr>
              <w:keepNext w:val="false"/>
              <w:spacing w:after="0" w:before="0" w:line="220"/>
            </w:pPr>
            <w:r>
              <w:rPr>
                <w:rFonts w:ascii="Arial" w:cs="Arial" w:eastAsia="Arial" w:hAnsi="Arial"/>
                <w:b/>
                <w:bCs/>
                <w:i w:val="false"/>
                <w:iCs w:val="false"/>
                <w:color w:val="1F1F1F"/>
                <w:sz w:val="17"/>
                <w:szCs w:val="17"/>
              </w:rPr>
              <w:t xml:space="preserve">Field</w:t>
            </w:r>
          </w:p>
        </w:tc>
        <w:tc>
          <w:tcPr>
            <w:tcW w:type="pct" w:w="16%"/>
            <w:shd w:fill="E8EAEC" w:val="clear"/>
            <w:tcMar>
              <w:top w:type="dxa" w:w="70"/>
              <w:left w:type="dxa" w:w="110"/>
              <w:bottom w:type="dxa" w:w="70"/>
              <w:right w:type="dxa" w:w="110"/>
            </w:tcMar>
            <w:vAlign w:val="top"/>
          </w:tcPr>
          <w:p>
            <w:pPr>
              <w:keepNext w:val="false"/>
              <w:spacing w:after="0" w:before="0" w:line="220"/>
            </w:pPr>
            <w:r>
              <w:rPr>
                <w:rFonts w:ascii="Arial" w:cs="Arial" w:eastAsia="Arial" w:hAnsi="Arial"/>
                <w:b/>
                <w:bCs/>
                <w:i w:val="false"/>
                <w:iCs w:val="false"/>
                <w:color w:val="1F1F1F"/>
                <w:sz w:val="17"/>
                <w:szCs w:val="17"/>
              </w:rPr>
              <w:t xml:space="preserve">Type, length</w:t>
            </w:r>
          </w:p>
        </w:tc>
        <w:tc>
          <w:tcPr>
            <w:tcW w:type="pct" w:w="32%"/>
            <w:shd w:fill="E8EAEC" w:val="clear"/>
            <w:tcMar>
              <w:top w:type="dxa" w:w="70"/>
              <w:left w:type="dxa" w:w="110"/>
              <w:bottom w:type="dxa" w:w="70"/>
              <w:right w:type="dxa" w:w="110"/>
            </w:tcMar>
            <w:vAlign w:val="top"/>
          </w:tcPr>
          <w:p>
            <w:pPr>
              <w:keepNext w:val="false"/>
              <w:spacing w:after="0" w:before="0" w:line="220"/>
            </w:pPr>
            <w:r>
              <w:rPr>
                <w:rFonts w:ascii="Arial" w:cs="Arial" w:eastAsia="Arial" w:hAnsi="Arial"/>
                <w:b/>
                <w:bCs/>
                <w:i w:val="false"/>
                <w:iCs w:val="false"/>
                <w:color w:val="1F1F1F"/>
                <w:sz w:val="17"/>
                <w:szCs w:val="17"/>
              </w:rPr>
              <w:t xml:space="preserve">Dictionary record id</w:t>
            </w:r>
          </w:p>
        </w:tc>
      </w:tr>
      <w:tr>
        <w:trPr>
          <w:cantSplit/>
        </w:trPr>
        <w:tc>
          <w:tcPr>
            <w:tcW w:type="pct" w:w="30%"/>
            <w:tcMar>
              <w:top w:type="dxa" w:w="70"/>
              <w:left w:type="dxa" w:w="110"/>
              <w:bottom w:type="dxa" w:w="70"/>
              <w:right w:type="dxa" w:w="110"/>
            </w:tcMar>
            <w:vAlign w:val="top"/>
          </w:tcPr>
          <w:p>
            <w:pPr>
              <w:keepNext w:val="false"/>
              <w:spacing w:after="0" w:before="0" w:line="210"/>
            </w:pPr>
            <w:r>
              <w:rPr>
                <w:rFonts w:ascii="Arial" w:cs="Arial" w:eastAsia="Arial" w:hAnsi="Arial"/>
                <w:b/>
                <w:bCs/>
                <w:i w:val="false"/>
                <w:iCs w:val="false"/>
                <w:color w:val="1F1F1F"/>
                <w:sz w:val="17"/>
                <w:szCs w:val="17"/>
              </w:rPr>
              <w:t xml:space="preserve">Integration Parameter</w:t>
            </w:r>
            <w:r>
              <w:rPr>
                <w:rFonts w:ascii="Courier New" w:cs="Courier New" w:eastAsia="Courier New" w:hAnsi="Courier New"/>
                <w:b w:val="false"/>
                <w:bCs w:val="false"/>
                <w:i w:val="false"/>
                <w:iCs w:val="false"/>
                <w:color w:val="5A5F63"/>
                <w:sz w:val="14"/>
                <w:szCs w:val="14"/>
              </w:rPr>
              <w:t xml:space="preserve">
sn_sec_int_config</w:t>
            </w:r>
          </w:p>
        </w:tc>
        <w:tc>
          <w:tcPr>
            <w:tcW w:type="pct" w:w="22%"/>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default_value  "Default value"</w:t>
            </w:r>
          </w:p>
        </w:tc>
        <w:tc>
          <w:tcPr>
            <w:tcW w:type="pct" w:w="16%"/>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string, 512</w:t>
            </w:r>
          </w:p>
        </w:tc>
        <w:tc>
          <w:tcPr>
            <w:tcW w:type="pct" w:w="32%"/>
            <w:tcMar>
              <w:top w:type="dxa" w:w="70"/>
              <w:left w:type="dxa" w:w="110"/>
              <w:bottom w:type="dxa" w:w="70"/>
              <w:right w:type="dxa" w:w="110"/>
            </w:tcMar>
            <w:vAlign w:val="top"/>
          </w:tcPr>
          <w:p>
            <w:pPr>
              <w:keepNext w:val="false"/>
              <w:spacing w:after="0" w:before="0" w:line="210"/>
            </w:pPr>
            <w:r>
              <w:rPr>
                <w:rFonts w:ascii="Courier New" w:cs="Courier New" w:eastAsia="Courier New" w:hAnsi="Courier New"/>
                <w:b w:val="false"/>
                <w:bCs w:val="false"/>
                <w:i w:val="false"/>
                <w:iCs w:val="false"/>
                <w:color w:val="5A5F63"/>
                <w:sz w:val="15"/>
                <w:szCs w:val="15"/>
              </w:rPr>
              <w:t xml:space="preserve">729def50934e4710e3aef0aefaba1033</w:t>
            </w:r>
          </w:p>
        </w:tc>
      </w:tr>
      <w:tr>
        <w:trPr>
          <w:cantSplit/>
        </w:trPr>
        <w:tc>
          <w:tcPr>
            <w:tcW w:type="pct" w:w="30%"/>
            <w:shd w:fill="F5F6F7" w:val="clear"/>
            <w:tcMar>
              <w:top w:type="dxa" w:w="70"/>
              <w:left w:type="dxa" w:w="110"/>
              <w:bottom w:type="dxa" w:w="70"/>
              <w:right w:type="dxa" w:w="110"/>
            </w:tcMar>
            <w:vAlign w:val="top"/>
          </w:tcPr>
          <w:p>
            <w:pPr>
              <w:keepNext w:val="false"/>
              <w:spacing w:after="0" w:before="0" w:line="210"/>
            </w:pPr>
            <w:r>
              <w:rPr>
                <w:rFonts w:ascii="Arial" w:cs="Arial" w:eastAsia="Arial" w:hAnsi="Arial"/>
                <w:b/>
                <w:bCs/>
                <w:i w:val="false"/>
                <w:iCs w:val="false"/>
                <w:color w:val="1F1F1F"/>
                <w:sz w:val="17"/>
                <w:szCs w:val="17"/>
              </w:rPr>
              <w:t xml:space="preserve">Integration Instance Parameter</w:t>
            </w:r>
            <w:r>
              <w:rPr>
                <w:rFonts w:ascii="Courier New" w:cs="Courier New" w:eastAsia="Courier New" w:hAnsi="Courier New"/>
                <w:b w:val="false"/>
                <w:bCs w:val="false"/>
                <w:i w:val="false"/>
                <w:iCs w:val="false"/>
                <w:color w:val="5A5F63"/>
                <w:sz w:val="14"/>
                <w:szCs w:val="14"/>
              </w:rPr>
              <w:t xml:space="preserve">
sn_sec_int_impl_config</w:t>
            </w:r>
          </w:p>
        </w:tc>
        <w:tc>
          <w:tcPr>
            <w:tcW w:type="pct" w:w="22%"/>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value  "Value"</w:t>
            </w:r>
          </w:p>
        </w:tc>
        <w:tc>
          <w:tcPr>
            <w:tcW w:type="pct" w:w="16%"/>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string, 512</w:t>
            </w:r>
          </w:p>
        </w:tc>
        <w:tc>
          <w:tcPr>
            <w:tcW w:type="pct" w:w="32%"/>
            <w:shd w:fill="F5F6F7" w:val="clear"/>
            <w:tcMar>
              <w:top w:type="dxa" w:w="70"/>
              <w:left w:type="dxa" w:w="110"/>
              <w:bottom w:type="dxa" w:w="70"/>
              <w:right w:type="dxa" w:w="110"/>
            </w:tcMar>
            <w:vAlign w:val="top"/>
          </w:tcPr>
          <w:p>
            <w:pPr>
              <w:keepNext w:val="false"/>
              <w:spacing w:after="0" w:before="0" w:line="210"/>
            </w:pPr>
            <w:r>
              <w:rPr>
                <w:rFonts w:ascii="Courier New" w:cs="Courier New" w:eastAsia="Courier New" w:hAnsi="Courier New"/>
                <w:b w:val="false"/>
                <w:bCs w:val="false"/>
                <w:i w:val="false"/>
                <w:iCs w:val="false"/>
                <w:color w:val="5A5F63"/>
                <w:sz w:val="15"/>
                <w:szCs w:val="15"/>
              </w:rPr>
              <w:t xml:space="preserve">1b9d2390934e4710e3aef0aefaba1029</w:t>
            </w:r>
          </w:p>
        </w:tc>
      </w:tr>
      <w:tr>
        <w:trPr>
          <w:cantSplit/>
        </w:trPr>
        <w:tc>
          <w:tcPr>
            <w:tcW w:type="pct" w:w="30%"/>
            <w:tcMar>
              <w:top w:type="dxa" w:w="70"/>
              <w:left w:type="dxa" w:w="110"/>
              <w:bottom w:type="dxa" w:w="70"/>
              <w:right w:type="dxa" w:w="110"/>
            </w:tcMar>
            <w:vAlign w:val="top"/>
          </w:tcPr>
          <w:p>
            <w:pPr>
              <w:keepNext w:val="false"/>
              <w:spacing w:after="0" w:before="0" w:line="210"/>
            </w:pPr>
            <w:r>
              <w:rPr>
                <w:rFonts w:ascii="Arial" w:cs="Arial" w:eastAsia="Arial" w:hAnsi="Arial"/>
                <w:b/>
                <w:bCs/>
                <w:i w:val="false"/>
                <w:iCs w:val="false"/>
                <w:color w:val="1F1F1F"/>
                <w:sz w:val="17"/>
                <w:szCs w:val="17"/>
              </w:rPr>
              <w:t xml:space="preserve">REST Message</w:t>
            </w:r>
            <w:r>
              <w:rPr>
                <w:rFonts w:ascii="Courier New" w:cs="Courier New" w:eastAsia="Courier New" w:hAnsi="Courier New"/>
                <w:b w:val="false"/>
                <w:bCs w:val="false"/>
                <w:i w:val="false"/>
                <w:iCs w:val="false"/>
                <w:color w:val="5A5F63"/>
                <w:sz w:val="14"/>
                <w:szCs w:val="14"/>
              </w:rPr>
              <w:t xml:space="preserve">
sys_rest_message</w:t>
            </w:r>
          </w:p>
        </w:tc>
        <w:tc>
          <w:tcPr>
            <w:tcW w:type="pct" w:w="22%"/>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rest_endpoint  "Endpoint"</w:t>
            </w:r>
          </w:p>
        </w:tc>
        <w:tc>
          <w:tcPr>
            <w:tcW w:type="pct" w:w="16%"/>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string, 200</w:t>
            </w:r>
          </w:p>
        </w:tc>
        <w:tc>
          <w:tcPr>
            <w:tcW w:type="pct" w:w="32%"/>
            <w:tcMar>
              <w:top w:type="dxa" w:w="70"/>
              <w:left w:type="dxa" w:w="110"/>
              <w:bottom w:type="dxa" w:w="70"/>
              <w:right w:type="dxa" w:w="110"/>
            </w:tcMar>
            <w:vAlign w:val="top"/>
          </w:tcPr>
          <w:p>
            <w:pPr>
              <w:keepNext w:val="false"/>
              <w:spacing w:after="0" w:before="0" w:line="210"/>
            </w:pPr>
            <w:r>
              <w:rPr>
                <w:rFonts w:ascii="Courier New" w:cs="Courier New" w:eastAsia="Courier New" w:hAnsi="Courier New"/>
                <w:b w:val="false"/>
                <w:bCs w:val="false"/>
                <w:i w:val="false"/>
                <w:iCs w:val="false"/>
                <w:color w:val="5A5F63"/>
                <w:sz w:val="15"/>
                <w:szCs w:val="15"/>
              </w:rPr>
              <w:t xml:space="preserve">4584182cf50003100a22c0b3dfa15121</w:t>
            </w:r>
          </w:p>
        </w:tc>
      </w:tr>
      <w:tr>
        <w:trPr>
          <w:cantSplit/>
        </w:trPr>
        <w:tc>
          <w:tcPr>
            <w:tcW w:type="pct" w:w="30%"/>
            <w:shd w:fill="F5F6F7" w:val="clear"/>
            <w:tcMar>
              <w:top w:type="dxa" w:w="70"/>
              <w:left w:type="dxa" w:w="110"/>
              <w:bottom w:type="dxa" w:w="70"/>
              <w:right w:type="dxa" w:w="110"/>
            </w:tcMar>
            <w:vAlign w:val="top"/>
          </w:tcPr>
          <w:p>
            <w:pPr>
              <w:keepNext w:val="false"/>
              <w:spacing w:after="0" w:before="0" w:line="210"/>
            </w:pPr>
            <w:r>
              <w:rPr>
                <w:rFonts w:ascii="Arial" w:cs="Arial" w:eastAsia="Arial" w:hAnsi="Arial"/>
                <w:b/>
                <w:bCs/>
                <w:i w:val="false"/>
                <w:iCs w:val="false"/>
                <w:color w:val="1F1F1F"/>
                <w:sz w:val="17"/>
                <w:szCs w:val="17"/>
              </w:rPr>
              <w:t xml:space="preserve">HTTP Method</w:t>
            </w:r>
            <w:r>
              <w:rPr>
                <w:rFonts w:ascii="Courier New" w:cs="Courier New" w:eastAsia="Courier New" w:hAnsi="Courier New"/>
                <w:b w:val="false"/>
                <w:bCs w:val="false"/>
                <w:i w:val="false"/>
                <w:iCs w:val="false"/>
                <w:color w:val="5A5F63"/>
                <w:sz w:val="14"/>
                <w:szCs w:val="14"/>
              </w:rPr>
              <w:t xml:space="preserve">
sys_rest_message_fn</w:t>
            </w:r>
          </w:p>
        </w:tc>
        <w:tc>
          <w:tcPr>
            <w:tcW w:type="pct" w:w="22%"/>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rest_endpoint  "Endpoint"</w:t>
            </w:r>
          </w:p>
        </w:tc>
        <w:tc>
          <w:tcPr>
            <w:tcW w:type="pct" w:w="16%"/>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string, 200</w:t>
            </w:r>
          </w:p>
        </w:tc>
        <w:tc>
          <w:tcPr>
            <w:tcW w:type="pct" w:w="32%"/>
            <w:shd w:fill="F5F6F7" w:val="clear"/>
            <w:tcMar>
              <w:top w:type="dxa" w:w="70"/>
              <w:left w:type="dxa" w:w="110"/>
              <w:bottom w:type="dxa" w:w="70"/>
              <w:right w:type="dxa" w:w="110"/>
            </w:tcMar>
            <w:vAlign w:val="top"/>
          </w:tcPr>
          <w:p>
            <w:pPr>
              <w:keepNext w:val="false"/>
              <w:spacing w:after="0" w:before="0" w:line="210"/>
            </w:pPr>
            <w:r>
              <w:rPr>
                <w:rFonts w:ascii="Courier New" w:cs="Courier New" w:eastAsia="Courier New" w:hAnsi="Courier New"/>
                <w:b w:val="false"/>
                <w:bCs w:val="false"/>
                <w:i w:val="false"/>
                <w:iCs w:val="false"/>
                <w:color w:val="5A5F63"/>
                <w:sz w:val="15"/>
                <w:szCs w:val="15"/>
              </w:rPr>
              <w:t xml:space="preserve">7084d42cf50003100a22c0b3dfa1518f</w:t>
            </w:r>
          </w:p>
        </w:tc>
      </w:tr>
      <w:tr>
        <w:trPr>
          <w:cantSplit/>
        </w:trPr>
        <w:tc>
          <w:tcPr>
            <w:tcW w:type="pct" w:w="30%"/>
            <w:tcMar>
              <w:top w:type="dxa" w:w="70"/>
              <w:left w:type="dxa" w:w="110"/>
              <w:bottom w:type="dxa" w:w="70"/>
              <w:right w:type="dxa" w:w="110"/>
            </w:tcMar>
            <w:vAlign w:val="top"/>
          </w:tcPr>
          <w:p>
            <w:pPr>
              <w:keepNext w:val="false"/>
              <w:spacing w:after="0" w:before="0" w:line="210"/>
            </w:pPr>
            <w:r>
              <w:rPr>
                <w:rFonts w:ascii="Arial" w:cs="Arial" w:eastAsia="Arial" w:hAnsi="Arial"/>
                <w:b/>
                <w:bCs/>
                <w:i w:val="false"/>
                <w:iCs w:val="false"/>
                <w:color w:val="1F1F1F"/>
                <w:sz w:val="17"/>
                <w:szCs w:val="17"/>
              </w:rPr>
              <w:t xml:space="preserve">HTTP Query Parameters</w:t>
            </w:r>
            <w:r>
              <w:rPr>
                <w:rFonts w:ascii="Courier New" w:cs="Courier New" w:eastAsia="Courier New" w:hAnsi="Courier New"/>
                <w:b w:val="false"/>
                <w:bCs w:val="false"/>
                <w:i w:val="false"/>
                <w:iCs w:val="false"/>
                <w:color w:val="5A5F63"/>
                <w:sz w:val="14"/>
                <w:szCs w:val="14"/>
              </w:rPr>
              <w:t xml:space="preserve">
sys_rest_message_fn_param_defs</w:t>
            </w:r>
          </w:p>
        </w:tc>
        <w:tc>
          <w:tcPr>
            <w:tcW w:type="pct" w:w="22%"/>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value  "Value"</w:t>
            </w:r>
          </w:p>
        </w:tc>
        <w:tc>
          <w:tcPr>
            <w:tcW w:type="pct" w:w="16%"/>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string, 1000</w:t>
            </w:r>
          </w:p>
        </w:tc>
        <w:tc>
          <w:tcPr>
            <w:tcW w:type="pct" w:w="32%"/>
            <w:tcMar>
              <w:top w:type="dxa" w:w="70"/>
              <w:left w:type="dxa" w:w="110"/>
              <w:bottom w:type="dxa" w:w="70"/>
              <w:right w:type="dxa" w:w="110"/>
            </w:tcMar>
            <w:vAlign w:val="top"/>
          </w:tcPr>
          <w:p>
            <w:pPr>
              <w:keepNext w:val="false"/>
              <w:spacing w:after="0" w:before="0" w:line="210"/>
            </w:pPr>
            <w:r>
              <w:rPr>
                <w:rFonts w:ascii="Courier New" w:cs="Courier New" w:eastAsia="Courier New" w:hAnsi="Courier New"/>
                <w:b w:val="false"/>
                <w:bCs w:val="false"/>
                <w:i w:val="false"/>
                <w:iCs w:val="false"/>
                <w:color w:val="5A5F63"/>
                <w:sz w:val="15"/>
                <w:szCs w:val="15"/>
              </w:rPr>
              <w:t xml:space="preserve">4d84182cf50003100a22c0b3dfa15142</w:t>
            </w:r>
          </w:p>
        </w:tc>
      </w:tr>
      <w:tr>
        <w:trPr>
          <w:cantSplit/>
        </w:trPr>
        <w:tc>
          <w:tcPr>
            <w:tcW w:type="pct" w:w="30%"/>
            <w:shd w:fill="F5F6F7" w:val="clear"/>
            <w:tcMar>
              <w:top w:type="dxa" w:w="70"/>
              <w:left w:type="dxa" w:w="110"/>
              <w:bottom w:type="dxa" w:w="70"/>
              <w:right w:type="dxa" w:w="110"/>
            </w:tcMar>
            <w:vAlign w:val="top"/>
          </w:tcPr>
          <w:p>
            <w:pPr>
              <w:keepNext w:val="false"/>
              <w:spacing w:after="0" w:before="0" w:line="210"/>
            </w:pPr>
            <w:r>
              <w:rPr>
                <w:rFonts w:ascii="Arial" w:cs="Arial" w:eastAsia="Arial" w:hAnsi="Arial"/>
                <w:b/>
                <w:bCs/>
                <w:i w:val="false"/>
                <w:iCs w:val="false"/>
                <w:color w:val="1F1F1F"/>
                <w:sz w:val="17"/>
                <w:szCs w:val="17"/>
              </w:rPr>
              <w:t xml:space="preserve">HTTP Query Parameters</w:t>
            </w:r>
            <w:r>
              <w:rPr>
                <w:rFonts w:ascii="Courier New" w:cs="Courier New" w:eastAsia="Courier New" w:hAnsi="Courier New"/>
                <w:b w:val="false"/>
                <w:bCs w:val="false"/>
                <w:i w:val="false"/>
                <w:iCs w:val="false"/>
                <w:color w:val="5A5F63"/>
                <w:sz w:val="14"/>
                <w:szCs w:val="14"/>
              </w:rPr>
              <w:t xml:space="preserve">
sys_rest_message_fn_param_defs</w:t>
            </w:r>
          </w:p>
        </w:tc>
        <w:tc>
          <w:tcPr>
            <w:tcW w:type="pct" w:w="22%"/>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name  "Name"</w:t>
            </w:r>
          </w:p>
        </w:tc>
        <w:tc>
          <w:tcPr>
            <w:tcW w:type="pct" w:w="16%"/>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string, 80</w:t>
            </w:r>
          </w:p>
        </w:tc>
        <w:tc>
          <w:tcPr>
            <w:tcW w:type="pct" w:w="32%"/>
            <w:shd w:fill="F5F6F7" w:val="clear"/>
            <w:tcMar>
              <w:top w:type="dxa" w:w="70"/>
              <w:left w:type="dxa" w:w="110"/>
              <w:bottom w:type="dxa" w:w="70"/>
              <w:right w:type="dxa" w:w="110"/>
            </w:tcMar>
            <w:vAlign w:val="top"/>
          </w:tcPr>
          <w:p>
            <w:pPr>
              <w:keepNext w:val="false"/>
              <w:spacing w:after="0" w:before="0" w:line="210"/>
            </w:pPr>
            <w:r>
              <w:rPr>
                <w:rFonts w:ascii="Courier New" w:cs="Courier New" w:eastAsia="Courier New" w:hAnsi="Courier New"/>
                <w:b w:val="false"/>
                <w:bCs w:val="false"/>
                <w:i w:val="false"/>
                <w:iCs w:val="false"/>
                <w:color w:val="5A5F63"/>
                <w:sz w:val="15"/>
                <w:szCs w:val="15"/>
              </w:rPr>
              <w:t xml:space="preserve">8184182cf50003100a22c0b3dfa15141</w:t>
            </w:r>
          </w:p>
        </w:tc>
      </w:tr>
      <w:tr>
        <w:trPr>
          <w:cantSplit/>
        </w:trPr>
        <w:tc>
          <w:tcPr>
            <w:tcW w:type="pct" w:w="30%"/>
            <w:tcMar>
              <w:top w:type="dxa" w:w="70"/>
              <w:left w:type="dxa" w:w="110"/>
              <w:bottom w:type="dxa" w:w="70"/>
              <w:right w:type="dxa" w:w="110"/>
            </w:tcMar>
            <w:vAlign w:val="top"/>
          </w:tcPr>
          <w:p>
            <w:pPr>
              <w:keepNext w:val="false"/>
              <w:spacing w:after="0" w:before="0" w:line="210"/>
            </w:pPr>
            <w:r>
              <w:rPr>
                <w:rFonts w:ascii="Arial" w:cs="Arial" w:eastAsia="Arial" w:hAnsi="Arial"/>
                <w:b/>
                <w:bCs/>
                <w:i w:val="false"/>
                <w:iCs w:val="false"/>
                <w:color w:val="1F1F1F"/>
                <w:sz w:val="17"/>
                <w:szCs w:val="17"/>
              </w:rPr>
              <w:t xml:space="preserve">Variable Substitutions</w:t>
            </w:r>
            <w:r>
              <w:rPr>
                <w:rFonts w:ascii="Courier New" w:cs="Courier New" w:eastAsia="Courier New" w:hAnsi="Courier New"/>
                <w:b w:val="false"/>
                <w:bCs w:val="false"/>
                <w:i w:val="false"/>
                <w:iCs w:val="false"/>
                <w:color w:val="5A5F63"/>
                <w:sz w:val="14"/>
                <w:szCs w:val="14"/>
              </w:rPr>
              <w:t xml:space="preserve">
sys_rest_message_fn_parameters</w:t>
            </w:r>
          </w:p>
        </w:tc>
        <w:tc>
          <w:tcPr>
            <w:tcW w:type="pct" w:w="22%"/>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value  "Test value"</w:t>
            </w:r>
          </w:p>
        </w:tc>
        <w:tc>
          <w:tcPr>
            <w:tcW w:type="pct" w:w="16%"/>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string, 1000</w:t>
            </w:r>
          </w:p>
        </w:tc>
        <w:tc>
          <w:tcPr>
            <w:tcW w:type="pct" w:w="32%"/>
            <w:tcMar>
              <w:top w:type="dxa" w:w="70"/>
              <w:left w:type="dxa" w:w="110"/>
              <w:bottom w:type="dxa" w:w="70"/>
              <w:right w:type="dxa" w:w="110"/>
            </w:tcMar>
            <w:vAlign w:val="top"/>
          </w:tcPr>
          <w:p>
            <w:pPr>
              <w:keepNext w:val="false"/>
              <w:spacing w:after="0" w:before="0" w:line="210"/>
            </w:pPr>
            <w:r>
              <w:rPr>
                <w:rFonts w:ascii="Courier New" w:cs="Courier New" w:eastAsia="Courier New" w:hAnsi="Courier New"/>
                <w:b w:val="false"/>
                <w:bCs w:val="false"/>
                <w:i w:val="false"/>
                <w:iCs w:val="false"/>
                <w:color w:val="5A5F63"/>
                <w:sz w:val="15"/>
                <w:szCs w:val="15"/>
              </w:rPr>
              <w:t xml:space="preserve">dd84182cf50003100a22c0b3dfa1519a</w:t>
            </w:r>
          </w:p>
        </w:tc>
      </w:tr>
      <w:tr>
        <w:trPr>
          <w:cantSplit/>
        </w:trPr>
        <w:tc>
          <w:tcPr>
            <w:tcW w:type="pct" w:w="30%"/>
            <w:shd w:fill="F5F6F7" w:val="clear"/>
            <w:tcMar>
              <w:top w:type="dxa" w:w="70"/>
              <w:left w:type="dxa" w:w="110"/>
              <w:bottom w:type="dxa" w:w="70"/>
              <w:right w:type="dxa" w:w="110"/>
            </w:tcMar>
            <w:vAlign w:val="top"/>
          </w:tcPr>
          <w:p>
            <w:pPr>
              <w:keepNext w:val="false"/>
              <w:spacing w:after="0" w:before="0" w:line="210"/>
            </w:pPr>
            <w:r>
              <w:rPr>
                <w:rFonts w:ascii="Arial" w:cs="Arial" w:eastAsia="Arial" w:hAnsi="Arial"/>
                <w:b/>
                <w:bCs/>
                <w:i w:val="false"/>
                <w:iCs w:val="false"/>
                <w:color w:val="1F1F1F"/>
                <w:sz w:val="17"/>
                <w:szCs w:val="17"/>
              </w:rPr>
              <w:t xml:space="preserve">HTTP Headers</w:t>
            </w:r>
            <w:r>
              <w:rPr>
                <w:rFonts w:ascii="Courier New" w:cs="Courier New" w:eastAsia="Courier New" w:hAnsi="Courier New"/>
                <w:b w:val="false"/>
                <w:bCs w:val="false"/>
                <w:i w:val="false"/>
                <w:iCs w:val="false"/>
                <w:color w:val="5A5F63"/>
                <w:sz w:val="14"/>
                <w:szCs w:val="14"/>
              </w:rPr>
              <w:t xml:space="preserve">
sys_rest_message_fn_headers</w:t>
            </w:r>
          </w:p>
        </w:tc>
        <w:tc>
          <w:tcPr>
            <w:tcW w:type="pct" w:w="22%"/>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value  "Value"</w:t>
            </w:r>
          </w:p>
        </w:tc>
        <w:tc>
          <w:tcPr>
            <w:tcW w:type="pct" w:w="16%"/>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string, 1000</w:t>
            </w:r>
          </w:p>
        </w:tc>
        <w:tc>
          <w:tcPr>
            <w:tcW w:type="pct" w:w="32%"/>
            <w:shd w:fill="F5F6F7" w:val="clear"/>
            <w:tcMar>
              <w:top w:type="dxa" w:w="70"/>
              <w:left w:type="dxa" w:w="110"/>
              <w:bottom w:type="dxa" w:w="70"/>
              <w:right w:type="dxa" w:w="110"/>
            </w:tcMar>
            <w:vAlign w:val="top"/>
          </w:tcPr>
          <w:p>
            <w:pPr>
              <w:keepNext w:val="false"/>
              <w:spacing w:after="0" w:before="0" w:line="210"/>
            </w:pPr>
            <w:r>
              <w:rPr>
                <w:rFonts w:ascii="Courier New" w:cs="Courier New" w:eastAsia="Courier New" w:hAnsi="Courier New"/>
                <w:b w:val="false"/>
                <w:bCs w:val="false"/>
                <w:i w:val="false"/>
                <w:iCs w:val="false"/>
                <w:color w:val="5A5F63"/>
                <w:sz w:val="15"/>
                <w:szCs w:val="15"/>
              </w:rPr>
              <w:t xml:space="preserve">c984d42cf50003100a22c0b3dfa151ad</w:t>
            </w:r>
          </w:p>
        </w:tc>
      </w:tr>
      <w:tr>
        <w:trPr>
          <w:cantSplit/>
        </w:trPr>
        <w:tc>
          <w:tcPr>
            <w:tcW w:type="pct" w:w="30%"/>
            <w:tcMar>
              <w:top w:type="dxa" w:w="70"/>
              <w:left w:type="dxa" w:w="110"/>
              <w:bottom w:type="dxa" w:w="70"/>
              <w:right w:type="dxa" w:w="110"/>
            </w:tcMar>
            <w:vAlign w:val="top"/>
          </w:tcPr>
          <w:p>
            <w:pPr>
              <w:keepNext w:val="false"/>
              <w:spacing w:after="0" w:before="0" w:line="210"/>
            </w:pPr>
            <w:r>
              <w:rPr>
                <w:rFonts w:ascii="Arial" w:cs="Arial" w:eastAsia="Arial" w:hAnsi="Arial"/>
                <w:b/>
                <w:bCs/>
                <w:i w:val="false"/>
                <w:iCs w:val="false"/>
                <w:color w:val="1F1F1F"/>
                <w:sz w:val="17"/>
                <w:szCs w:val="17"/>
              </w:rPr>
              <w:t xml:space="preserve">System Property</w:t>
            </w:r>
            <w:r>
              <w:rPr>
                <w:rFonts w:ascii="Courier New" w:cs="Courier New" w:eastAsia="Courier New" w:hAnsi="Courier New"/>
                <w:b w:val="false"/>
                <w:bCs w:val="false"/>
                <w:i w:val="false"/>
                <w:iCs w:val="false"/>
                <w:color w:val="5A5F63"/>
                <w:sz w:val="14"/>
                <w:szCs w:val="14"/>
              </w:rPr>
              <w:t xml:space="preserve">
sys_properties</w:t>
            </w:r>
          </w:p>
        </w:tc>
        <w:tc>
          <w:tcPr>
            <w:tcW w:type="pct" w:w="22%"/>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value  "Value"</w:t>
            </w:r>
          </w:p>
        </w:tc>
        <w:tc>
          <w:tcPr>
            <w:tcW w:type="pct" w:w="16%"/>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string, 4000</w:t>
            </w:r>
          </w:p>
        </w:tc>
        <w:tc>
          <w:tcPr>
            <w:tcW w:type="pct" w:w="32%"/>
            <w:tcMar>
              <w:top w:type="dxa" w:w="70"/>
              <w:left w:type="dxa" w:w="110"/>
              <w:bottom w:type="dxa" w:w="70"/>
              <w:right w:type="dxa" w:w="110"/>
            </w:tcMar>
            <w:vAlign w:val="top"/>
          </w:tcPr>
          <w:p>
            <w:pPr>
              <w:keepNext w:val="false"/>
              <w:spacing w:after="0" w:before="0" w:line="210"/>
            </w:pPr>
            <w:r>
              <w:rPr>
                <w:rFonts w:ascii="Courier New" w:cs="Courier New" w:eastAsia="Courier New" w:hAnsi="Courier New"/>
                <w:b w:val="false"/>
                <w:bCs w:val="false"/>
                <w:i w:val="false"/>
                <w:iCs w:val="false"/>
                <w:color w:val="5A5F63"/>
                <w:sz w:val="15"/>
                <w:szCs w:val="15"/>
              </w:rPr>
              <w:t xml:space="preserve">31931420f50003100a22c0b3dfa151f8</w:t>
            </w:r>
          </w:p>
        </w:tc>
      </w:tr>
    </w:tbl>
    <w:p>
      <w:pPr>
        <w:spacing w:after="60"/>
      </w:pPr>
      <w:r>
        <w:rPr>
          <w:rFonts w:ascii="Arial" w:cs="Arial" w:eastAsia="Arial" w:hAnsi="Arial"/>
          <w:b w:val="false"/>
          <w:bCs w:val="false"/>
          <w:i w:val="false"/>
          <w:iCs w:val="false"/>
          <w:color w:val="1F1F1F"/>
          <w:sz w:val="20"/>
          <w:szCs w:val="20"/>
        </w:rPr>
        <w:t xml:space="preserve"/>
      </w:r>
    </w:p>
    <w:p>
      <w:pPr>
        <w:keepNext w:val="false"/>
        <w:spacing w:after="120" w:before="0" w:line="260"/>
      </w:pPr>
      <w:r>
        <w:rPr>
          <w:rFonts w:ascii="Arial" w:cs="Arial" w:eastAsia="Arial" w:hAnsi="Arial"/>
          <w:b w:val="false"/>
          <w:bCs w:val="false"/>
          <w:i w:val="false"/>
          <w:iCs w:val="false"/>
          <w:color w:val="1F1F1F"/>
          <w:sz w:val="20"/>
          <w:szCs w:val="20"/>
        </w:rPr>
        <w:t xml:space="preserve">Three of these need a note.</w:t>
      </w:r>
    </w:p>
    <w:p>
      <w:pPr>
        <w:pStyle w:val="ListParagraph"/>
        <w:numPr>
          <w:ilvl w:val="0"/>
          <w:numId w:val="1"/>
        </w:numPr>
        <w:spacing w:after="80" w:line="260"/>
      </w:pPr>
      <w:r>
        <w:rPr>
          <w:rFonts w:ascii="Arial" w:cs="Arial" w:eastAsia="Arial" w:hAnsi="Arial"/>
          <w:b w:val="false"/>
          <w:bCs w:val="false"/>
          <w:i w:val="false"/>
          <w:iCs w:val="false"/>
          <w:color w:val="1F1F1F"/>
          <w:sz w:val="20"/>
          <w:szCs w:val="20"/>
        </w:rPr>
        <w:t xml:space="preserve">The Value column on Variable Substitutions is labelled "Test value", and ServiceNow documents it as being used when testing an HTTP method from the form. It is not the live value, so a long string there never reaches Qualys.</w:t>
      </w:r>
    </w:p>
    <w:p>
      <w:pPr>
        <w:pStyle w:val="ListParagraph"/>
        <w:numPr>
          <w:ilvl w:val="0"/>
          <w:numId w:val="1"/>
        </w:numPr>
        <w:spacing w:after="80" w:line="260"/>
      </w:pPr>
      <w:r>
        <w:rPr>
          <w:rFonts w:ascii="Arial" w:cs="Arial" w:eastAsia="Arial" w:hAnsi="Arial"/>
          <w:b w:val="false"/>
          <w:bCs w:val="false"/>
          <w:i w:val="false"/>
          <w:iCs w:val="false"/>
          <w:color w:val="1F1F1F"/>
          <w:sz w:val="20"/>
          <w:szCs w:val="20"/>
        </w:rPr>
        <w:t xml:space="preserve">The method Endpoint field stops at 200 characters, so writing an id list straight into the URL is the tightest option of all, not the loosest.</w:t>
      </w:r>
    </w:p>
    <w:p>
      <w:pPr>
        <w:pStyle w:val="ListParagraph"/>
        <w:numPr>
          <w:ilvl w:val="0"/>
          <w:numId w:val="1"/>
        </w:numPr>
        <w:spacing w:after="80" w:line="260"/>
      </w:pPr>
      <w:r>
        <w:rPr>
          <w:rFonts w:ascii="Arial" w:cs="Arial" w:eastAsia="Arial" w:hAnsi="Arial"/>
          <w:b w:val="false"/>
          <w:bCs w:val="false"/>
          <w:i w:val="false"/>
          <w:iCs w:val="false"/>
          <w:color w:val="1F1F1F"/>
          <w:sz w:val="20"/>
          <w:szCs w:val="20"/>
        </w:rPr>
        <w:t xml:space="preserve">The declared lengths are not a hard cut. ServiceNow states that the database may widen a column to the nearest matching type, and a write above the declared length was kept in full when made by script, as section 6 records.</w:t>
      </w:r>
    </w:p>
    <w:p>
      <w:pPr>
        <w:pStyle w:val="Heading1"/>
        <w:keepNext/>
        <w:spacing w:after="140" w:before="360"/>
      </w:pPr>
      <w:r>
        <w:rPr>
          <w:rFonts w:ascii="Arial" w:cs="Arial" w:eastAsia="Arial" w:hAnsi="Arial"/>
          <w:b/>
          <w:bCs/>
          <w:i w:val="false"/>
          <w:iCs w:val="false"/>
          <w:color w:val="1F1F1F"/>
          <w:sz w:val="30"/>
          <w:szCs w:val="30"/>
        </w:rPr>
        <w:t xml:space="preserve">4. The page size: what is set, and what Qualys would do anyway</w:t>
      </w:r>
    </w:p>
    <w:p>
      <w:pPr>
        <w:keepNext w:val="false"/>
        <w:spacing w:after="120" w:before="0" w:line="260"/>
      </w:pPr>
      <w:r>
        <w:rPr>
          <w:rFonts w:ascii="Arial" w:cs="Arial" w:eastAsia="Arial" w:hAnsi="Arial"/>
          <w:b w:val="false"/>
          <w:bCs w:val="false"/>
          <w:i w:val="false"/>
          <w:iCs w:val="false"/>
          <w:color w:val="1F1F1F"/>
          <w:sz w:val="20"/>
          <w:szCs w:val="20"/>
        </w:rPr>
        <w:t xml:space="preserve">The page size for the Posture Info calls is not left to chance. ServiceNow ships a parameter for it, gives it a default, and that default is set on the instance. The last two columns are record ids: the shipped definition on sn_sec_int_config, and the value held for this integration instance on sn_sec_int_impl_config.</w:t>
      </w:r>
    </w:p>
    <w:tbl>
      <w:tblPr>
        <w:tblW w:type="pct" w:w="100%"/>
        <w:tblBorders>
          <w:top w:val="single" w:color="C9CDD1" w:sz="4"/>
          <w:left w:val="single" w:color="C9CDD1" w:sz="4"/>
          <w:bottom w:val="single" w:color="C9CDD1" w:sz="4"/>
          <w:right w:val="single" w:color="C9CDD1" w:sz="4"/>
          <w:insideH w:val="single" w:color="C9CDD1" w:sz="4"/>
          <w:insideV w:val="single" w:color="C9CDD1" w:sz="4"/>
        </w:tblBorders>
        <w:tblLayout w:type="fixed"/>
      </w:tblPr>
      <w:tblGrid>
        <w:gridCol w:w="100"/>
        <w:gridCol w:w="100"/>
        <w:gridCol w:w="100"/>
        <w:gridCol w:w="100"/>
        <w:gridCol w:w="100"/>
      </w:tblGrid>
      <w:tr>
        <w:trPr>
          <w:cantSplit/>
          <w:tblHeader/>
        </w:trPr>
        <w:tc>
          <w:tcPr>
            <w:tcW w:type="pct" w:w="26%"/>
            <w:shd w:fill="E8EAEC" w:val="clear"/>
            <w:tcMar>
              <w:top w:type="dxa" w:w="70"/>
              <w:left w:type="dxa" w:w="110"/>
              <w:bottom w:type="dxa" w:w="70"/>
              <w:right w:type="dxa" w:w="110"/>
            </w:tcMar>
            <w:vAlign w:val="top"/>
          </w:tcPr>
          <w:p>
            <w:pPr>
              <w:keepNext w:val="false"/>
              <w:spacing w:after="0" w:before="0" w:line="220"/>
            </w:pPr>
            <w:r>
              <w:rPr>
                <w:rFonts w:ascii="Arial" w:cs="Arial" w:eastAsia="Arial" w:hAnsi="Arial"/>
                <w:b/>
                <w:bCs/>
                <w:i w:val="false"/>
                <w:iCs w:val="false"/>
                <w:color w:val="1F1F1F"/>
                <w:sz w:val="17"/>
                <w:szCs w:val="17"/>
              </w:rPr>
              <w:t xml:space="preserve">Parameter</w:t>
            </w:r>
          </w:p>
        </w:tc>
        <w:tc>
          <w:tcPr>
            <w:tcW w:type="pct" w:w="12%"/>
            <w:shd w:fill="E8EAEC" w:val="clear"/>
            <w:tcMar>
              <w:top w:type="dxa" w:w="70"/>
              <w:left w:type="dxa" w:w="110"/>
              <w:bottom w:type="dxa" w:w="70"/>
              <w:right w:type="dxa" w:w="110"/>
            </w:tcMar>
            <w:vAlign w:val="top"/>
          </w:tcPr>
          <w:p>
            <w:pPr>
              <w:keepNext w:val="false"/>
              <w:spacing w:after="0" w:before="0" w:line="220"/>
            </w:pPr>
            <w:r>
              <w:rPr>
                <w:rFonts w:ascii="Arial" w:cs="Arial" w:eastAsia="Arial" w:hAnsi="Arial"/>
                <w:b/>
                <w:bCs/>
                <w:i w:val="false"/>
                <w:iCs w:val="false"/>
                <w:color w:val="1F1F1F"/>
                <w:sz w:val="17"/>
                <w:szCs w:val="17"/>
              </w:rPr>
              <w:t xml:space="preserve">Shipped default</w:t>
            </w:r>
          </w:p>
        </w:tc>
        <w:tc>
          <w:tcPr>
            <w:tcW w:type="pct" w:w="13%"/>
            <w:shd w:fill="E8EAEC" w:val="clear"/>
            <w:tcMar>
              <w:top w:type="dxa" w:w="70"/>
              <w:left w:type="dxa" w:w="110"/>
              <w:bottom w:type="dxa" w:w="70"/>
              <w:right w:type="dxa" w:w="110"/>
            </w:tcMar>
            <w:vAlign w:val="top"/>
          </w:tcPr>
          <w:p>
            <w:pPr>
              <w:keepNext w:val="false"/>
              <w:spacing w:after="0" w:before="0" w:line="220"/>
            </w:pPr>
            <w:r>
              <w:rPr>
                <w:rFonts w:ascii="Arial" w:cs="Arial" w:eastAsia="Arial" w:hAnsi="Arial"/>
                <w:b/>
                <w:bCs/>
                <w:i w:val="false"/>
                <w:iCs w:val="false"/>
                <w:color w:val="1F1F1F"/>
                <w:sz w:val="17"/>
                <w:szCs w:val="17"/>
              </w:rPr>
              <w:t xml:space="preserve">Set on the instance</w:t>
            </w:r>
          </w:p>
        </w:tc>
        <w:tc>
          <w:tcPr>
            <w:tcW w:type="pct" w:w="24%"/>
            <w:shd w:fill="E8EAEC" w:val="clear"/>
            <w:tcMar>
              <w:top w:type="dxa" w:w="70"/>
              <w:left w:type="dxa" w:w="110"/>
              <w:bottom w:type="dxa" w:w="70"/>
              <w:right w:type="dxa" w:w="110"/>
            </w:tcMar>
            <w:vAlign w:val="top"/>
          </w:tcPr>
          <w:p>
            <w:pPr>
              <w:keepNext w:val="false"/>
              <w:spacing w:after="0" w:before="0" w:line="220"/>
            </w:pPr>
            <w:r>
              <w:rPr>
                <w:rFonts w:ascii="Arial" w:cs="Arial" w:eastAsia="Arial" w:hAnsi="Arial"/>
                <w:b/>
                <w:bCs/>
                <w:i w:val="false"/>
                <w:iCs w:val="false"/>
                <w:color w:val="1F1F1F"/>
                <w:sz w:val="17"/>
                <w:szCs w:val="17"/>
              </w:rPr>
              <w:t xml:space="preserve">Definition id</w:t>
            </w:r>
          </w:p>
        </w:tc>
        <w:tc>
          <w:tcPr>
            <w:tcW w:type="pct" w:w="25%"/>
            <w:shd w:fill="E8EAEC" w:val="clear"/>
            <w:tcMar>
              <w:top w:type="dxa" w:w="70"/>
              <w:left w:type="dxa" w:w="110"/>
              <w:bottom w:type="dxa" w:w="70"/>
              <w:right w:type="dxa" w:w="110"/>
            </w:tcMar>
            <w:vAlign w:val="top"/>
          </w:tcPr>
          <w:p>
            <w:pPr>
              <w:keepNext w:val="false"/>
              <w:spacing w:after="0" w:before="0" w:line="220"/>
            </w:pPr>
            <w:r>
              <w:rPr>
                <w:rFonts w:ascii="Arial" w:cs="Arial" w:eastAsia="Arial" w:hAnsi="Arial"/>
                <w:b/>
                <w:bCs/>
                <w:i w:val="false"/>
                <w:iCs w:val="false"/>
                <w:color w:val="1F1F1F"/>
                <w:sz w:val="17"/>
                <w:szCs w:val="17"/>
              </w:rPr>
              <w:t xml:space="preserve">Value id</w:t>
            </w:r>
          </w:p>
        </w:tc>
      </w:tr>
      <w:tr>
        <w:trPr>
          <w:cantSplit/>
        </w:trPr>
        <w:tc>
          <w:tcPr>
            <w:tcW w:type="pct" w:w="26%"/>
            <w:tcMar>
              <w:top w:type="dxa" w:w="70"/>
              <w:left w:type="dxa" w:w="110"/>
              <w:bottom w:type="dxa" w:w="70"/>
              <w:right w:type="dxa" w:w="110"/>
            </w:tcMar>
            <w:vAlign w:val="top"/>
          </w:tcPr>
          <w:p>
            <w:pPr>
              <w:keepNext w:val="false"/>
              <w:spacing w:after="0" w:before="0" w:line="200"/>
            </w:pPr>
            <w:r>
              <w:rPr>
                <w:rFonts w:ascii="Arial" w:cs="Arial" w:eastAsia="Arial" w:hAnsi="Arial"/>
                <w:b/>
                <w:bCs/>
                <w:i w:val="false"/>
                <w:iCs w:val="false"/>
                <w:color w:val="1F1F1F"/>
                <w:sz w:val="16"/>
                <w:szCs w:val="16"/>
              </w:rPr>
              <w:t xml:space="preserve">Truncation limit PC result</w:t>
            </w:r>
            <w:r>
              <w:rPr>
                <w:rFonts w:ascii="Courier New" w:cs="Courier New" w:eastAsia="Courier New" w:hAnsi="Courier New"/>
                <w:b w:val="false"/>
                <w:bCs w:val="false"/>
                <w:i w:val="false"/>
                <w:iCs w:val="false"/>
                <w:color w:val="5A5F63"/>
                <w:sz w:val="13"/>
                <w:szCs w:val="13"/>
              </w:rPr>
              <w:t xml:space="preserve">
truncation_limit_pc_result</w:t>
            </w:r>
          </w:p>
        </w:tc>
        <w:tc>
          <w:tcPr>
            <w:tcW w:type="pct" w:w="12%"/>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5000</w:t>
            </w:r>
          </w:p>
        </w:tc>
        <w:tc>
          <w:tcPr>
            <w:tcW w:type="pct" w:w="13%"/>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5000</w:t>
            </w:r>
          </w:p>
        </w:tc>
        <w:tc>
          <w:tcPr>
            <w:tcW w:type="pct" w:w="24%"/>
            <w:tcMar>
              <w:top w:type="dxa" w:w="70"/>
              <w:left w:type="dxa" w:w="110"/>
              <w:bottom w:type="dxa" w:w="70"/>
              <w:right w:type="dxa" w:w="110"/>
            </w:tcMar>
            <w:vAlign w:val="top"/>
          </w:tcPr>
          <w:p>
            <w:pPr>
              <w:keepNext w:val="false"/>
              <w:spacing w:after="0" w:before="0" w:line="210"/>
            </w:pPr>
            <w:r>
              <w:rPr>
                <w:rFonts w:ascii="Courier New" w:cs="Courier New" w:eastAsia="Courier New" w:hAnsi="Courier New"/>
                <w:b w:val="false"/>
                <w:bCs w:val="false"/>
                <w:i w:val="false"/>
                <w:iCs w:val="false"/>
                <w:color w:val="5A5F63"/>
                <w:sz w:val="15"/>
                <w:szCs w:val="15"/>
              </w:rPr>
              <w:t xml:space="preserve">c2d8cae9ff893a10e5ecffffffffffa2</w:t>
            </w:r>
          </w:p>
        </w:tc>
        <w:tc>
          <w:tcPr>
            <w:tcW w:type="pct" w:w="25%"/>
            <w:tcMar>
              <w:top w:type="dxa" w:w="70"/>
              <w:left w:type="dxa" w:w="110"/>
              <w:bottom w:type="dxa" w:w="70"/>
              <w:right w:type="dxa" w:w="110"/>
            </w:tcMar>
            <w:vAlign w:val="top"/>
          </w:tcPr>
          <w:p>
            <w:pPr>
              <w:keepNext w:val="false"/>
              <w:spacing w:after="0" w:before="0" w:line="210"/>
            </w:pPr>
            <w:r>
              <w:rPr>
                <w:rFonts w:ascii="Courier New" w:cs="Courier New" w:eastAsia="Courier New" w:hAnsi="Courier New"/>
                <w:b w:val="false"/>
                <w:bCs w:val="false"/>
                <w:i w:val="false"/>
                <w:iCs w:val="false"/>
                <w:color w:val="5A5F63"/>
                <w:sz w:val="15"/>
                <w:szCs w:val="15"/>
              </w:rPr>
              <w:t xml:space="preserve">8da468a493660754e3aef0aefaba104d</w:t>
            </w:r>
          </w:p>
        </w:tc>
      </w:tr>
      <w:tr>
        <w:trPr>
          <w:cantSplit/>
        </w:trPr>
        <w:tc>
          <w:tcPr>
            <w:tcW w:type="pct" w:w="26%"/>
            <w:shd w:fill="F5F6F7" w:val="clear"/>
            <w:tcMar>
              <w:top w:type="dxa" w:w="70"/>
              <w:left w:type="dxa" w:w="110"/>
              <w:bottom w:type="dxa" w:w="70"/>
              <w:right w:type="dxa" w:w="110"/>
            </w:tcMar>
            <w:vAlign w:val="top"/>
          </w:tcPr>
          <w:p>
            <w:pPr>
              <w:keepNext w:val="false"/>
              <w:spacing w:after="0" w:before="0" w:line="200"/>
            </w:pPr>
            <w:r>
              <w:rPr>
                <w:rFonts w:ascii="Arial" w:cs="Arial" w:eastAsia="Arial" w:hAnsi="Arial"/>
                <w:b/>
                <w:bCs/>
                <w:i w:val="false"/>
                <w:iCs w:val="false"/>
                <w:color w:val="1F1F1F"/>
                <w:sz w:val="16"/>
                <w:szCs w:val="16"/>
              </w:rPr>
              <w:t xml:space="preserve">Truncation Limit</w:t>
            </w:r>
            <w:r>
              <w:rPr>
                <w:rFonts w:ascii="Courier New" w:cs="Courier New" w:eastAsia="Courier New" w:hAnsi="Courier New"/>
                <w:b w:val="false"/>
                <w:bCs w:val="false"/>
                <w:i w:val="false"/>
                <w:iCs w:val="false"/>
                <w:color w:val="5A5F63"/>
                <w:sz w:val="13"/>
                <w:szCs w:val="13"/>
              </w:rPr>
              <w:t xml:space="preserve">
truncation_limit</w:t>
            </w:r>
          </w:p>
        </w:tc>
        <w:tc>
          <w:tcPr>
            <w:tcW w:type="pct" w:w="12%"/>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300</w:t>
            </w:r>
          </w:p>
        </w:tc>
        <w:tc>
          <w:tcPr>
            <w:tcW w:type="pct" w:w="13%"/>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300.0</w:t>
            </w:r>
          </w:p>
        </w:tc>
        <w:tc>
          <w:tcPr>
            <w:tcW w:type="pct" w:w="24%"/>
            <w:shd w:fill="F5F6F7" w:val="clear"/>
            <w:tcMar>
              <w:top w:type="dxa" w:w="70"/>
              <w:left w:type="dxa" w:w="110"/>
              <w:bottom w:type="dxa" w:w="70"/>
              <w:right w:type="dxa" w:w="110"/>
            </w:tcMar>
            <w:vAlign w:val="top"/>
          </w:tcPr>
          <w:p>
            <w:pPr>
              <w:keepNext w:val="false"/>
              <w:spacing w:after="0" w:before="0" w:line="210"/>
            </w:pPr>
            <w:r>
              <w:rPr>
                <w:rFonts w:ascii="Courier New" w:cs="Courier New" w:eastAsia="Courier New" w:hAnsi="Courier New"/>
                <w:b w:val="false"/>
                <w:bCs w:val="false"/>
                <w:i w:val="false"/>
                <w:iCs w:val="false"/>
                <w:color w:val="5A5F63"/>
                <w:sz w:val="15"/>
                <w:szCs w:val="15"/>
              </w:rPr>
              <w:t xml:space="preserve">a6ec90bde74303006b3663c343f6a946</w:t>
            </w:r>
          </w:p>
        </w:tc>
        <w:tc>
          <w:tcPr>
            <w:tcW w:type="pct" w:w="25%"/>
            <w:shd w:fill="F5F6F7" w:val="clear"/>
            <w:tcMar>
              <w:top w:type="dxa" w:w="70"/>
              <w:left w:type="dxa" w:w="110"/>
              <w:bottom w:type="dxa" w:w="70"/>
              <w:right w:type="dxa" w:w="110"/>
            </w:tcMar>
            <w:vAlign w:val="top"/>
          </w:tcPr>
          <w:p>
            <w:pPr>
              <w:keepNext w:val="false"/>
              <w:spacing w:after="0" w:before="0" w:line="210"/>
            </w:pPr>
            <w:r>
              <w:rPr>
                <w:rFonts w:ascii="Courier New" w:cs="Courier New" w:eastAsia="Courier New" w:hAnsi="Courier New"/>
                <w:b w:val="false"/>
                <w:bCs w:val="false"/>
                <w:i w:val="false"/>
                <w:iCs w:val="false"/>
                <w:color w:val="5A5F63"/>
                <w:sz w:val="15"/>
                <w:szCs w:val="15"/>
              </w:rPr>
              <w:t xml:space="preserve">d594e86493660754e3aef0aefaba1082</w:t>
            </w:r>
          </w:p>
        </w:tc>
      </w:tr>
      <w:tr>
        <w:trPr>
          <w:cantSplit/>
        </w:trPr>
        <w:tc>
          <w:tcPr>
            <w:tcW w:type="pct" w:w="26%"/>
            <w:tcMar>
              <w:top w:type="dxa" w:w="70"/>
              <w:left w:type="dxa" w:w="110"/>
              <w:bottom w:type="dxa" w:w="70"/>
              <w:right w:type="dxa" w:w="110"/>
            </w:tcMar>
            <w:vAlign w:val="top"/>
          </w:tcPr>
          <w:p>
            <w:pPr>
              <w:keepNext w:val="false"/>
              <w:spacing w:after="0" w:before="0" w:line="200"/>
            </w:pPr>
            <w:r>
              <w:rPr>
                <w:rFonts w:ascii="Arial" w:cs="Arial" w:eastAsia="Arial" w:hAnsi="Arial"/>
                <w:b/>
                <w:bCs/>
                <w:i w:val="false"/>
                <w:iCs w:val="false"/>
                <w:color w:val="1F1F1F"/>
                <w:sz w:val="16"/>
                <w:szCs w:val="16"/>
              </w:rPr>
              <w:t xml:space="preserve">Truncation Limit Host List Integration</w:t>
            </w:r>
            <w:r>
              <w:rPr>
                <w:rFonts w:ascii="Courier New" w:cs="Courier New" w:eastAsia="Courier New" w:hAnsi="Courier New"/>
                <w:b w:val="false"/>
                <w:bCs w:val="false"/>
                <w:i w:val="false"/>
                <w:iCs w:val="false"/>
                <w:color w:val="5A5F63"/>
                <w:sz w:val="13"/>
                <w:szCs w:val="13"/>
              </w:rPr>
              <w:t xml:space="preserve">
truncation_limit_host_list_integration</w:t>
            </w:r>
          </w:p>
        </w:tc>
        <w:tc>
          <w:tcPr>
            <w:tcW w:type="pct" w:w="12%"/>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2000</w:t>
            </w:r>
          </w:p>
        </w:tc>
        <w:tc>
          <w:tcPr>
            <w:tcW w:type="pct" w:w="13%"/>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2000.0</w:t>
            </w:r>
          </w:p>
        </w:tc>
        <w:tc>
          <w:tcPr>
            <w:tcW w:type="pct" w:w="24%"/>
            <w:tcMar>
              <w:top w:type="dxa" w:w="70"/>
              <w:left w:type="dxa" w:w="110"/>
              <w:bottom w:type="dxa" w:w="70"/>
              <w:right w:type="dxa" w:w="110"/>
            </w:tcMar>
            <w:vAlign w:val="top"/>
          </w:tcPr>
          <w:p>
            <w:pPr>
              <w:keepNext w:val="false"/>
              <w:spacing w:after="0" w:before="0" w:line="210"/>
            </w:pPr>
            <w:r>
              <w:rPr>
                <w:rFonts w:ascii="Courier New" w:cs="Courier New" w:eastAsia="Courier New" w:hAnsi="Courier New"/>
                <w:b w:val="false"/>
                <w:bCs w:val="false"/>
                <w:i w:val="false"/>
                <w:iCs w:val="false"/>
                <w:color w:val="5A5F63"/>
                <w:sz w:val="15"/>
                <w:szCs w:val="15"/>
              </w:rPr>
              <w:t xml:space="preserve">3c273382b32633002824070416a8dc8b</w:t>
            </w:r>
          </w:p>
        </w:tc>
        <w:tc>
          <w:tcPr>
            <w:tcW w:type="pct" w:w="25%"/>
            <w:tcMar>
              <w:top w:type="dxa" w:w="70"/>
              <w:left w:type="dxa" w:w="110"/>
              <w:bottom w:type="dxa" w:w="70"/>
              <w:right w:type="dxa" w:w="110"/>
            </w:tcMar>
            <w:vAlign w:val="top"/>
          </w:tcPr>
          <w:p>
            <w:pPr>
              <w:keepNext w:val="false"/>
              <w:spacing w:after="0" w:before="0" w:line="210"/>
            </w:pPr>
            <w:r>
              <w:rPr>
                <w:rFonts w:ascii="Courier New" w:cs="Courier New" w:eastAsia="Courier New" w:hAnsi="Courier New"/>
                <w:b w:val="false"/>
                <w:bCs w:val="false"/>
                <w:i w:val="false"/>
                <w:iCs w:val="false"/>
                <w:color w:val="5A5F63"/>
                <w:sz w:val="15"/>
                <w:szCs w:val="15"/>
              </w:rPr>
              <w:t xml:space="preserve">9594e86493660754e3aef0aefaba1045</w:t>
            </w:r>
          </w:p>
        </w:tc>
      </w:tr>
    </w:tbl>
    <w:p>
      <w:pPr>
        <w:spacing w:after="60"/>
      </w:pPr>
      <w:r>
        <w:rPr>
          <w:rFonts w:ascii="Arial" w:cs="Arial" w:eastAsia="Arial" w:hAnsi="Arial"/>
          <w:b w:val="false"/>
          <w:bCs w:val="false"/>
          <w:i w:val="false"/>
          <w:iCs w:val="false"/>
          <w:color w:val="1F1F1F"/>
          <w:sz w:val="20"/>
          <w:szCs w:val="20"/>
        </w:rPr>
        <w:t xml:space="preserve"/>
      </w:r>
    </w:p>
    <w:p>
      <w:pPr>
        <w:keepNext w:val="false"/>
        <w:spacing w:after="120" w:before="0" w:line="260"/>
      </w:pPr>
      <w:r>
        <w:rPr>
          <w:rFonts w:ascii="Arial" w:cs="Arial" w:eastAsia="Arial" w:hAnsi="Arial"/>
          <w:b/>
          <w:bCs/>
          <w:i w:val="false"/>
          <w:iCs w:val="false"/>
          <w:color w:val="1F1F1F"/>
          <w:sz w:val="20"/>
          <w:szCs w:val="20"/>
        </w:rPr>
        <w:t xml:space="preserve">The 5,000 is worth dwelling on, because it is the same on both sides. Qualys documents the default page size for a single policy Posture Info request as 5,000 records, and ServiceNow ships truncation_limit_pc_result set to 5,000. The platform is reproducing the Qualys default rather than overriding it, and the second Posture Info method carries the same figure as a literal instead of a variable.</w:t>
      </w:r>
    </w:p>
    <w:p>
      <w:pPr>
        <w:spacing w:after="40"/>
      </w:pPr>
      <w:r>
        <w:rPr>
          <w:rFonts w:ascii="Arial" w:cs="Arial" w:eastAsia="Arial" w:hAnsi="Arial"/>
          <w:b w:val="false"/>
          <w:bCs w:val="false"/>
          <w:i w:val="false"/>
          <w:iCs w:val="false"/>
          <w:color w:val="1F1F1F"/>
          <w:sz w:val="20"/>
          <w:szCs w:val="20"/>
        </w:rPr>
        <w:t xml:space="preserve"/>
      </w:r>
    </w:p>
    <w:p>
      <w:pPr>
        <w:keepNext w:val="false"/>
        <w:spacing w:after="120" w:before="0" w:line="260"/>
      </w:pPr>
      <w:r>
        <w:rPr>
          <w:rFonts w:ascii="Arial" w:cs="Arial" w:eastAsia="Arial" w:hAnsi="Arial"/>
          <w:b w:val="false"/>
          <w:bCs w:val="false"/>
          <w:i w:val="false"/>
          <w:iCs w:val="false"/>
          <w:color w:val="5A5F63"/>
          <w:sz w:val="19"/>
          <w:szCs w:val="19"/>
        </w:rPr>
        <w:t xml:space="preserve">The 300 in the first row is also confirmed from the other direction: the release notes for this application record the host truncation limit being reduced from 500 to 300, which is the figure the instance holds.</w:t>
      </w:r>
    </w:p>
    <w:p>
      <w:pPr>
        <w:spacing w:after="40"/>
      </w:pPr>
      <w:r>
        <w:rPr>
          <w:rFonts w:ascii="Arial" w:cs="Arial" w:eastAsia="Arial" w:hAnsi="Arial"/>
          <w:b w:val="false"/>
          <w:bCs w:val="false"/>
          <w:i w:val="false"/>
          <w:iCs w:val="false"/>
          <w:color w:val="1F1F1F"/>
          <w:sz w:val="20"/>
          <w:szCs w:val="20"/>
        </w:rPr>
        <w:t xml:space="preserve"/>
      </w:r>
    </w:p>
    <w:p>
      <w:pPr>
        <w:keepNext w:val="false"/>
        <w:spacing w:after="120" w:before="0" w:line="260"/>
      </w:pPr>
      <w:r>
        <w:rPr>
          <w:rFonts w:ascii="Arial" w:cs="Arial" w:eastAsia="Arial" w:hAnsi="Arial"/>
          <w:b w:val="false"/>
          <w:bCs w:val="false"/>
          <w:i w:val="false"/>
          <w:iCs w:val="false"/>
          <w:color w:val="5A5F63"/>
          <w:sz w:val="19"/>
          <w:szCs w:val="19"/>
        </w:rPr>
        <w:t xml:space="preserve">Query parameters on the two shipped Posture Info methods, each row an HTTP Query Parameter record on sys_rest_message_fn_param_defs:</w:t>
      </w:r>
    </w:p>
    <w:tbl>
      <w:tblPr>
        <w:tblW w:type="pct" w:w="100%"/>
        <w:tblBorders>
          <w:top w:val="single" w:color="C9CDD1" w:sz="4"/>
          <w:left w:val="single" w:color="C9CDD1" w:sz="4"/>
          <w:bottom w:val="single" w:color="C9CDD1" w:sz="4"/>
          <w:right w:val="single" w:color="C9CDD1" w:sz="4"/>
          <w:insideH w:val="single" w:color="C9CDD1" w:sz="4"/>
          <w:insideV w:val="single" w:color="C9CDD1" w:sz="4"/>
        </w:tblBorders>
        <w:tblLayout w:type="fixed"/>
      </w:tblPr>
      <w:tblGrid>
        <w:gridCol w:w="100"/>
        <w:gridCol w:w="100"/>
        <w:gridCol w:w="100"/>
        <w:gridCol w:w="100"/>
        <w:gridCol w:w="100"/>
      </w:tblGrid>
      <w:tr>
        <w:trPr>
          <w:cantSplit/>
          <w:tblHeader/>
        </w:trPr>
        <w:tc>
          <w:tcPr>
            <w:tcW w:type="pct" w:w="18%"/>
            <w:shd w:fill="E8EAEC" w:val="clear"/>
            <w:tcMar>
              <w:top w:type="dxa" w:w="70"/>
              <w:left w:type="dxa" w:w="110"/>
              <w:bottom w:type="dxa" w:w="70"/>
              <w:right w:type="dxa" w:w="110"/>
            </w:tcMar>
            <w:vAlign w:val="top"/>
          </w:tcPr>
          <w:p>
            <w:pPr>
              <w:keepNext w:val="false"/>
              <w:spacing w:after="0" w:before="0" w:line="220"/>
            </w:pPr>
            <w:r>
              <w:rPr>
                <w:rFonts w:ascii="Arial" w:cs="Arial" w:eastAsia="Arial" w:hAnsi="Arial"/>
                <w:b/>
                <w:bCs/>
                <w:i w:val="false"/>
                <w:iCs w:val="false"/>
                <w:color w:val="1F1F1F"/>
                <w:sz w:val="17"/>
                <w:szCs w:val="17"/>
              </w:rPr>
              <w:t xml:space="preserve">Method</w:t>
            </w:r>
          </w:p>
        </w:tc>
        <w:tc>
          <w:tcPr>
            <w:tcW w:type="pct" w:w="21%"/>
            <w:shd w:fill="E8EAEC" w:val="clear"/>
            <w:tcMar>
              <w:top w:type="dxa" w:w="70"/>
              <w:left w:type="dxa" w:w="110"/>
              <w:bottom w:type="dxa" w:w="70"/>
              <w:right w:type="dxa" w:w="110"/>
            </w:tcMar>
            <w:vAlign w:val="top"/>
          </w:tcPr>
          <w:p>
            <w:pPr>
              <w:keepNext w:val="false"/>
              <w:spacing w:after="0" w:before="0" w:line="220"/>
            </w:pPr>
            <w:r>
              <w:rPr>
                <w:rFonts w:ascii="Arial" w:cs="Arial" w:eastAsia="Arial" w:hAnsi="Arial"/>
                <w:b/>
                <w:bCs/>
                <w:i w:val="false"/>
                <w:iCs w:val="false"/>
                <w:color w:val="1F1F1F"/>
                <w:sz w:val="17"/>
                <w:szCs w:val="17"/>
              </w:rPr>
              <w:t xml:space="preserve">Parameter</w:t>
            </w:r>
          </w:p>
        </w:tc>
        <w:tc>
          <w:tcPr>
            <w:tcW w:type="pct" w:w="22%"/>
            <w:shd w:fill="E8EAEC" w:val="clear"/>
            <w:tcMar>
              <w:top w:type="dxa" w:w="70"/>
              <w:left w:type="dxa" w:w="110"/>
              <w:bottom w:type="dxa" w:w="70"/>
              <w:right w:type="dxa" w:w="110"/>
            </w:tcMar>
            <w:vAlign w:val="top"/>
          </w:tcPr>
          <w:p>
            <w:pPr>
              <w:keepNext w:val="false"/>
              <w:spacing w:after="0" w:before="0" w:line="220"/>
            </w:pPr>
            <w:r>
              <w:rPr>
                <w:rFonts w:ascii="Arial" w:cs="Arial" w:eastAsia="Arial" w:hAnsi="Arial"/>
                <w:b/>
                <w:bCs/>
                <w:i w:val="false"/>
                <w:iCs w:val="false"/>
                <w:color w:val="1F1F1F"/>
                <w:sz w:val="17"/>
                <w:szCs w:val="17"/>
              </w:rPr>
              <w:t xml:space="preserve">Value</w:t>
            </w:r>
          </w:p>
        </w:tc>
        <w:tc>
          <w:tcPr>
            <w:tcW w:type="pct" w:w="8%"/>
            <w:shd w:fill="E8EAEC" w:val="clear"/>
            <w:tcMar>
              <w:top w:type="dxa" w:w="70"/>
              <w:left w:type="dxa" w:w="110"/>
              <w:bottom w:type="dxa" w:w="70"/>
              <w:right w:type="dxa" w:w="110"/>
            </w:tcMar>
            <w:vAlign w:val="top"/>
          </w:tcPr>
          <w:p>
            <w:pPr>
              <w:keepNext w:val="false"/>
              <w:spacing w:after="0" w:before="0" w:line="220"/>
            </w:pPr>
            <w:r>
              <w:rPr>
                <w:rFonts w:ascii="Arial" w:cs="Arial" w:eastAsia="Arial" w:hAnsi="Arial"/>
                <w:b/>
                <w:bCs/>
                <w:i w:val="false"/>
                <w:iCs w:val="false"/>
                <w:color w:val="1F1F1F"/>
                <w:sz w:val="17"/>
                <w:szCs w:val="17"/>
              </w:rPr>
              <w:t xml:space="preserve">Order</w:t>
            </w:r>
          </w:p>
        </w:tc>
        <w:tc>
          <w:tcPr>
            <w:tcW w:type="pct" w:w="31%"/>
            <w:shd w:fill="E8EAEC" w:val="clear"/>
            <w:tcMar>
              <w:top w:type="dxa" w:w="70"/>
              <w:left w:type="dxa" w:w="110"/>
              <w:bottom w:type="dxa" w:w="70"/>
              <w:right w:type="dxa" w:w="110"/>
            </w:tcMar>
            <w:vAlign w:val="top"/>
          </w:tcPr>
          <w:p>
            <w:pPr>
              <w:keepNext w:val="false"/>
              <w:spacing w:after="0" w:before="0" w:line="220"/>
            </w:pPr>
            <w:r>
              <w:rPr>
                <w:rFonts w:ascii="Arial" w:cs="Arial" w:eastAsia="Arial" w:hAnsi="Arial"/>
                <w:b/>
                <w:bCs/>
                <w:i w:val="false"/>
                <w:iCs w:val="false"/>
                <w:color w:val="1F1F1F"/>
                <w:sz w:val="17"/>
                <w:szCs w:val="17"/>
              </w:rPr>
              <w:t xml:space="preserve">Record id</w:t>
            </w:r>
          </w:p>
        </w:tc>
      </w:tr>
      <w:tr>
        <w:trPr>
          <w:cantSplit/>
        </w:trPr>
        <w:tc>
          <w:tcPr>
            <w:tcW w:type="pct" w:w="18%"/>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List</w:t>
            </w:r>
          </w:p>
        </w:tc>
        <w:tc>
          <w:tcPr>
            <w:tcW w:type="pct" w:w="21%"/>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action</w:t>
            </w:r>
          </w:p>
        </w:tc>
        <w:tc>
          <w:tcPr>
            <w:tcW w:type="pct" w:w="22%"/>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list</w:t>
            </w:r>
          </w:p>
        </w:tc>
        <w:tc>
          <w:tcPr>
            <w:tcW w:type="pct" w:w="8%"/>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100</w:t>
            </w:r>
          </w:p>
        </w:tc>
        <w:tc>
          <w:tcPr>
            <w:tcW w:type="pct" w:w="31%"/>
            <w:tcMar>
              <w:top w:type="dxa" w:w="70"/>
              <w:left w:type="dxa" w:w="110"/>
              <w:bottom w:type="dxa" w:w="70"/>
              <w:right w:type="dxa" w:w="110"/>
            </w:tcMar>
            <w:vAlign w:val="top"/>
          </w:tcPr>
          <w:p>
            <w:pPr>
              <w:keepNext w:val="false"/>
              <w:spacing w:after="0" w:before="0" w:line="220"/>
            </w:pPr>
            <w:r>
              <w:rPr>
                <w:rFonts w:ascii="Courier New" w:cs="Courier New" w:eastAsia="Courier New" w:hAnsi="Courier New"/>
                <w:b w:val="false"/>
                <w:bCs w:val="false"/>
                <w:i w:val="false"/>
                <w:iCs w:val="false"/>
                <w:color w:val="1F1F1F"/>
                <w:sz w:val="17"/>
                <w:szCs w:val="17"/>
              </w:rPr>
              <w:t xml:space="preserve">154149100b800300cbf38ee337673a67</w:t>
            </w:r>
          </w:p>
        </w:tc>
      </w:tr>
      <w:tr>
        <w:trPr>
          <w:cantSplit/>
        </w:trPr>
        <w:tc>
          <w:tcPr>
            <w:tcW w:type="pct" w:w="18%"/>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List</w:t>
            </w:r>
          </w:p>
        </w:tc>
        <w:tc>
          <w:tcPr>
            <w:tcW w:type="pct" w:w="21%"/>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policy_id</w:t>
            </w:r>
          </w:p>
        </w:tc>
        <w:tc>
          <w:tcPr>
            <w:tcW w:type="pct" w:w="22%"/>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$⁠{policyId}</w:t>
            </w:r>
          </w:p>
        </w:tc>
        <w:tc>
          <w:tcPr>
            <w:tcW w:type="pct" w:w="8%"/>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101</w:t>
            </w:r>
          </w:p>
        </w:tc>
        <w:tc>
          <w:tcPr>
            <w:tcW w:type="pct" w:w="31%"/>
            <w:shd w:fill="F5F6F7" w:val="clear"/>
            <w:tcMar>
              <w:top w:type="dxa" w:w="70"/>
              <w:left w:type="dxa" w:w="110"/>
              <w:bottom w:type="dxa" w:w="70"/>
              <w:right w:type="dxa" w:w="110"/>
            </w:tcMar>
            <w:vAlign w:val="top"/>
          </w:tcPr>
          <w:p>
            <w:pPr>
              <w:keepNext w:val="false"/>
              <w:spacing w:after="0" w:before="0" w:line="220"/>
            </w:pPr>
            <w:r>
              <w:rPr>
                <w:rFonts w:ascii="Courier New" w:cs="Courier New" w:eastAsia="Courier New" w:hAnsi="Courier New"/>
                <w:b w:val="false"/>
                <w:bCs w:val="false"/>
                <w:i w:val="false"/>
                <w:iCs w:val="false"/>
                <w:color w:val="1F1F1F"/>
                <w:sz w:val="17"/>
                <w:szCs w:val="17"/>
              </w:rPr>
              <w:t xml:space="preserve">2310b01c0b400300cbf38ee337673a73</w:t>
            </w:r>
          </w:p>
        </w:tc>
      </w:tr>
      <w:tr>
        <w:trPr>
          <w:cantSplit/>
        </w:trPr>
        <w:tc>
          <w:tcPr>
            <w:tcW w:type="pct" w:w="18%"/>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List</w:t>
            </w:r>
          </w:p>
        </w:tc>
        <w:tc>
          <w:tcPr>
            <w:tcW w:type="pct" w:w="21%"/>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details</w:t>
            </w:r>
          </w:p>
        </w:tc>
        <w:tc>
          <w:tcPr>
            <w:tcW w:type="pct" w:w="22%"/>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Light</w:t>
            </w:r>
          </w:p>
        </w:tc>
        <w:tc>
          <w:tcPr>
            <w:tcW w:type="pct" w:w="8%"/>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102</w:t>
            </w:r>
          </w:p>
        </w:tc>
        <w:tc>
          <w:tcPr>
            <w:tcW w:type="pct" w:w="31%"/>
            <w:tcMar>
              <w:top w:type="dxa" w:w="70"/>
              <w:left w:type="dxa" w:w="110"/>
              <w:bottom w:type="dxa" w:w="70"/>
              <w:right w:type="dxa" w:w="110"/>
            </w:tcMar>
            <w:vAlign w:val="top"/>
          </w:tcPr>
          <w:p>
            <w:pPr>
              <w:keepNext w:val="false"/>
              <w:spacing w:after="0" w:before="0" w:line="220"/>
            </w:pPr>
            <w:r>
              <w:rPr>
                <w:rFonts w:ascii="Courier New" w:cs="Courier New" w:eastAsia="Courier New" w:hAnsi="Courier New"/>
                <w:b w:val="false"/>
                <w:bCs w:val="false"/>
                <w:i w:val="false"/>
                <w:iCs w:val="false"/>
                <w:color w:val="1F1F1F"/>
                <w:sz w:val="17"/>
                <w:szCs w:val="17"/>
              </w:rPr>
              <w:t xml:space="preserve">93f0701c0b400300cbf38ee337673af6</w:t>
            </w:r>
          </w:p>
        </w:tc>
      </w:tr>
      <w:tr>
        <w:trPr>
          <w:cantSplit/>
        </w:trPr>
        <w:tc>
          <w:tcPr>
            <w:tcW w:type="pct" w:w="18%"/>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List</w:t>
            </w:r>
          </w:p>
        </w:tc>
        <w:tc>
          <w:tcPr>
            <w:tcW w:type="pct" w:w="21%"/>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show_remediation_info</w:t>
            </w:r>
          </w:p>
        </w:tc>
        <w:tc>
          <w:tcPr>
            <w:tcW w:type="pct" w:w="22%"/>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1</w:t>
            </w:r>
          </w:p>
        </w:tc>
        <w:tc>
          <w:tcPr>
            <w:tcW w:type="pct" w:w="8%"/>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104</w:t>
            </w:r>
          </w:p>
        </w:tc>
        <w:tc>
          <w:tcPr>
            <w:tcW w:type="pct" w:w="31%"/>
            <w:shd w:fill="F5F6F7" w:val="clear"/>
            <w:tcMar>
              <w:top w:type="dxa" w:w="70"/>
              <w:left w:type="dxa" w:w="110"/>
              <w:bottom w:type="dxa" w:w="70"/>
              <w:right w:type="dxa" w:w="110"/>
            </w:tcMar>
            <w:vAlign w:val="top"/>
          </w:tcPr>
          <w:p>
            <w:pPr>
              <w:keepNext w:val="false"/>
              <w:spacing w:after="0" w:before="0" w:line="220"/>
            </w:pPr>
            <w:r>
              <w:rPr>
                <w:rFonts w:ascii="Courier New" w:cs="Courier New" w:eastAsia="Courier New" w:hAnsi="Courier New"/>
                <w:b w:val="false"/>
                <w:bCs w:val="false"/>
                <w:i w:val="false"/>
                <w:iCs w:val="false"/>
                <w:color w:val="1F1F1F"/>
                <w:sz w:val="17"/>
                <w:szCs w:val="17"/>
              </w:rPr>
              <w:t xml:space="preserve">8eca709c0b400300cbf38ee337673a67</w:t>
            </w:r>
          </w:p>
        </w:tc>
      </w:tr>
      <w:tr>
        <w:trPr>
          <w:cantSplit/>
        </w:trPr>
        <w:tc>
          <w:tcPr>
            <w:tcW w:type="pct" w:w="18%"/>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List</w:t>
            </w:r>
          </w:p>
        </w:tc>
        <w:tc>
          <w:tcPr>
            <w:tcW w:type="pct" w:w="21%"/>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truncation_limit</w:t>
            </w:r>
          </w:p>
        </w:tc>
        <w:tc>
          <w:tcPr>
            <w:tcW w:type="pct" w:w="22%"/>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$⁠{truncation_limit_pc_result}</w:t>
            </w:r>
          </w:p>
        </w:tc>
        <w:tc>
          <w:tcPr>
            <w:tcW w:type="pct" w:w="8%"/>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105</w:t>
            </w:r>
          </w:p>
        </w:tc>
        <w:tc>
          <w:tcPr>
            <w:tcW w:type="pct" w:w="31%"/>
            <w:tcMar>
              <w:top w:type="dxa" w:w="70"/>
              <w:left w:type="dxa" w:w="110"/>
              <w:bottom w:type="dxa" w:w="70"/>
              <w:right w:type="dxa" w:w="110"/>
            </w:tcMar>
            <w:vAlign w:val="top"/>
          </w:tcPr>
          <w:p>
            <w:pPr>
              <w:keepNext w:val="false"/>
              <w:spacing w:after="0" w:before="0" w:line="220"/>
            </w:pPr>
            <w:r>
              <w:rPr>
                <w:rFonts w:ascii="Courier New" w:cs="Courier New" w:eastAsia="Courier New" w:hAnsi="Courier New"/>
                <w:b w:val="false"/>
                <w:bCs w:val="false"/>
                <w:i w:val="false"/>
                <w:iCs w:val="false"/>
                <w:color w:val="1F1F1F"/>
                <w:sz w:val="17"/>
                <w:szCs w:val="17"/>
              </w:rPr>
              <w:t xml:space="preserve">decbc26d0b010300cbf38ee337673ae8</w:t>
            </w:r>
          </w:p>
        </w:tc>
      </w:tr>
      <w:tr>
        <w:trPr>
          <w:cantSplit/>
        </w:trPr>
        <w:tc>
          <w:tcPr>
            <w:tcW w:type="pct" w:w="18%"/>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List Comprehensive</w:t>
            </w:r>
          </w:p>
        </w:tc>
        <w:tc>
          <w:tcPr>
            <w:tcW w:type="pct" w:w="21%"/>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action</w:t>
            </w:r>
          </w:p>
        </w:tc>
        <w:tc>
          <w:tcPr>
            <w:tcW w:type="pct" w:w="22%"/>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list</w:t>
            </w:r>
          </w:p>
        </w:tc>
        <w:tc>
          <w:tcPr>
            <w:tcW w:type="pct" w:w="8%"/>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100</w:t>
            </w:r>
          </w:p>
        </w:tc>
        <w:tc>
          <w:tcPr>
            <w:tcW w:type="pct" w:w="31%"/>
            <w:shd w:fill="F5F6F7" w:val="clear"/>
            <w:tcMar>
              <w:top w:type="dxa" w:w="70"/>
              <w:left w:type="dxa" w:w="110"/>
              <w:bottom w:type="dxa" w:w="70"/>
              <w:right w:type="dxa" w:w="110"/>
            </w:tcMar>
            <w:vAlign w:val="top"/>
          </w:tcPr>
          <w:p>
            <w:pPr>
              <w:keepNext w:val="false"/>
              <w:spacing w:after="0" w:before="0" w:line="220"/>
            </w:pPr>
            <w:r>
              <w:rPr>
                <w:rFonts w:ascii="Courier New" w:cs="Courier New" w:eastAsia="Courier New" w:hAnsi="Courier New"/>
                <w:b w:val="false"/>
                <w:bCs w:val="false"/>
                <w:i w:val="false"/>
                <w:iCs w:val="false"/>
                <w:color w:val="1F1F1F"/>
                <w:sz w:val="17"/>
                <w:szCs w:val="17"/>
              </w:rPr>
              <w:t xml:space="preserve">80ff39e44df9f650f877b7e146545a7e</w:t>
            </w:r>
          </w:p>
        </w:tc>
      </w:tr>
      <w:tr>
        <w:trPr>
          <w:cantSplit/>
        </w:trPr>
        <w:tc>
          <w:tcPr>
            <w:tcW w:type="pct" w:w="18%"/>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List Comprehensive</w:t>
            </w:r>
          </w:p>
        </w:tc>
        <w:tc>
          <w:tcPr>
            <w:tcW w:type="pct" w:w="21%"/>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policy_id</w:t>
            </w:r>
          </w:p>
        </w:tc>
        <w:tc>
          <w:tcPr>
            <w:tcW w:type="pct" w:w="22%"/>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$⁠{policyId}</w:t>
            </w:r>
          </w:p>
        </w:tc>
        <w:tc>
          <w:tcPr>
            <w:tcW w:type="pct" w:w="8%"/>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101</w:t>
            </w:r>
          </w:p>
        </w:tc>
        <w:tc>
          <w:tcPr>
            <w:tcW w:type="pct" w:w="31%"/>
            <w:tcMar>
              <w:top w:type="dxa" w:w="70"/>
              <w:left w:type="dxa" w:w="110"/>
              <w:bottom w:type="dxa" w:w="70"/>
              <w:right w:type="dxa" w:w="110"/>
            </w:tcMar>
            <w:vAlign w:val="top"/>
          </w:tcPr>
          <w:p>
            <w:pPr>
              <w:keepNext w:val="false"/>
              <w:spacing w:after="0" w:before="0" w:line="220"/>
            </w:pPr>
            <w:r>
              <w:rPr>
                <w:rFonts w:ascii="Courier New" w:cs="Courier New" w:eastAsia="Courier New" w:hAnsi="Courier New"/>
                <w:b w:val="false"/>
                <w:bCs w:val="false"/>
                <w:i w:val="false"/>
                <w:iCs w:val="false"/>
                <w:color w:val="1F1F1F"/>
                <w:sz w:val="17"/>
                <w:szCs w:val="17"/>
              </w:rPr>
              <w:t xml:space="preserve">db00cae44df9f650f877b7e146545ad6</w:t>
            </w:r>
          </w:p>
        </w:tc>
      </w:tr>
      <w:tr>
        <w:trPr>
          <w:cantSplit/>
        </w:trPr>
        <w:tc>
          <w:tcPr>
            <w:tcW w:type="pct" w:w="18%"/>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List Comprehensive</w:t>
            </w:r>
          </w:p>
        </w:tc>
        <w:tc>
          <w:tcPr>
            <w:tcW w:type="pct" w:w="21%"/>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details</w:t>
            </w:r>
          </w:p>
        </w:tc>
        <w:tc>
          <w:tcPr>
            <w:tcW w:type="pct" w:w="22%"/>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Light</w:t>
            </w:r>
          </w:p>
        </w:tc>
        <w:tc>
          <w:tcPr>
            <w:tcW w:type="pct" w:w="8%"/>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102</w:t>
            </w:r>
          </w:p>
        </w:tc>
        <w:tc>
          <w:tcPr>
            <w:tcW w:type="pct" w:w="31%"/>
            <w:shd w:fill="F5F6F7" w:val="clear"/>
            <w:tcMar>
              <w:top w:type="dxa" w:w="70"/>
              <w:left w:type="dxa" w:w="110"/>
              <w:bottom w:type="dxa" w:w="70"/>
              <w:right w:type="dxa" w:w="110"/>
            </w:tcMar>
            <w:vAlign w:val="top"/>
          </w:tcPr>
          <w:p>
            <w:pPr>
              <w:keepNext w:val="false"/>
              <w:spacing w:after="0" w:before="0" w:line="220"/>
            </w:pPr>
            <w:r>
              <w:rPr>
                <w:rFonts w:ascii="Courier New" w:cs="Courier New" w:eastAsia="Courier New" w:hAnsi="Courier New"/>
                <w:b w:val="false"/>
                <w:bCs w:val="false"/>
                <w:i w:val="false"/>
                <w:iCs w:val="false"/>
                <w:color w:val="1F1F1F"/>
                <w:sz w:val="17"/>
                <w:szCs w:val="17"/>
              </w:rPr>
              <w:t xml:space="preserve">181006684df9f650f877b7e146545a6d</w:t>
            </w:r>
          </w:p>
        </w:tc>
      </w:tr>
      <w:tr>
        <w:trPr>
          <w:cantSplit/>
        </w:trPr>
        <w:tc>
          <w:tcPr>
            <w:tcW w:type="pct" w:w="18%"/>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List Comprehensive</w:t>
            </w:r>
          </w:p>
        </w:tc>
        <w:tc>
          <w:tcPr>
            <w:tcW w:type="pct" w:w="21%"/>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show_remediation_info</w:t>
            </w:r>
          </w:p>
        </w:tc>
        <w:tc>
          <w:tcPr>
            <w:tcW w:type="pct" w:w="22%"/>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0</w:t>
            </w:r>
          </w:p>
        </w:tc>
        <w:tc>
          <w:tcPr>
            <w:tcW w:type="pct" w:w="8%"/>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103</w:t>
            </w:r>
          </w:p>
        </w:tc>
        <w:tc>
          <w:tcPr>
            <w:tcW w:type="pct" w:w="31%"/>
            <w:tcMar>
              <w:top w:type="dxa" w:w="70"/>
              <w:left w:type="dxa" w:w="110"/>
              <w:bottom w:type="dxa" w:w="70"/>
              <w:right w:type="dxa" w:w="110"/>
            </w:tcMar>
            <w:vAlign w:val="top"/>
          </w:tcPr>
          <w:p>
            <w:pPr>
              <w:keepNext w:val="false"/>
              <w:spacing w:after="0" w:before="0" w:line="220"/>
            </w:pPr>
            <w:r>
              <w:rPr>
                <w:rFonts w:ascii="Courier New" w:cs="Courier New" w:eastAsia="Courier New" w:hAnsi="Courier New"/>
                <w:b w:val="false"/>
                <w:bCs w:val="false"/>
                <w:i w:val="false"/>
                <w:iCs w:val="false"/>
                <w:color w:val="1F1F1F"/>
                <w:sz w:val="17"/>
                <w:szCs w:val="17"/>
              </w:rPr>
              <w:t xml:space="preserve">e1100ae44df9f650f877b7e146545a80</w:t>
            </w:r>
          </w:p>
        </w:tc>
      </w:tr>
      <w:tr>
        <w:trPr>
          <w:cantSplit/>
        </w:trPr>
        <w:tc>
          <w:tcPr>
            <w:tcW w:type="pct" w:w="18%"/>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List Comprehensive</w:t>
            </w:r>
          </w:p>
        </w:tc>
        <w:tc>
          <w:tcPr>
            <w:tcW w:type="pct" w:w="21%"/>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truncation_limit</w:t>
            </w:r>
          </w:p>
        </w:tc>
        <w:tc>
          <w:tcPr>
            <w:tcW w:type="pct" w:w="22%"/>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5000</w:t>
            </w:r>
          </w:p>
        </w:tc>
        <w:tc>
          <w:tcPr>
            <w:tcW w:type="pct" w:w="8%"/>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104</w:t>
            </w:r>
          </w:p>
        </w:tc>
        <w:tc>
          <w:tcPr>
            <w:tcW w:type="pct" w:w="31%"/>
            <w:shd w:fill="F5F6F7" w:val="clear"/>
            <w:tcMar>
              <w:top w:type="dxa" w:w="70"/>
              <w:left w:type="dxa" w:w="110"/>
              <w:bottom w:type="dxa" w:w="70"/>
              <w:right w:type="dxa" w:w="110"/>
            </w:tcMar>
            <w:vAlign w:val="top"/>
          </w:tcPr>
          <w:p>
            <w:pPr>
              <w:keepNext w:val="false"/>
              <w:spacing w:after="0" w:before="0" w:line="220"/>
            </w:pPr>
            <w:r>
              <w:rPr>
                <w:rFonts w:ascii="Courier New" w:cs="Courier New" w:eastAsia="Courier New" w:hAnsi="Courier New"/>
                <w:b w:val="false"/>
                <w:bCs w:val="false"/>
                <w:i w:val="false"/>
                <w:iCs w:val="false"/>
                <w:color w:val="1F1F1F"/>
                <w:sz w:val="17"/>
                <w:szCs w:val="17"/>
              </w:rPr>
              <w:t xml:space="preserve">a8208ee44df9f650f877b7e146545a2d</w:t>
            </w:r>
          </w:p>
        </w:tc>
      </w:tr>
      <w:tr>
        <w:trPr>
          <w:cantSplit/>
        </w:trPr>
        <w:tc>
          <w:tcPr>
            <w:tcW w:type="pct" w:w="18%"/>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List Comprehensive</w:t>
            </w:r>
          </w:p>
        </w:tc>
        <w:tc>
          <w:tcPr>
            <w:tcW w:type="pct" w:w="21%"/>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status</w:t>
            </w:r>
          </w:p>
        </w:tc>
        <w:tc>
          <w:tcPr>
            <w:tcW w:type="pct" w:w="22%"/>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Failed,Error</w:t>
            </w:r>
          </w:p>
        </w:tc>
        <w:tc>
          <w:tcPr>
            <w:tcW w:type="pct" w:w="8%"/>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105</w:t>
            </w:r>
          </w:p>
        </w:tc>
        <w:tc>
          <w:tcPr>
            <w:tcW w:type="pct" w:w="31%"/>
            <w:tcMar>
              <w:top w:type="dxa" w:w="70"/>
              <w:left w:type="dxa" w:w="110"/>
              <w:bottom w:type="dxa" w:w="70"/>
              <w:right w:type="dxa" w:w="110"/>
            </w:tcMar>
            <w:vAlign w:val="top"/>
          </w:tcPr>
          <w:p>
            <w:pPr>
              <w:keepNext w:val="false"/>
              <w:spacing w:after="0" w:before="0" w:line="220"/>
            </w:pPr>
            <w:r>
              <w:rPr>
                <w:rFonts w:ascii="Courier New" w:cs="Courier New" w:eastAsia="Courier New" w:hAnsi="Courier New"/>
                <w:b w:val="false"/>
                <w:bCs w:val="false"/>
                <w:i w:val="false"/>
                <w:iCs w:val="false"/>
                <w:color w:val="1F1F1F"/>
                <w:sz w:val="17"/>
                <w:szCs w:val="17"/>
              </w:rPr>
              <w:t xml:space="preserve">969b5e094df5ba50f877b7e146545ace</w:t>
            </w:r>
          </w:p>
        </w:tc>
      </w:tr>
    </w:tbl>
    <w:p>
      <w:pPr>
        <w:pStyle w:val="Heading1"/>
        <w:keepNext/>
        <w:spacing w:after="140" w:before="360"/>
      </w:pPr>
      <w:r>
        <w:rPr>
          <w:rFonts w:ascii="Arial" w:cs="Arial" w:eastAsia="Arial" w:hAnsi="Arial"/>
          <w:b/>
          <w:bCs/>
          <w:i w:val="false"/>
          <w:iCs w:val="false"/>
          <w:color w:val="1F1F1F"/>
          <w:sz w:val="30"/>
          <w:szCs w:val="30"/>
        </w:rPr>
        <w:t xml:space="preserve">5. What the Qualys API itself allows</w:t>
      </w:r>
    </w:p>
    <w:p>
      <w:pPr>
        <w:keepNext w:val="false"/>
        <w:spacing w:after="120" w:before="0" w:line="260"/>
      </w:pPr>
      <w:r>
        <w:rPr>
          <w:rFonts w:ascii="Arial" w:cs="Arial" w:eastAsia="Arial" w:hAnsi="Arial"/>
          <w:b w:val="false"/>
          <w:bCs w:val="false"/>
          <w:i w:val="false"/>
          <w:iCs w:val="false"/>
          <w:color w:val="1F1F1F"/>
          <w:sz w:val="20"/>
          <w:szCs w:val="20"/>
        </w:rPr>
        <w:t xml:space="preserve">The ServiceNow side is only half the picture. The endpoint has its own rules, and they close off the idea of a long id list on this particular call.</w:t>
      </w:r>
    </w:p>
    <w:tbl>
      <w:tblPr>
        <w:tblW w:type="pct" w:w="100%"/>
        <w:tblBorders>
          <w:top w:val="single" w:color="C9CDD1" w:sz="4"/>
          <w:left w:val="single" w:color="C9CDD1" w:sz="4"/>
          <w:bottom w:val="single" w:color="C9CDD1" w:sz="4"/>
          <w:right w:val="single" w:color="C9CDD1" w:sz="4"/>
          <w:insideH w:val="single" w:color="C9CDD1" w:sz="4"/>
          <w:insideV w:val="single" w:color="C9CDD1" w:sz="4"/>
        </w:tblBorders>
        <w:tblLayout w:type="fixed"/>
      </w:tblPr>
      <w:tblGrid>
        <w:gridCol w:w="100"/>
        <w:gridCol w:w="100"/>
      </w:tblGrid>
      <w:tr>
        <w:trPr>
          <w:cantSplit/>
          <w:tblHeader/>
        </w:trPr>
        <w:tc>
          <w:tcPr>
            <w:tcW w:type="pct" w:w="26%"/>
            <w:shd w:fill="E8EAEC" w:val="clear"/>
            <w:tcMar>
              <w:top w:type="dxa" w:w="70"/>
              <w:left w:type="dxa" w:w="110"/>
              <w:bottom w:type="dxa" w:w="70"/>
              <w:right w:type="dxa" w:w="110"/>
            </w:tcMar>
            <w:vAlign w:val="top"/>
          </w:tcPr>
          <w:p>
            <w:pPr>
              <w:keepNext w:val="false"/>
              <w:spacing w:after="0" w:before="0" w:line="220"/>
            </w:pPr>
            <w:r>
              <w:rPr>
                <w:rFonts w:ascii="Arial" w:cs="Arial" w:eastAsia="Arial" w:hAnsi="Arial"/>
                <w:b/>
                <w:bCs/>
                <w:i w:val="false"/>
                <w:iCs w:val="false"/>
                <w:color w:val="1F1F1F"/>
                <w:sz w:val="17"/>
                <w:szCs w:val="17"/>
              </w:rPr>
              <w:t xml:space="preserve">Parameter or behaviour</w:t>
            </w:r>
          </w:p>
        </w:tc>
        <w:tc>
          <w:tcPr>
            <w:tcW w:type="pct" w:w="74%"/>
            <w:shd w:fill="E8EAEC" w:val="clear"/>
            <w:tcMar>
              <w:top w:type="dxa" w:w="70"/>
              <w:left w:type="dxa" w:w="110"/>
              <w:bottom w:type="dxa" w:w="70"/>
              <w:right w:type="dxa" w:w="110"/>
            </w:tcMar>
            <w:vAlign w:val="top"/>
          </w:tcPr>
          <w:p>
            <w:pPr>
              <w:keepNext w:val="false"/>
              <w:spacing w:after="0" w:before="0" w:line="220"/>
            </w:pPr>
            <w:r>
              <w:rPr>
                <w:rFonts w:ascii="Arial" w:cs="Arial" w:eastAsia="Arial" w:hAnsi="Arial"/>
                <w:b/>
                <w:bCs/>
                <w:i w:val="false"/>
                <w:iCs w:val="false"/>
                <w:color w:val="1F1F1F"/>
                <w:sz w:val="17"/>
                <w:szCs w:val="17"/>
              </w:rPr>
              <w:t xml:space="preserve">What Qualys documents</w:t>
            </w:r>
          </w:p>
        </w:tc>
      </w:tr>
      <w:tr>
        <w:trPr>
          <w:cantSplit/>
        </w:trPr>
        <w:tc>
          <w:tcPr>
            <w:tcW w:type="pct" w:w="26%"/>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policy_id</w:t>
            </w:r>
          </w:p>
        </w:tc>
        <w:tc>
          <w:tcPr>
            <w:tcW w:type="pct" w:w="74%"/>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One policy per request. A valid policy ID is required, and policy_id and policy_ids cannot appear in the same request.</w:t>
            </w:r>
          </w:p>
        </w:tc>
      </w:tr>
      <w:tr>
        <w:trPr>
          <w:cantSplit/>
        </w:trPr>
        <w:tc>
          <w:tcPr>
            <w:tcW w:type="pct" w:w="26%"/>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policy_ids</w:t>
            </w:r>
          </w:p>
        </w:tc>
        <w:tc>
          <w:tcPr>
            <w:tcW w:type="pct" w:w="74%"/>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Up to 10 policies, comma separated. When it is used, all posture data is downloaded and truncation_limit becomes invalid.</w:t>
            </w:r>
          </w:p>
        </w:tc>
      </w:tr>
      <w:tr>
        <w:trPr>
          <w:cantSplit/>
        </w:trPr>
        <w:tc>
          <w:tcPr>
            <w:tcW w:type="pct" w:w="26%"/>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truncation_limit</w:t>
            </w:r>
          </w:p>
        </w:tc>
        <w:tc>
          <w:tcPr>
            <w:tcW w:type="pct" w:w="74%"/>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Valid only for a single policy request with policy_id. Default 5,000 records; you may set 1 to 4,999 or 5,001 to 1,000,000.</w:t>
            </w:r>
          </w:p>
        </w:tc>
      </w:tr>
      <w:tr>
        <w:trPr>
          <w:cantSplit/>
        </w:trPr>
        <w:tc>
          <w:tcPr>
            <w:tcW w:type="pct" w:w="26%"/>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Paging</w:t>
            </w:r>
          </w:p>
        </w:tc>
        <w:tc>
          <w:tcPr>
            <w:tcW w:type="pct" w:w="74%"/>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When more records exist than the limit, the response carries a WARNING element holding the URL for the next batch.</w:t>
            </w:r>
          </w:p>
        </w:tc>
      </w:tr>
      <w:tr>
        <w:trPr>
          <w:cantSplit/>
        </w:trPr>
        <w:tc>
          <w:tcPr>
            <w:tcW w:type="pct" w:w="26%"/>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ids, on the Policy List call</w:t>
            </w:r>
          </w:p>
        </w:tc>
        <w:tc>
          <w:tcPr>
            <w:tcW w:type="pct" w:w="74%"/>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One or more policy IDs or ranges, comma separated, a range written with a hyphen such as 160-165. A maximum of 1,000 policy records is processed per request.</w:t>
            </w:r>
          </w:p>
        </w:tc>
      </w:tr>
      <w:tr>
        <w:trPr>
          <w:cantSplit/>
        </w:trPr>
        <w:tc>
          <w:tcPr>
            <w:tcW w:type="pct" w:w="26%"/>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GET against POST</w:t>
            </w:r>
          </w:p>
        </w:tc>
        <w:tc>
          <w:tcPr>
            <w:tcW w:type="pct" w:w="74%"/>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Qualys states there are known, toolkit dependent limits on how much data GET can carry, and no fundamental limit on POST.</w:t>
            </w:r>
          </w:p>
        </w:tc>
      </w:tr>
    </w:tbl>
    <w:p>
      <w:pPr>
        <w:spacing w:after="60"/>
      </w:pPr>
      <w:r>
        <w:rPr>
          <w:rFonts w:ascii="Arial" w:cs="Arial" w:eastAsia="Arial" w:hAnsi="Arial"/>
          <w:b w:val="false"/>
          <w:bCs w:val="false"/>
          <w:i w:val="false"/>
          <w:iCs w:val="false"/>
          <w:color w:val="1F1F1F"/>
          <w:sz w:val="20"/>
          <w:szCs w:val="20"/>
        </w:rPr>
        <w:t xml:space="preserve"/>
      </w:r>
    </w:p>
    <w:p>
      <w:pPr>
        <w:keepNext w:val="false"/>
        <w:spacing w:after="120" w:before="0" w:line="260"/>
      </w:pPr>
      <w:r>
        <w:rPr>
          <w:rFonts w:ascii="Arial" w:cs="Arial" w:eastAsia="Arial" w:hAnsi="Arial"/>
          <w:b w:val="false"/>
          <w:bCs w:val="false"/>
          <w:i w:val="false"/>
          <w:iCs w:val="false"/>
          <w:color w:val="1F1F1F"/>
          <w:sz w:val="20"/>
          <w:szCs w:val="20"/>
        </w:rPr>
        <w:t xml:space="preserve">Two practical consequences. A long id list has no route into the Posture Info call at all, because the parameter that accepts several policies caps at ten and switches paging off. And the place an id list does belong, the Policy List call, is where the character budget question actually applies.</w:t>
      </w:r>
    </w:p>
    <w:p>
      <w:pPr>
        <w:pStyle w:val="Heading1"/>
        <w:keepNext/>
        <w:spacing w:after="140" w:before="360"/>
      </w:pPr>
      <w:r>
        <w:rPr>
          <w:rFonts w:ascii="Arial" w:cs="Arial" w:eastAsia="Arial" w:hAnsi="Arial"/>
          <w:b/>
          <w:bCs/>
          <w:i w:val="false"/>
          <w:iCs w:val="false"/>
          <w:color w:val="1F1F1F"/>
          <w:sz w:val="30"/>
          <w:szCs w:val="30"/>
        </w:rPr>
        <w:t xml:space="preserve">6. Readings taken on the instance</w:t>
      </w:r>
    </w:p>
    <w:p>
      <w:pPr>
        <w:keepNext w:val="false"/>
        <w:spacing w:after="120" w:before="0" w:line="260"/>
      </w:pPr>
      <w:r>
        <w:rPr>
          <w:rFonts w:ascii="Arial" w:cs="Arial" w:eastAsia="Arial" w:hAnsi="Arial"/>
          <w:b w:val="false"/>
          <w:bCs w:val="false"/>
          <w:i w:val="false"/>
          <w:iCs w:val="false"/>
          <w:color w:val="1F1F1F"/>
          <w:sz w:val="20"/>
          <w:szCs w:val="20"/>
        </w:rPr>
        <w:t xml:space="preserve">Four checks were run to see how the limits behave in practice rather than on paper.</w:t>
      </w:r>
    </w:p>
    <w:tbl>
      <w:tblPr>
        <w:tblW w:type="pct" w:w="100%"/>
        <w:tblBorders>
          <w:top w:val="single" w:color="C9CDD1" w:sz="4"/>
          <w:left w:val="single" w:color="C9CDD1" w:sz="4"/>
          <w:bottom w:val="single" w:color="C9CDD1" w:sz="4"/>
          <w:right w:val="single" w:color="C9CDD1" w:sz="4"/>
          <w:insideH w:val="single" w:color="C9CDD1" w:sz="4"/>
          <w:insideV w:val="single" w:color="C9CDD1" w:sz="4"/>
        </w:tblBorders>
        <w:tblLayout w:type="fixed"/>
      </w:tblPr>
      <w:tblGrid>
        <w:gridCol w:w="100"/>
        <w:gridCol w:w="100"/>
        <w:gridCol w:w="100"/>
      </w:tblGrid>
      <w:tr>
        <w:trPr>
          <w:cantSplit/>
          <w:tblHeader/>
        </w:trPr>
        <w:tc>
          <w:tcPr>
            <w:tcW w:type="pct" w:w="30%"/>
            <w:shd w:fill="E8EAEC" w:val="clear"/>
            <w:tcMar>
              <w:top w:type="dxa" w:w="70"/>
              <w:left w:type="dxa" w:w="110"/>
              <w:bottom w:type="dxa" w:w="70"/>
              <w:right w:type="dxa" w:w="110"/>
            </w:tcMar>
            <w:vAlign w:val="top"/>
          </w:tcPr>
          <w:p>
            <w:pPr>
              <w:keepNext w:val="false"/>
              <w:spacing w:after="0" w:before="0" w:line="220"/>
            </w:pPr>
            <w:r>
              <w:rPr>
                <w:rFonts w:ascii="Arial" w:cs="Arial" w:eastAsia="Arial" w:hAnsi="Arial"/>
                <w:b/>
                <w:bCs/>
                <w:i w:val="false"/>
                <w:iCs w:val="false"/>
                <w:color w:val="1F1F1F"/>
                <w:sz w:val="17"/>
                <w:szCs w:val="17"/>
              </w:rPr>
              <w:t xml:space="preserve">Check</w:t>
            </w:r>
          </w:p>
        </w:tc>
        <w:tc>
          <w:tcPr>
            <w:tcW w:type="pct" w:w="26%"/>
            <w:shd w:fill="E8EAEC" w:val="clear"/>
            <w:tcMar>
              <w:top w:type="dxa" w:w="70"/>
              <w:left w:type="dxa" w:w="110"/>
              <w:bottom w:type="dxa" w:w="70"/>
              <w:right w:type="dxa" w:w="110"/>
            </w:tcMar>
            <w:vAlign w:val="top"/>
          </w:tcPr>
          <w:p>
            <w:pPr>
              <w:keepNext w:val="false"/>
              <w:spacing w:after="0" w:before="0" w:line="220"/>
            </w:pPr>
            <w:r>
              <w:rPr>
                <w:rFonts w:ascii="Arial" w:cs="Arial" w:eastAsia="Arial" w:hAnsi="Arial"/>
                <w:b/>
                <w:bCs/>
                <w:i w:val="false"/>
                <w:iCs w:val="false"/>
                <w:color w:val="1F1F1F"/>
                <w:sz w:val="17"/>
                <w:szCs w:val="17"/>
              </w:rPr>
              <w:t xml:space="preserve">Result</w:t>
            </w:r>
          </w:p>
        </w:tc>
        <w:tc>
          <w:tcPr>
            <w:tcW w:type="pct" w:w="44%"/>
            <w:shd w:fill="E8EAEC" w:val="clear"/>
            <w:tcMar>
              <w:top w:type="dxa" w:w="70"/>
              <w:left w:type="dxa" w:w="110"/>
              <w:bottom w:type="dxa" w:w="70"/>
              <w:right w:type="dxa" w:w="110"/>
            </w:tcMar>
            <w:vAlign w:val="top"/>
          </w:tcPr>
          <w:p>
            <w:pPr>
              <w:keepNext w:val="false"/>
              <w:spacing w:after="0" w:before="0" w:line="220"/>
            </w:pPr>
            <w:r>
              <w:rPr>
                <w:rFonts w:ascii="Arial" w:cs="Arial" w:eastAsia="Arial" w:hAnsi="Arial"/>
                <w:b/>
                <w:bCs/>
                <w:i w:val="false"/>
                <w:iCs w:val="false"/>
                <w:color w:val="1F1F1F"/>
                <w:sz w:val="17"/>
                <w:szCs w:val="17"/>
              </w:rPr>
              <w:t xml:space="preserve">What it means</w:t>
            </w:r>
          </w:p>
        </w:tc>
      </w:tr>
      <w:tr>
        <w:trPr>
          <w:cantSplit/>
        </w:trPr>
        <w:tc>
          <w:tcPr>
            <w:tcW w:type="pct" w:w="30%"/>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Longest query parameter value currently stored</w:t>
            </w:r>
          </w:p>
        </w:tc>
        <w:tc>
          <w:tcPr>
            <w:tcW w:type="pct" w:w="26%"/>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29 characters, against a declared limit of 1000</w:t>
            </w:r>
          </w:p>
        </w:tc>
        <w:tc>
          <w:tcPr>
            <w:tcW w:type="pct" w:w="44%"/>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Across every HTTP Query Parameter row on the instance. Nothing close to the limit is in use today.</w:t>
            </w:r>
          </w:p>
        </w:tc>
      </w:tr>
      <w:tr>
        <w:trPr>
          <w:cantSplit/>
        </w:trPr>
        <w:tc>
          <w:tcPr>
            <w:tcW w:type="pct" w:w="30%"/>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Longest system property value currently stored</w:t>
            </w:r>
          </w:p>
        </w:tc>
        <w:tc>
          <w:tcPr>
            <w:tcW w:type="pct" w:w="26%"/>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3,738 characters in glide.parameter.dump.table_denylist</w:t>
            </w:r>
          </w:p>
        </w:tc>
        <w:tc>
          <w:tcPr>
            <w:tcW w:type="pct" w:w="44%"/>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Of 4,000 sampled properties, 119 hold values longer than 1,000 characters, so the wider column is genuinely used.</w:t>
            </w:r>
          </w:p>
        </w:tc>
      </w:tr>
      <w:tr>
        <w:trPr>
          <w:cantSplit/>
        </w:trPr>
        <w:tc>
          <w:tcPr>
            <w:tcW w:type="pct" w:w="30%"/>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Write of 900, 1,000, 1,200 and 2,000 characters into the query parameter Value field</w:t>
            </w:r>
          </w:p>
        </w:tc>
        <w:tc>
          <w:tcPr>
            <w:tcW w:type="pct" w:w="26%"/>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All four read back at full length from a fresh query</w:t>
            </w:r>
          </w:p>
        </w:tc>
        <w:tc>
          <w:tcPr>
            <w:tcW w:type="pct" w:w="44%"/>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The declared 1,000 is applied by the form. A scripted write above it was retained on this version, so treat 1,000 as the supported ceiling rather than a hard cut.</w:t>
            </w:r>
          </w:p>
        </w:tc>
      </w:tr>
      <w:tr>
        <w:trPr>
          <w:cantSplit/>
        </w:trPr>
        <w:tc>
          <w:tcPr>
            <w:tcW w:type="pct" w:w="30%"/>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Endpoint read back after a 3,000 character setStringParameter call</w:t>
            </w:r>
          </w:p>
        </w:tc>
        <w:tc>
          <w:tcPr>
            <w:tcW w:type="pct" w:w="26%"/>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The ${ids} placeholder was still in the endpoint</w:t>
            </w:r>
          </w:p>
        </w:tc>
        <w:tc>
          <w:tcPr>
            <w:tcW w:type="pct" w:w="44%"/>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Substitution happens when the message is sent, not when the parameter is set, so no column length applies to a value passed this way.</w:t>
            </w:r>
          </w:p>
        </w:tc>
      </w:tr>
    </w:tbl>
    <w:p>
      <w:pPr>
        <w:spacing w:after="60"/>
      </w:pPr>
      <w:r>
        <w:rPr>
          <w:rFonts w:ascii="Arial" w:cs="Arial" w:eastAsia="Arial" w:hAnsi="Arial"/>
          <w:b w:val="false"/>
          <w:bCs w:val="false"/>
          <w:i w:val="false"/>
          <w:iCs w:val="false"/>
          <w:color w:val="1F1F1F"/>
          <w:sz w:val="20"/>
          <w:szCs w:val="20"/>
        </w:rPr>
        <w:t xml:space="preserve"/>
      </w:r>
    </w:p>
    <w:p>
      <w:pPr>
        <w:keepNext w:val="false"/>
        <w:spacing w:after="120" w:before="0" w:line="260"/>
      </w:pPr>
      <w:r>
        <w:rPr>
          <w:rFonts w:ascii="Arial" w:cs="Arial" w:eastAsia="Arial" w:hAnsi="Arial"/>
          <w:b w:val="false"/>
          <w:bCs w:val="false"/>
          <w:i w:val="false"/>
          <w:iCs w:val="false"/>
          <w:color w:val="1F1F1F"/>
          <w:sz w:val="20"/>
          <w:szCs w:val="20"/>
        </w:rPr>
        <w:t xml:space="preserve">The third row matches what ServiceNow says elsewhere: the platform does not enforce max length on save, and the database may map a declared length to a wider column type. Treat the declared figure as the supported ceiling anyway, because the form applies it and a future column change could bring it back into force.</w:t>
      </w:r>
    </w:p>
    <w:p>
      <w:pPr>
        <w:pStyle w:val="Heading1"/>
        <w:keepNext/>
        <w:spacing w:after="140" w:before="360"/>
      </w:pPr>
      <w:r>
        <w:rPr>
          <w:rFonts w:ascii="Arial" w:cs="Arial" w:eastAsia="Arial" w:hAnsi="Arial"/>
          <w:b/>
          <w:bCs/>
          <w:i w:val="false"/>
          <w:iCs w:val="false"/>
          <w:color w:val="1F1F1F"/>
          <w:sz w:val="30"/>
          <w:szCs w:val="30"/>
        </w:rPr>
        <w:t xml:space="preserve">7. One request per policy</w:t>
      </w:r>
    </w:p>
    <w:p>
      <w:pPr>
        <w:keepNext w:val="false"/>
        <w:spacing w:after="120" w:before="0" w:line="260"/>
      </w:pPr>
      <w:r>
        <w:rPr>
          <w:rFonts w:ascii="Arial" w:cs="Arial" w:eastAsia="Arial" w:hAnsi="Arial"/>
          <w:b w:val="false"/>
          <w:bCs w:val="false"/>
          <w:i w:val="false"/>
          <w:iCs w:val="false"/>
          <w:color w:val="1F1F1F"/>
          <w:sz w:val="20"/>
          <w:szCs w:val="20"/>
        </w:rPr>
        <w:t xml:space="preserve">The script builds the list of policies to pull, takes the first, and puts the rest back on the queue. A run therefore makes one request per policy and pages through that policy before moving on.</w:t>
      </w:r>
    </w:p>
    <w:p>
      <w:pPr>
        <w:shd w:fill="F2F3F4" w:val="clear"/>
        <w:spacing w:after="0" w:before="60" w:line="220"/>
        <w:ind w:left="180" w:right="180"/>
      </w:pPr>
      <w:r>
        <w:rPr>
          <w:rFonts w:ascii="Courier New" w:cs="Courier New" w:eastAsia="Courier New" w:hAnsi="Courier New"/>
          <w:b w:val="false"/>
          <w:bCs w:val="false"/>
          <w:i w:val="false"/>
          <w:iCs w:val="false"/>
          <w:color w:val="1F1F1F"/>
          <w:sz w:val="17"/>
          <w:szCs w:val="17"/>
        </w:rPr>
        <w:t xml:space="preserve">_getPolicyIds: function() {</w:t>
      </w:r>
    </w:p>
    <w:p>
      <w:pPr>
        <w:shd w:fill="F2F3F4" w:val="clear"/>
        <w:spacing w:after="0" w:before="0" w:line="220"/>
        <w:ind w:left="180" w:right="180"/>
      </w:pPr>
      <w:r>
        <w:rPr>
          <w:rFonts w:ascii="Courier New" w:cs="Courier New" w:eastAsia="Courier New" w:hAnsi="Courier New"/>
          <w:b w:val="false"/>
          <w:bCs w:val="false"/>
          <w:i w:val="false"/>
          <w:iCs w:val="false"/>
          <w:color w:val="1F1F1F"/>
          <w:sz w:val="17"/>
          <w:szCs w:val="17"/>
        </w:rPr>
        <w:t xml:space="preserve">    var policyIds = [];</w:t>
      </w:r>
    </w:p>
    <w:p>
      <w:pPr>
        <w:shd w:fill="F2F3F4" w:val="clear"/>
        <w:spacing w:after="0" w:before="0" w:line="220"/>
        <w:ind w:left="180" w:right="180"/>
      </w:pPr>
      <w:r>
        <w:rPr>
          <w:rFonts w:ascii="Courier New" w:cs="Courier New" w:eastAsia="Courier New" w:hAnsi="Courier New"/>
          <w:b w:val="false"/>
          <w:bCs w:val="false"/>
          <w:i w:val="false"/>
          <w:iCs w:val="false"/>
          <w:color w:val="1F1F1F"/>
          <w:sz w:val="17"/>
          <w:szCs w:val="17"/>
        </w:rPr>
        <w:t xml:space="preserve">    var gr = new GlideRecord("sn_vulc_policy");</w:t>
      </w:r>
    </w:p>
    <w:p>
      <w:pPr>
        <w:shd w:fill="F2F3F4" w:val="clear"/>
        <w:spacing w:after="0" w:before="0" w:line="220"/>
        <w:ind w:left="180" w:right="180"/>
      </w:pPr>
      <w:r>
        <w:rPr>
          <w:rFonts w:ascii="Courier New" w:cs="Courier New" w:eastAsia="Courier New" w:hAnsi="Courier New"/>
          <w:b w:val="false"/>
          <w:bCs w:val="false"/>
          <w:i w:val="false"/>
          <w:iCs w:val="false"/>
          <w:color w:val="1F1F1F"/>
          <w:sz w:val="17"/>
          <w:szCs w:val="17"/>
        </w:rPr>
        <w:t xml:space="preserve">    gr.addQuery("source", this._SOURCE);</w:t>
      </w:r>
    </w:p>
    <w:p>
      <w:pPr>
        <w:shd w:fill="F2F3F4" w:val="clear"/>
        <w:spacing w:after="0" w:before="0" w:line="220"/>
        <w:ind w:left="180" w:right="180"/>
      </w:pPr>
      <w:r>
        <w:rPr>
          <w:rFonts w:ascii="Courier New" w:cs="Courier New" w:eastAsia="Courier New" w:hAnsi="Courier New"/>
          <w:b w:val="false"/>
          <w:bCs w:val="false"/>
          <w:i w:val="false"/>
          <w:iCs w:val="false"/>
          <w:color w:val="1F1F1F"/>
          <w:sz w:val="17"/>
          <w:szCs w:val="17"/>
        </w:rPr>
        <w:t xml:space="preserve">    gr.addQuery("is_deprecated", "false");</w:t>
      </w:r>
    </w:p>
    <w:p>
      <w:pPr>
        <w:shd w:fill="F2F3F4" w:val="clear"/>
        <w:spacing w:after="0" w:before="0" w:line="220"/>
        <w:ind w:left="180" w:right="180"/>
      </w:pPr>
      <w:r>
        <w:rPr>
          <w:rFonts w:ascii="Courier New" w:cs="Courier New" w:eastAsia="Courier New" w:hAnsi="Courier New"/>
          <w:b w:val="false"/>
          <w:bCs w:val="false"/>
          <w:i w:val="false"/>
          <w:iCs w:val="false"/>
          <w:color w:val="1F1F1F"/>
          <w:sz w:val="17"/>
          <w:szCs w:val="17"/>
        </w:rPr>
        <w:t xml:space="preserve">    gr.addQuery("active", "true");</w:t>
      </w:r>
    </w:p>
    <w:p>
      <w:pPr>
        <w:shd w:fill="F2F3F4" w:val="clear"/>
        <w:spacing w:after="0" w:before="0" w:line="220"/>
        <w:ind w:left="180" w:right="180"/>
      </w:pPr>
      <w:r>
        <w:rPr>
          <w:rFonts w:ascii="Courier New" w:cs="Courier New" w:eastAsia="Courier New" w:hAnsi="Courier New"/>
          <w:b w:val="false"/>
          <w:bCs w:val="false"/>
          <w:i w:val="false"/>
          <w:iCs w:val="false"/>
          <w:color w:val="1F1F1F"/>
          <w:sz w:val="17"/>
          <w:szCs w:val="17"/>
        </w:rPr>
        <w:t xml:space="preserve">    gr.addNotNullQuery("source_id_int");</w:t>
      </w:r>
    </w:p>
    <w:p>
      <w:pPr>
        <w:shd w:fill="F2F3F4" w:val="clear"/>
        <w:spacing w:after="0" w:before="0" w:line="220"/>
        <w:ind w:left="180" w:right="180"/>
      </w:pPr>
      <w:r>
        <w:rPr>
          <w:rFonts w:ascii="Courier New" w:cs="Courier New" w:eastAsia="Courier New" w:hAnsi="Courier New"/>
          <w:b w:val="false"/>
          <w:bCs w:val="false"/>
          <w:i w:val="false"/>
          <w:iCs w:val="false"/>
          <w:color w:val="1F1F1F"/>
          <w:sz w:val="17"/>
          <w:szCs w:val="17"/>
        </w:rPr>
        <w:t xml:space="preserve">    gr.orderBy("source_id_int");</w:t>
      </w:r>
    </w:p>
    <w:p>
      <w:pPr>
        <w:shd w:fill="F2F3F4" w:val="clear"/>
        <w:spacing w:after="0" w:before="0" w:line="220"/>
        <w:ind w:left="180" w:right="180"/>
      </w:pPr>
      <w:r>
        <w:rPr>
          <w:rFonts w:ascii="Courier New" w:cs="Courier New" w:eastAsia="Courier New" w:hAnsi="Courier New"/>
          <w:b w:val="false"/>
          <w:bCs w:val="false"/>
          <w:i w:val="false"/>
          <w:iCs w:val="false"/>
          <w:color w:val="1F1F1F"/>
          <w:sz w:val="17"/>
          <w:szCs w:val="17"/>
        </w:rPr>
        <w:t xml:space="preserve">    gr.query();</w:t>
      </w:r>
    </w:p>
    <w:p>
      <w:pPr>
        <w:shd w:fill="F2F3F4" w:val="clear"/>
        <w:spacing w:after="0" w:before="0" w:line="220"/>
        <w:ind w:left="180" w:right="180"/>
      </w:pPr>
      <w:r>
        <w:rPr>
          <w:rFonts w:ascii="Courier New" w:cs="Courier New" w:eastAsia="Courier New" w:hAnsi="Courier New"/>
          <w:b w:val="false"/>
          <w:bCs w:val="false"/>
          <w:i w:val="false"/>
          <w:iCs w:val="false"/>
          <w:color w:val="1F1F1F"/>
          <w:sz w:val="17"/>
          <w:szCs w:val="17"/>
        </w:rPr>
        <w:t xml:space="preserve">    while (gr.next()) {</w:t>
      </w:r>
    </w:p>
    <w:p>
      <w:pPr>
        <w:shd w:fill="F2F3F4" w:val="clear"/>
        <w:spacing w:after="0" w:before="0" w:line="220"/>
        <w:ind w:left="180" w:right="180"/>
      </w:pPr>
      <w:r>
        <w:rPr>
          <w:rFonts w:ascii="Courier New" w:cs="Courier New" w:eastAsia="Courier New" w:hAnsi="Courier New"/>
          <w:b w:val="false"/>
          <w:bCs w:val="false"/>
          <w:i w:val="false"/>
          <w:iCs w:val="false"/>
          <w:color w:val="1F1F1F"/>
          <w:sz w:val="17"/>
          <w:szCs w:val="17"/>
        </w:rPr>
        <w:t xml:space="preserve">        policyIds.push(gr.getValue("source_id_int"));</w:t>
      </w:r>
    </w:p>
    <w:p>
      <w:pPr>
        <w:shd w:fill="F2F3F4" w:val="clear"/>
        <w:spacing w:after="0" w:before="0" w:line="220"/>
        <w:ind w:left="180" w:right="180"/>
      </w:pPr>
      <w:r>
        <w:rPr>
          <w:rFonts w:ascii="Courier New" w:cs="Courier New" w:eastAsia="Courier New" w:hAnsi="Courier New"/>
          <w:b w:val="false"/>
          <w:bCs w:val="false"/>
          <w:i w:val="false"/>
          <w:iCs w:val="false"/>
          <w:color w:val="1F1F1F"/>
          <w:sz w:val="17"/>
          <w:szCs w:val="17"/>
        </w:rPr>
        <w:t xml:space="preserve">    }</w:t>
      </w:r>
    </w:p>
    <w:p>
      <w:pPr>
        <w:shd w:fill="F2F3F4" w:val="clear"/>
        <w:spacing w:after="0" w:before="0" w:line="220"/>
        <w:ind w:left="180" w:right="180"/>
      </w:pPr>
      <w:r>
        <w:rPr>
          <w:rFonts w:ascii="Courier New" w:cs="Courier New" w:eastAsia="Courier New" w:hAnsi="Courier New"/>
          <w:b w:val="false"/>
          <w:bCs w:val="false"/>
          <w:i w:val="false"/>
          <w:iCs w:val="false"/>
          <w:color w:val="1F1F1F"/>
          <w:sz w:val="17"/>
          <w:szCs w:val="17"/>
        </w:rPr>
        <w:t xml:space="preserve">    return policyIds;</w:t>
      </w:r>
    </w:p>
    <w:p>
      <w:pPr>
        <w:shd w:fill="F2F3F4" w:val="clear"/>
        <w:spacing w:after="0" w:before="0" w:line="220"/>
        <w:ind w:left="180" w:right="180"/>
      </w:pPr>
      <w:r>
        <w:rPr>
          <w:rFonts w:ascii="Courier New" w:cs="Courier New" w:eastAsia="Courier New" w:hAnsi="Courier New"/>
          <w:b w:val="false"/>
          <w:bCs w:val="false"/>
          <w:i w:val="false"/>
          <w:iCs w:val="false"/>
          <w:color w:val="1F1F1F"/>
          <w:sz w:val="17"/>
          <w:szCs w:val="17"/>
        </w:rPr>
        <w:t xml:space="preserve">},</w:t>
      </w:r>
    </w:p>
    <w:p>
      <w:pPr>
        <w:shd w:fill="F2F3F4" w:val="clear"/>
        <w:spacing w:after="0" w:before="0" w:line="220"/>
        <w:ind w:left="180" w:right="180"/>
      </w:pPr>
      <w:r>
        <w:rPr>
          <w:rFonts w:ascii="Courier New" w:cs="Courier New" w:eastAsia="Courier New" w:hAnsi="Courier New"/>
          <w:b w:val="false"/>
          <w:bCs w:val="false"/>
          <w:i w:val="false"/>
          <w:iCs w:val="false"/>
          <w:color w:val="1F1F1F"/>
          <w:sz w:val="17"/>
          <w:szCs w:val="17"/>
        </w:rPr>
        <w:t xml:space="preserve"> </w:t>
      </w:r>
    </w:p>
    <w:p>
      <w:pPr>
        <w:shd w:fill="F2F3F4" w:val="clear"/>
        <w:spacing w:after="0" w:before="0" w:line="220"/>
        <w:ind w:left="180" w:right="180"/>
      </w:pPr>
      <w:r>
        <w:rPr>
          <w:rFonts w:ascii="Courier New" w:cs="Courier New" w:eastAsia="Courier New" w:hAnsi="Courier New"/>
          <w:b w:val="false"/>
          <w:bCs w:val="false"/>
          <w:i w:val="false"/>
          <w:iCs w:val="false"/>
          <w:color w:val="1F1F1F"/>
          <w:sz w:val="17"/>
          <w:szCs w:val="17"/>
        </w:rPr>
        <w:t xml:space="preserve">parameters.pending = this._getPolicyIds();</w:t>
      </w:r>
    </w:p>
    <w:p>
      <w:pPr>
        <w:shd w:fill="F2F3F4" w:val="clear"/>
        <w:spacing w:after="0" w:before="0" w:line="220"/>
        <w:ind w:left="180" w:right="180"/>
      </w:pPr>
      <w:r>
        <w:rPr>
          <w:rFonts w:ascii="Courier New" w:cs="Courier New" w:eastAsia="Courier New" w:hAnsi="Courier New"/>
          <w:b w:val="false"/>
          <w:bCs w:val="false"/>
          <w:i w:val="false"/>
          <w:iCs w:val="false"/>
          <w:color w:val="1F1F1F"/>
          <w:sz w:val="17"/>
          <w:szCs w:val="17"/>
        </w:rPr>
        <w:t xml:space="preserve">parameters.processing = parameters.pending[0];</w:t>
      </w:r>
    </w:p>
    <w:p>
      <w:pPr>
        <w:shd w:fill="F2F3F4" w:val="clear"/>
        <w:spacing w:after="140" w:before="0" w:line="220"/>
        <w:ind w:left="180" w:right="180"/>
      </w:pPr>
      <w:r>
        <w:rPr>
          <w:rFonts w:ascii="Courier New" w:cs="Courier New" w:eastAsia="Courier New" w:hAnsi="Courier New"/>
          <w:b w:val="false"/>
          <w:bCs w:val="false"/>
          <w:i w:val="false"/>
          <w:iCs w:val="false"/>
          <w:color w:val="1F1F1F"/>
          <w:sz w:val="17"/>
          <w:szCs w:val="17"/>
        </w:rPr>
        <w:t xml:space="preserve">parameters.pending.splice(0, 1);</w:t>
      </w:r>
    </w:p>
    <w:p>
      <w:pPr>
        <w:keepNext w:val="false"/>
        <w:spacing w:after="120" w:before="0" w:line="260"/>
      </w:pPr>
      <w:r>
        <w:rPr>
          <w:rFonts w:ascii="Arial" w:cs="Arial" w:eastAsia="Arial" w:hAnsi="Arial"/>
          <w:b w:val="false"/>
          <w:bCs w:val="false"/>
          <w:i w:val="false"/>
          <w:iCs w:val="false"/>
          <w:color w:val="1F1F1F"/>
          <w:sz w:val="20"/>
          <w:szCs w:val="20"/>
        </w:rPr>
        <w:t xml:space="preserve">The number of requests in a run is the count of active, non-deprecated Qualys policies carrying a numeric source id. Reducing that set is the lever that lowers call volume; lengthening any single request is not, since the endpoint takes one policy at a time by construction.</w:t>
      </w:r>
    </w:p>
    <w:p>
      <w:pPr>
        <w:pStyle w:val="Heading1"/>
        <w:keepNext/>
        <w:spacing w:after="140" w:before="360"/>
      </w:pPr>
      <w:r>
        <w:rPr>
          <w:rFonts w:ascii="Arial" w:cs="Arial" w:eastAsia="Arial" w:hAnsi="Arial"/>
          <w:b/>
          <w:bCs/>
          <w:i w:val="false"/>
          <w:iCs w:val="false"/>
          <w:color w:val="1F1F1F"/>
          <w:sz w:val="30"/>
          <w:szCs w:val="30"/>
        </w:rPr>
        <w:t xml:space="preserve">8. Where my earlier answer needs correcting</w:t>
      </w:r>
    </w:p>
    <w:p>
      <w:pPr>
        <w:keepNext w:val="false"/>
        <w:spacing w:after="120" w:before="0" w:line="260"/>
      </w:pPr>
      <w:r>
        <w:rPr>
          <w:rFonts w:ascii="Arial" w:cs="Arial" w:eastAsia="Arial" w:hAnsi="Arial"/>
          <w:b w:val="false"/>
          <w:bCs w:val="false"/>
          <w:i w:val="false"/>
          <w:iCs w:val="false"/>
          <w:color w:val="1F1F1F"/>
          <w:sz w:val="20"/>
          <w:szCs w:val="20"/>
        </w:rPr>
        <w:t xml:space="preserve">Four points from an earlier informal answer changed once the records and the vendor documentation were opened. They are listed here so the story comment carries the corrected version rather than the first one.</w:t>
      </w:r>
    </w:p>
    <w:tbl>
      <w:tblPr>
        <w:tblW w:type="pct" w:w="100%"/>
        <w:tblBorders>
          <w:top w:val="single" w:color="C9CDD1" w:sz="4"/>
          <w:left w:val="single" w:color="C9CDD1" w:sz="4"/>
          <w:bottom w:val="single" w:color="C9CDD1" w:sz="4"/>
          <w:right w:val="single" w:color="C9CDD1" w:sz="4"/>
          <w:insideH w:val="single" w:color="C9CDD1" w:sz="4"/>
          <w:insideV w:val="single" w:color="C9CDD1" w:sz="4"/>
        </w:tblBorders>
        <w:tblLayout w:type="fixed"/>
      </w:tblPr>
      <w:tblGrid>
        <w:gridCol w:w="100"/>
        <w:gridCol w:w="100"/>
      </w:tblGrid>
      <w:tr>
        <w:trPr>
          <w:cantSplit/>
          <w:tblHeader/>
        </w:trPr>
        <w:tc>
          <w:tcPr>
            <w:tcW w:type="pct" w:w="33%"/>
            <w:shd w:fill="E8EAEC" w:val="clear"/>
            <w:tcMar>
              <w:top w:type="dxa" w:w="70"/>
              <w:left w:type="dxa" w:w="110"/>
              <w:bottom w:type="dxa" w:w="70"/>
              <w:right w:type="dxa" w:w="110"/>
            </w:tcMar>
            <w:vAlign w:val="top"/>
          </w:tcPr>
          <w:p>
            <w:pPr>
              <w:keepNext w:val="false"/>
              <w:spacing w:after="0" w:before="0" w:line="220"/>
            </w:pPr>
            <w:r>
              <w:rPr>
                <w:rFonts w:ascii="Arial" w:cs="Arial" w:eastAsia="Arial" w:hAnsi="Arial"/>
                <w:b/>
                <w:bCs/>
                <w:i w:val="false"/>
                <w:iCs w:val="false"/>
                <w:color w:val="1F1F1F"/>
                <w:sz w:val="17"/>
                <w:szCs w:val="17"/>
              </w:rPr>
              <w:t xml:space="preserve">Said earlier</w:t>
            </w:r>
          </w:p>
        </w:tc>
        <w:tc>
          <w:tcPr>
            <w:tcW w:type="pct" w:w="67%"/>
            <w:shd w:fill="E8EAEC" w:val="clear"/>
            <w:tcMar>
              <w:top w:type="dxa" w:w="70"/>
              <w:left w:type="dxa" w:w="110"/>
              <w:bottom w:type="dxa" w:w="70"/>
              <w:right w:type="dxa" w:w="110"/>
            </w:tcMar>
            <w:vAlign w:val="top"/>
          </w:tcPr>
          <w:p>
            <w:pPr>
              <w:keepNext w:val="false"/>
              <w:spacing w:after="0" w:before="0" w:line="220"/>
            </w:pPr>
            <w:r>
              <w:rPr>
                <w:rFonts w:ascii="Arial" w:cs="Arial" w:eastAsia="Arial" w:hAnsi="Arial"/>
                <w:b/>
                <w:bCs/>
                <w:i w:val="false"/>
                <w:iCs w:val="false"/>
                <w:color w:val="1F1F1F"/>
                <w:sz w:val="17"/>
                <w:szCs w:val="17"/>
              </w:rPr>
              <w:t xml:space="preserve">What the records and the documentation show</w:t>
            </w:r>
          </w:p>
        </w:tc>
      </w:tr>
      <w:tr>
        <w:trPr>
          <w:cantSplit/>
        </w:trPr>
        <w:tc>
          <w:tcPr>
            <w:tcW w:type="pct" w:w="33%"/>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The 1,000 character limit sits on sys_rest_message_fn_parameters.</w:t>
            </w:r>
          </w:p>
        </w:tc>
        <w:tc>
          <w:tcPr>
            <w:tcW w:type="pct" w:w="67%"/>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That table is Variable Substitutions and holds a test value. HTTP Query Parameters is sys_rest_message_fn_param_defs. Both fields are 1,000, so the number was right and the table name was not.</w:t>
            </w:r>
          </w:p>
        </w:tc>
      </w:tr>
      <w:tr>
        <w:trPr>
          <w:cantSplit/>
        </w:trPr>
        <w:tc>
          <w:tcPr>
            <w:tcW w:type="pct" w:w="33%"/>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The page size in force is 1,000, the Qualys default.</w:t>
            </w:r>
          </w:p>
        </w:tc>
        <w:tc>
          <w:tcPr>
            <w:tcW w:type="pct" w:w="67%"/>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Wrong on both halves. Qualys documents 5,000 as the Posture Info default, and ServiceNow sets truncation_limit_pc_result to 5,000. The 1,000 figure belongs to the Host List call, a different endpoint.</w:t>
            </w:r>
          </w:p>
        </w:tc>
      </w:tr>
      <w:tr>
        <w:trPr>
          <w:cantSplit/>
        </w:trPr>
        <w:tc>
          <w:tcPr>
            <w:tcW w:type="pct" w:w="33%"/>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A value longer than the field is truncated on save.</w:t>
            </w:r>
          </w:p>
        </w:tc>
        <w:tc>
          <w:tcPr>
            <w:tcW w:type="pct" w:w="67%"/>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Writes of 1,200 and 2,000 characters were kept in full when made by script, and ServiceNow states that max length is not enforced by the client or the server.</w:t>
            </w:r>
          </w:p>
        </w:tc>
      </w:tr>
      <w:tr>
        <w:trPr>
          <w:cantSplit/>
        </w:trPr>
        <w:tc>
          <w:tcPr>
            <w:tcW w:type="pct" w:w="33%"/>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Ten policy ids per request, from recollection, to be confirmed.</w:t>
            </w:r>
          </w:p>
        </w:tc>
        <w:tc>
          <w:tcPr>
            <w:tcW w:type="pct" w:w="67%"/>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Now confirmed in two Qualys sources. Worth adding that using policy_ids turns truncation_limit off and downloads all posture data.</w:t>
            </w:r>
          </w:p>
        </w:tc>
      </w:tr>
    </w:tbl>
    <w:p>
      <w:pPr>
        <w:pStyle w:val="Heading1"/>
        <w:keepNext/>
        <w:spacing w:after="140" w:before="360"/>
      </w:pPr>
      <w:r>
        <w:rPr>
          <w:rFonts w:ascii="Arial" w:cs="Arial" w:eastAsia="Arial" w:hAnsi="Arial"/>
          <w:b/>
          <w:bCs/>
          <w:i w:val="false"/>
          <w:iCs w:val="false"/>
          <w:color w:val="1F1F1F"/>
          <w:sz w:val="30"/>
          <w:szCs w:val="30"/>
        </w:rPr>
        <w:t xml:space="preserve">9. If a longer list is ever needed</w:t>
      </w:r>
    </w:p>
    <w:p>
      <w:pPr>
        <w:pStyle w:val="ListParagraph"/>
        <w:numPr>
          <w:ilvl w:val="0"/>
          <w:numId w:val="1"/>
        </w:numPr>
        <w:spacing w:after="80" w:line="260"/>
      </w:pPr>
      <w:r>
        <w:rPr>
          <w:rFonts w:ascii="Arial" w:cs="Arial" w:eastAsia="Arial" w:hAnsi="Arial"/>
          <w:b w:val="false"/>
          <w:bCs w:val="false"/>
          <w:i w:val="false"/>
          <w:iCs w:val="false"/>
          <w:color w:val="1F1F1F"/>
          <w:sz w:val="20"/>
          <w:szCs w:val="20"/>
        </w:rPr>
        <w:t xml:space="preserve">Keep it out of the stored fields. A value passed at run time with setStringParameter() is held in no column, so only the request URL bounds it.</w:t>
      </w:r>
    </w:p>
    <w:p>
      <w:pPr>
        <w:pStyle w:val="ListParagraph"/>
        <w:numPr>
          <w:ilvl w:val="0"/>
          <w:numId w:val="1"/>
        </w:numPr>
        <w:spacing w:after="80" w:line="260"/>
      </w:pPr>
      <w:r>
        <w:rPr>
          <w:rFonts w:ascii="Arial" w:cs="Arial" w:eastAsia="Arial" w:hAnsi="Arial"/>
          <w:b w:val="false"/>
          <w:bCs w:val="false"/>
          <w:i w:val="false"/>
          <w:iCs w:val="false"/>
          <w:color w:val="1F1F1F"/>
          <w:sz w:val="20"/>
          <w:szCs w:val="20"/>
        </w:rPr>
        <w:t xml:space="preserve">Budget against the query string, not the ServiceNow field. The tightest common default is 2,048 bytes of query string on IIS; Apache allows 8,190 for the whole request line; the standard recommends supporting at least 8,000 octets. Around 2,000 characters is the conservative planning figure against an unknown server.</w:t>
      </w:r>
    </w:p>
    <w:p>
      <w:pPr>
        <w:pStyle w:val="ListParagraph"/>
        <w:numPr>
          <w:ilvl w:val="0"/>
          <w:numId w:val="1"/>
        </w:numPr>
        <w:spacing w:after="80" w:line="260"/>
      </w:pPr>
      <w:r>
        <w:rPr>
          <w:rFonts w:ascii="Arial" w:cs="Arial" w:eastAsia="Arial" w:hAnsi="Arial"/>
          <w:b w:val="false"/>
          <w:bCs w:val="false"/>
          <w:i w:val="false"/>
          <w:iCs w:val="false"/>
          <w:color w:val="1F1F1F"/>
          <w:sz w:val="20"/>
          <w:szCs w:val="20"/>
        </w:rPr>
        <w:t xml:space="preserve">Use POST if the list has to be long. Qualys states GET has toolkit dependent limits and POST does not.</w:t>
      </w:r>
    </w:p>
    <w:p>
      <w:pPr>
        <w:pStyle w:val="ListParagraph"/>
        <w:numPr>
          <w:ilvl w:val="0"/>
          <w:numId w:val="1"/>
        </w:numPr>
        <w:spacing w:after="80" w:line="260"/>
      </w:pPr>
      <w:r>
        <w:rPr>
          <w:rFonts w:ascii="Arial" w:cs="Arial" w:eastAsia="Arial" w:hAnsi="Arial"/>
          <w:b w:val="false"/>
          <w:bCs w:val="false"/>
          <w:i w:val="false"/>
          <w:iCs w:val="false"/>
          <w:color w:val="1F1F1F"/>
          <w:sz w:val="20"/>
          <w:szCs w:val="20"/>
        </w:rPr>
        <w:t xml:space="preserve">Prefer trimming the policy set. The integration already loops one policy at a time, so a shorter active policy list reduces the work more reliably than any single longer request.</w:t>
      </w:r>
    </w:p>
    <w:p>
      <w:pPr>
        <w:pStyle w:val="ListParagraph"/>
        <w:numPr>
          <w:ilvl w:val="0"/>
          <w:numId w:val="1"/>
        </w:numPr>
        <w:spacing w:after="80" w:line="260"/>
      </w:pPr>
      <w:r>
        <w:rPr>
          <w:rFonts w:ascii="Arial" w:cs="Arial" w:eastAsia="Arial" w:hAnsi="Arial"/>
          <w:b w:val="false"/>
          <w:bCs w:val="false"/>
          <w:i w:val="false"/>
          <w:iCs w:val="false"/>
          <w:color w:val="1F1F1F"/>
          <w:sz w:val="20"/>
          <w:szCs w:val="20"/>
        </w:rPr>
        <w:t xml:space="preserve">If the list must be configuration, a system property gives 4,000 characters against 512 for an integration parameter, at the cost of a script change to read it.</w:t>
      </w:r>
    </w:p>
    <w:p>
      <w:pPr>
        <w:pStyle w:val="Heading1"/>
        <w:keepNext/>
        <w:spacing w:after="140" w:before="360"/>
      </w:pPr>
      <w:r>
        <w:rPr>
          <w:rFonts w:ascii="Arial" w:cs="Arial" w:eastAsia="Arial" w:hAnsi="Arial"/>
          <w:b/>
          <w:bCs/>
          <w:i w:val="false"/>
          <w:iCs w:val="false"/>
          <w:color w:val="1F1F1F"/>
          <w:sz w:val="30"/>
          <w:szCs w:val="30"/>
        </w:rPr>
        <w:t xml:space="preserve">10. References</w:t>
      </w:r>
    </w:p>
    <w:p>
      <w:pPr>
        <w:pStyle w:val="Heading2"/>
        <w:keepNext/>
        <w:spacing w:after="100" w:before="240"/>
      </w:pPr>
      <w:r>
        <w:rPr>
          <w:rFonts w:ascii="Arial" w:cs="Arial" w:eastAsia="Arial" w:hAnsi="Arial"/>
          <w:b/>
          <w:bCs/>
          <w:i w:val="false"/>
          <w:iCs w:val="false"/>
          <w:color w:val="1F1F1F"/>
          <w:sz w:val="23"/>
          <w:szCs w:val="23"/>
        </w:rPr>
        <w:t xml:space="preserve">How a value reaches the request (ServiceNow)</w:t>
      </w:r>
    </w:p>
    <w:p>
      <w:pPr>
        <w:keepNext/>
        <w:spacing w:after="40" w:before="120" w:line="250"/>
      </w:pPr>
      <w:r>
        <w:rPr>
          <w:rFonts w:ascii="Arial" w:cs="Arial" w:eastAsia="Arial" w:hAnsi="Arial"/>
          <w:b/>
          <w:bCs/>
          <w:i w:val="false"/>
          <w:iCs w:val="false"/>
          <w:color w:val="1F1F1F"/>
          <w:sz w:val="19"/>
          <w:szCs w:val="19"/>
        </w:rPr>
        <w:t xml:space="preserve">The official ServiceNow API reference for RESTMessageV2 documents setStringParameter(String name, String value) as setting a named REST message function variable to a given value, returning void, with XML reserved characters in the value escaped.</w:t>
      </w:r>
    </w:p>
    <w:p>
      <w:pPr>
        <w:spacing w:after="40" w:line="240"/>
        <w:ind w:left="240"/>
      </w:pPr>
      <w:r>
        <w:rPr>
          <w:rFonts w:ascii="Arial" w:cs="Arial" w:eastAsia="Arial" w:hAnsi="Arial"/>
          <w:b w:val="false"/>
          <w:bCs w:val="false"/>
          <w:i/>
          <w:iCs/>
          <w:color w:val="5A5F63"/>
          <w:sz w:val="18"/>
          <w:szCs w:val="18"/>
        </w:rPr>
        <w:t xml:space="preserve">“Sets a REST message function variable with the specified name from the REST message record to the specified value. XML reserved characters in the value are converted to the equivalent escaped characters.”</w:t>
      </w:r>
    </w:p>
    <w:p>
      <w:pPr>
        <w:spacing w:after="100" w:line="240"/>
        <w:ind w:left="240"/>
      </w:pPr>
      <w:r>
        <w:rPr>
          <w:rFonts w:ascii="Arial" w:cs="Arial" w:eastAsia="Arial" w:hAnsi="Arial"/>
          <w:b w:val="false"/>
          <w:bCs w:val="false"/>
          <w:i w:val="false"/>
          <w:iCs w:val="false"/>
          <w:color w:val="5A5F63"/>
          <w:sz w:val="18"/>
          <w:szCs w:val="18"/>
        </w:rPr>
        <w:t xml:space="preserve">RESTMessageV2 - Scoped, Global — </w:t>
      </w:r>
      <w:hyperlink w:history="1" r:id="rIdxiotcdlztkd4mfsrpiiwd">
        <w:r>
          <w:rPr>
            <w:rFonts w:ascii="Arial" w:cs="Arial" w:eastAsia="Arial" w:hAnsi="Arial"/>
            <w:color w:val="1155CC"/>
            <w:sz w:val="18"/>
            <w:szCs w:val="18"/>
            <w:u w:val="single"/>
          </w:rPr>
          <w:t xml:space="preserve">https://www.servicenow.com/docs/r/api-reference/server-api-reference/c_RESTMessageV2API.html</w:t>
        </w:r>
      </w:hyperlink>
    </w:p>
    <w:p>
      <w:pPr>
        <w:keepNext/>
        <w:spacing w:after="40" w:before="120" w:line="250"/>
      </w:pPr>
      <w:r>
        <w:rPr>
          <w:rFonts w:ascii="Arial" w:cs="Arial" w:eastAsia="Arial" w:hAnsi="Arial"/>
          <w:b/>
          <w:bCs/>
          <w:i w:val="false"/>
          <w:iCs w:val="false"/>
          <w:color w:val="1F1F1F"/>
          <w:sz w:val="19"/>
          <w:szCs w:val="19"/>
        </w:rPr>
        <w:t xml:space="preserve">ServiceNow documents that ${variable_name} placeholders in an outbound REST message are allowed in the endpoint URL, HTTP headers, HTTP query parameter values and the POST/PUT content, and are given values at run time by the RESTMessageV2 setStringParameter and setStringParameterNoEscape methods.</w:t>
      </w:r>
    </w:p>
    <w:p>
      <w:pPr>
        <w:spacing w:after="40" w:line="240"/>
        <w:ind w:left="240"/>
      </w:pPr>
      <w:r>
        <w:rPr>
          <w:rFonts w:ascii="Arial" w:cs="Arial" w:eastAsia="Arial" w:hAnsi="Arial"/>
          <w:b w:val="false"/>
          <w:bCs w:val="false"/>
          <w:i/>
          <w:iCs/>
          <w:color w:val="5A5F63"/>
          <w:sz w:val="18"/>
          <w:szCs w:val="18"/>
        </w:rPr>
        <w:t xml:space="preserve">“Variables are allowed in the Endpoint URL, HTTP Header and HTTP Query Parameter Value fields, and the Content field for POST and PUT methods. The syntax for variables is ${variable_name}. You can assign a value to variables when running the request using the RESTMessageV2 API setStringParameter and setStringParameterNoEscape methods.”</w:t>
      </w:r>
    </w:p>
    <w:p>
      <w:pPr>
        <w:spacing w:after="100" w:line="240"/>
        <w:ind w:left="240"/>
      </w:pPr>
      <w:r>
        <w:rPr>
          <w:rFonts w:ascii="Arial" w:cs="Arial" w:eastAsia="Arial" w:hAnsi="Arial"/>
          <w:b w:val="false"/>
          <w:bCs w:val="false"/>
          <w:i w:val="false"/>
          <w:iCs w:val="false"/>
          <w:color w:val="5A5F63"/>
          <w:sz w:val="18"/>
          <w:szCs w:val="18"/>
        </w:rPr>
        <w:t xml:space="preserve">Message variable substitution — </w:t>
      </w:r>
      <w:hyperlink w:history="1" r:id="rIdwv8g41j9ve3azyxripn6k">
        <w:r>
          <w:rPr>
            <w:rFonts w:ascii="Arial" w:cs="Arial" w:eastAsia="Arial" w:hAnsi="Arial"/>
            <w:color w:val="1155CC"/>
            <w:sz w:val="18"/>
            <w:szCs w:val="18"/>
            <w:u w:val="single"/>
          </w:rPr>
          <w:t xml:space="preserve">https://www.servicenow.com/docs/r/api-reference/web-services/c_VariableSubstitutionREST.html</w:t>
        </w:r>
      </w:hyperlink>
    </w:p>
    <w:p>
      <w:pPr>
        <w:keepNext/>
        <w:spacing w:after="40" w:before="120" w:line="250"/>
      </w:pPr>
      <w:r>
        <w:rPr>
          <w:rFonts w:ascii="Arial" w:cs="Arial" w:eastAsia="Arial" w:hAnsi="Arial"/>
          <w:b/>
          <w:bCs/>
          <w:i w:val="false"/>
          <w:iCs w:val="false"/>
          <w:color w:val="1F1F1F"/>
          <w:sz w:val="19"/>
          <w:szCs w:val="19"/>
        </w:rPr>
        <w:t xml:space="preserve">The only documented difference between the two methods is XML escaping: setStringParameterNoEscape behaves identically to setStringParameter except that it does not escape XML reserved characters in the value.</w:t>
      </w:r>
    </w:p>
    <w:p>
      <w:pPr>
        <w:spacing w:after="40" w:line="240"/>
        <w:ind w:left="240"/>
      </w:pPr>
      <w:r>
        <w:rPr>
          <w:rFonts w:ascii="Arial" w:cs="Arial" w:eastAsia="Arial" w:hAnsi="Arial"/>
          <w:b w:val="false"/>
          <w:bCs w:val="false"/>
          <w:i/>
          <w:iCs/>
          <w:color w:val="5A5F63"/>
          <w:sz w:val="18"/>
          <w:szCs w:val="18"/>
        </w:rPr>
        <w:t xml:space="preserve">“This method is equivalent to setStringParameter but does not escape XML reserved characters.”</w:t>
      </w:r>
    </w:p>
    <w:p>
      <w:pPr>
        <w:spacing w:after="100" w:line="240"/>
        <w:ind w:left="240"/>
      </w:pPr>
      <w:r>
        <w:rPr>
          <w:rFonts w:ascii="Arial" w:cs="Arial" w:eastAsia="Arial" w:hAnsi="Arial"/>
          <w:b w:val="false"/>
          <w:bCs w:val="false"/>
          <w:i w:val="false"/>
          <w:iCs w:val="false"/>
          <w:color w:val="5A5F63"/>
          <w:sz w:val="18"/>
          <w:szCs w:val="18"/>
        </w:rPr>
        <w:t xml:space="preserve">RESTMessageV2 - Scoped, Global (Zurich API Reference) — </w:t>
      </w:r>
      <w:hyperlink w:history="1" r:id="rIdvdtylhmgl9grnpzq7nqjq">
        <w:r>
          <w:rPr>
            <w:rFonts w:ascii="Arial" w:cs="Arial" w:eastAsia="Arial" w:hAnsi="Arial"/>
            <w:color w:val="1155CC"/>
            <w:sz w:val="18"/>
            <w:szCs w:val="18"/>
            <w:u w:val="single"/>
          </w:rPr>
          <w:t xml:space="preserve">https://www.servicenow.com/docs/bundle/zurich-api-reference/page/app-store/dev_portal/API_reference/RESTMessageV2/concept/c_RESTMessageV2API.html</w:t>
        </w:r>
      </w:hyperlink>
    </w:p>
    <w:p>
      <w:pPr>
        <w:keepNext/>
        <w:spacing w:after="40" w:before="120" w:line="250"/>
      </w:pPr>
      <w:r>
        <w:rPr>
          <w:rFonts w:ascii="Arial" w:cs="Arial" w:eastAsia="Arial" w:hAnsi="Arial"/>
          <w:b/>
          <w:bCs/>
          <w:i w:val="false"/>
          <w:iCs w:val="false"/>
          <w:color w:val="1F1F1F"/>
          <w:sz w:val="19"/>
          <w:szCs w:val="19"/>
        </w:rPr>
        <w:t xml:space="preserve">In an outbound REST message, variables written as ${name} are substituted at run time, and they are permitted in the endpoint URL, in HTTP header values, in HTTP query parameter values, and in the content of POST and PUT methods.</w:t>
      </w:r>
    </w:p>
    <w:p>
      <w:pPr>
        <w:spacing w:after="40" w:line="240"/>
        <w:ind w:left="240"/>
      </w:pPr>
      <w:r>
        <w:rPr>
          <w:rFonts w:ascii="Arial" w:cs="Arial" w:eastAsia="Arial" w:hAnsi="Arial"/>
          <w:b w:val="false"/>
          <w:bCs w:val="false"/>
          <w:i/>
          <w:iCs/>
          <w:color w:val="5A5F63"/>
          <w:sz w:val="18"/>
          <w:szCs w:val="18"/>
        </w:rPr>
        <w:t xml:space="preserve">“Variables are allowed in the Endpoint URL, HTTP Header and HTTP Query Parameter Value fields, and the Content field for POST and PUT methods.”</w:t>
      </w:r>
    </w:p>
    <w:p>
      <w:pPr>
        <w:spacing w:after="100" w:line="240"/>
        <w:ind w:left="240"/>
      </w:pPr>
      <w:r>
        <w:rPr>
          <w:rFonts w:ascii="Arial" w:cs="Arial" w:eastAsia="Arial" w:hAnsi="Arial"/>
          <w:b w:val="false"/>
          <w:bCs w:val="false"/>
          <w:i w:val="false"/>
          <w:iCs w:val="false"/>
          <w:color w:val="5A5F63"/>
          <w:sz w:val="18"/>
          <w:szCs w:val="18"/>
        </w:rPr>
        <w:t xml:space="preserve">Message variable substitution — </w:t>
      </w:r>
      <w:hyperlink w:history="1" r:id="rIdqapztk1tbxcgbe-wwjcf0">
        <w:r>
          <w:rPr>
            <w:rFonts w:ascii="Arial" w:cs="Arial" w:eastAsia="Arial" w:hAnsi="Arial"/>
            <w:color w:val="1155CC"/>
            <w:sz w:val="18"/>
            <w:szCs w:val="18"/>
            <w:u w:val="single"/>
          </w:rPr>
          <w:t xml:space="preserve">https://www.servicenow.com/docs/bundle/australia-api-reference/page/integrate/outbound-rest/concept/c_VariableSubstitutionREST.html</w:t>
        </w:r>
      </w:hyperlink>
    </w:p>
    <w:p>
      <w:pPr>
        <w:keepNext/>
        <w:spacing w:after="40" w:before="120" w:line="250"/>
      </w:pPr>
      <w:r>
        <w:rPr>
          <w:rFonts w:ascii="Arial" w:cs="Arial" w:eastAsia="Arial" w:hAnsi="Arial"/>
          <w:b/>
          <w:bCs/>
          <w:i w:val="false"/>
          <w:iCs w:val="false"/>
          <w:color w:val="1F1F1F"/>
          <w:sz w:val="19"/>
          <w:szCs w:val="19"/>
        </w:rPr>
        <w:t xml:space="preserve">The "Auto-generate variables" related link on a REST message HTTP method populates the Variable Substitutions related list from the ${...} variables found in the method endpoint and in the HTTP Headers and HTTP Query Parameters embedded lists.</w:t>
      </w:r>
    </w:p>
    <w:p>
      <w:pPr>
        <w:spacing w:after="40" w:line="240"/>
        <w:ind w:left="240"/>
      </w:pPr>
      <w:r>
        <w:rPr>
          <w:rFonts w:ascii="Arial" w:cs="Arial" w:eastAsia="Arial" w:hAnsi="Arial"/>
          <w:b w:val="false"/>
          <w:bCs w:val="false"/>
          <w:i/>
          <w:iCs/>
          <w:color w:val="5A5F63"/>
          <w:sz w:val="18"/>
          <w:szCs w:val="18"/>
        </w:rPr>
        <w:t xml:space="preserve">“The Variable Substitutions related list is automatically populated for any variables defined in the HTTP Method Endpoint field and the HTTP Headers and HTTP Query Parameters embedded lists.”</w:t>
      </w:r>
    </w:p>
    <w:p>
      <w:pPr>
        <w:spacing w:after="100" w:line="240"/>
        <w:ind w:left="240"/>
      </w:pPr>
      <w:r>
        <w:rPr>
          <w:rFonts w:ascii="Arial" w:cs="Arial" w:eastAsia="Arial" w:hAnsi="Arial"/>
          <w:b w:val="false"/>
          <w:bCs w:val="false"/>
          <w:i w:val="false"/>
          <w:iCs w:val="false"/>
          <w:color w:val="5A5F63"/>
          <w:sz w:val="18"/>
          <w:szCs w:val="18"/>
        </w:rPr>
        <w:t xml:space="preserve">Generate REST message variables — </w:t>
      </w:r>
      <w:hyperlink w:history="1" r:id="rIds56vioinw92utaz_wkcuk">
        <w:r>
          <w:rPr>
            <w:rFonts w:ascii="Arial" w:cs="Arial" w:eastAsia="Arial" w:hAnsi="Arial"/>
            <w:color w:val="1155CC"/>
            <w:sz w:val="18"/>
            <w:szCs w:val="18"/>
            <w:u w:val="single"/>
          </w:rPr>
          <w:t xml:space="preserve">https://www.servicenow.com/docs/bundle/australia-api-reference/page/integrate/outbound-rest/task/t_GenerateMessageVariables.html</w:t>
        </w:r>
      </w:hyperlink>
    </w:p>
    <w:p>
      <w:pPr>
        <w:keepNext/>
        <w:spacing w:after="40" w:before="120" w:line="250"/>
      </w:pPr>
      <w:r>
        <w:rPr>
          <w:rFonts w:ascii="Arial" w:cs="Arial" w:eastAsia="Arial" w:hAnsi="Arial"/>
          <w:b/>
          <w:bCs/>
          <w:i w:val="false"/>
          <w:iCs w:val="false"/>
          <w:color w:val="1F1F1F"/>
          <w:sz w:val="19"/>
          <w:szCs w:val="19"/>
        </w:rPr>
        <w:t xml:space="preserve">The HTTP Query Parameters related list on a REST Message Function is stored in sys_rest_message_fn_param_defs, not sys_rest_message_fn_parameters; sys_rest_message_fn_parameters holds the Variable Substitutions (the ${varName} declarations).</w:t>
      </w:r>
    </w:p>
    <w:p>
      <w:pPr>
        <w:spacing w:after="40" w:line="240"/>
        <w:ind w:left="240"/>
      </w:pPr>
      <w:r>
        <w:rPr>
          <w:rFonts w:ascii="Arial" w:cs="Arial" w:eastAsia="Arial" w:hAnsi="Arial"/>
          <w:b w:val="false"/>
          <w:bCs w:val="false"/>
          <w:i/>
          <w:iCs/>
          <w:color w:val="5A5F63"/>
          <w:sz w:val="18"/>
          <w:szCs w:val="18"/>
        </w:rPr>
        <w:t xml:space="preserve">“Used within RestMessageFn.queryParams[]. Maps to sys_rest_message_fn_param_defs.”</w:t>
      </w:r>
    </w:p>
    <w:p>
      <w:pPr>
        <w:spacing w:after="100" w:line="240"/>
        <w:ind w:left="240"/>
      </w:pPr>
      <w:r>
        <w:rPr>
          <w:rFonts w:ascii="Arial" w:cs="Arial" w:eastAsia="Arial" w:hAnsi="Arial"/>
          <w:b w:val="false"/>
          <w:bCs w:val="false"/>
          <w:i w:val="false"/>
          <w:iCs w:val="false"/>
          <w:color w:val="5A5F63"/>
          <w:sz w:val="18"/>
          <w:szCs w:val="18"/>
        </w:rPr>
        <w:t xml:space="preserve">RestMessage | ServiceNow SDK (ServiceNow SDK reference) — </w:t>
      </w:r>
      <w:hyperlink w:history="1" r:id="rIdkhaygsdt_eq54atcqmvsc">
        <w:r>
          <w:rPr>
            <w:rFonts w:ascii="Arial" w:cs="Arial" w:eastAsia="Arial" w:hAnsi="Arial"/>
            <w:color w:val="1155CC"/>
            <w:sz w:val="18"/>
            <w:szCs w:val="18"/>
            <w:u w:val="single"/>
          </w:rPr>
          <w:t xml:space="preserve">https://servicenow.github.io/sdk/api/restmessage-api</w:t>
        </w:r>
      </w:hyperlink>
    </w:p>
    <w:p>
      <w:pPr>
        <w:pStyle w:val="Heading2"/>
        <w:keepNext/>
        <w:spacing w:after="100" w:before="240"/>
      </w:pPr>
      <w:r>
        <w:rPr>
          <w:rFonts w:ascii="Arial" w:cs="Arial" w:eastAsia="Arial" w:hAnsi="Arial"/>
          <w:b/>
          <w:bCs/>
          <w:i w:val="false"/>
          <w:iCs w:val="false"/>
          <w:color w:val="1F1F1F"/>
          <w:sz w:val="23"/>
          <w:szCs w:val="23"/>
        </w:rPr>
        <w:t xml:space="preserve">How field length behaves (ServiceNow)</w:t>
      </w:r>
    </w:p>
    <w:p>
      <w:pPr>
        <w:keepNext/>
        <w:spacing w:after="40" w:before="120" w:line="250"/>
      </w:pPr>
      <w:r>
        <w:rPr>
          <w:rFonts w:ascii="Arial" w:cs="Arial" w:eastAsia="Arial" w:hAnsi="Arial"/>
          <w:b/>
          <w:bCs/>
          <w:i w:val="false"/>
          <w:iCs w:val="false"/>
          <w:color w:val="1F1F1F"/>
          <w:sz w:val="19"/>
          <w:szCs w:val="19"/>
        </w:rPr>
        <w:t xml:space="preserve">ServiceNow's official field types reference documents the String type's Max length behaviour, including that the database maps the value to the nearest column type and that on Oracle-backed instances Max length cannot be raised above 4000 through the application UI.</w:t>
      </w:r>
    </w:p>
    <w:p>
      <w:pPr>
        <w:spacing w:after="40" w:line="240"/>
        <w:ind w:left="240"/>
      </w:pPr>
      <w:r>
        <w:rPr>
          <w:rFonts w:ascii="Arial" w:cs="Arial" w:eastAsia="Arial" w:hAnsi="Arial"/>
          <w:b w:val="false"/>
          <w:bCs w:val="false"/>
          <w:i/>
          <w:iCs/>
          <w:color w:val="5A5F63"/>
          <w:sz w:val="18"/>
          <w:szCs w:val="18"/>
        </w:rPr>
        <w:t xml:space="preserve">“Note: The database may translate the value that you provide in the Max length field to the closest matching database field type. For example, a max string length of 80 maps to the nearest database field type of VARCHAR(100). For Oracle instances, users aren't able to increase the max length of a string field to a value greater than 4000 through the application UI. Changes greater than 4000 require the CLOB data type in Orac...”</w:t>
      </w:r>
    </w:p>
    <w:p>
      <w:pPr>
        <w:spacing w:after="100" w:line="240"/>
        <w:ind w:left="240"/>
      </w:pPr>
      <w:r>
        <w:rPr>
          <w:rFonts w:ascii="Arial" w:cs="Arial" w:eastAsia="Arial" w:hAnsi="Arial"/>
          <w:b w:val="false"/>
          <w:bCs w:val="false"/>
          <w:i w:val="false"/>
          <w:iCs w:val="false"/>
          <w:color w:val="5A5F63"/>
          <w:sz w:val="18"/>
          <w:szCs w:val="18"/>
        </w:rPr>
        <w:t xml:space="preserve">Field types reference — </w:t>
      </w:r>
      <w:hyperlink w:history="1" r:id="rIdgjagksuukkmye0-wrrdjh">
        <w:r>
          <w:rPr>
            <w:rFonts w:ascii="Arial" w:cs="Arial" w:eastAsia="Arial" w:hAnsi="Arial"/>
            <w:color w:val="1155CC"/>
            <w:sz w:val="18"/>
            <w:szCs w:val="18"/>
            <w:u w:val="single"/>
          </w:rPr>
          <w:t xml:space="preserve">https://www.servicenow.com/docs/r/platform-administration/r_FieldTypes.html</w:t>
        </w:r>
      </w:hyperlink>
    </w:p>
    <w:p>
      <w:pPr>
        <w:keepNext/>
        <w:spacing w:after="40" w:before="120" w:line="250"/>
      </w:pPr>
      <w:r>
        <w:rPr>
          <w:rFonts w:ascii="Arial" w:cs="Arial" w:eastAsia="Arial" w:hAnsi="Arial"/>
          <w:b/>
          <w:bCs/>
          <w:i w:val="false"/>
          <w:iCs w:val="false"/>
          <w:color w:val="1F1F1F"/>
          <w:sz w:val="19"/>
          <w:szCs w:val="19"/>
        </w:rPr>
        <w:t xml:space="preserve">Max length is changed on the field's dictionary entry (Configure Dictionary), and the platform blocks a length reduction that would truncate data already stored in the column.</w:t>
      </w:r>
    </w:p>
    <w:p>
      <w:pPr>
        <w:spacing w:after="40" w:line="240"/>
        <w:ind w:left="240"/>
      </w:pPr>
      <w:r>
        <w:rPr>
          <w:rFonts w:ascii="Arial" w:cs="Arial" w:eastAsia="Arial" w:hAnsi="Arial"/>
          <w:b w:val="false"/>
          <w:bCs w:val="false"/>
          <w:i/>
          <w:iCs/>
          <w:color w:val="5A5F63"/>
          <w:sz w:val="18"/>
          <w:szCs w:val="18"/>
        </w:rPr>
        <w:t xml:space="preserve">“Right-click the field label in the form and select Configure Dictionary. Change the Max length field to the desired length. [...] Note: You can change between string-based data types as long as length changes do not cause any data loss from truncation. For example, you can change from a MEDIUM database type to a VARCHAR(100) database type if none of the existing data is greater than 100. [...] The system cancels any length...”</w:t>
      </w:r>
    </w:p>
    <w:p>
      <w:pPr>
        <w:spacing w:after="100" w:line="240"/>
        <w:ind w:left="240"/>
      </w:pPr>
      <w:r>
        <w:rPr>
          <w:rFonts w:ascii="Arial" w:cs="Arial" w:eastAsia="Arial" w:hAnsi="Arial"/>
          <w:b w:val="false"/>
          <w:bCs w:val="false"/>
          <w:i w:val="false"/>
          <w:iCs w:val="false"/>
          <w:color w:val="5A5F63"/>
          <w:sz w:val="18"/>
          <w:szCs w:val="18"/>
        </w:rPr>
        <w:t xml:space="preserve">Modify string field length — </w:t>
      </w:r>
      <w:hyperlink w:history="1" r:id="rIdwf56zafxaqxv5btggph2v">
        <w:r>
          <w:rPr>
            <w:rFonts w:ascii="Arial" w:cs="Arial" w:eastAsia="Arial" w:hAnsi="Arial"/>
            <w:color w:val="1155CC"/>
            <w:sz w:val="18"/>
            <w:szCs w:val="18"/>
            <w:u w:val="single"/>
          </w:rPr>
          <w:t xml:space="preserve">https://www.servicenow.com/docs/r/platform-administration/t_ModifyingStringFieldLength.html</w:t>
        </w:r>
      </w:hyperlink>
    </w:p>
    <w:p>
      <w:pPr>
        <w:keepNext/>
        <w:spacing w:after="40" w:before="120" w:line="250"/>
      </w:pPr>
      <w:r>
        <w:rPr>
          <w:rFonts w:ascii="Arial" w:cs="Arial" w:eastAsia="Arial" w:hAnsi="Arial"/>
          <w:b/>
          <w:bCs/>
          <w:i w:val="false"/>
          <w:iCs w:val="false"/>
          <w:color w:val="1F1F1F"/>
          <w:sz w:val="19"/>
          <w:szCs w:val="19"/>
        </w:rPr>
        <w:t xml:space="preserve">COMMUNITY SOURCE (not official documentation): the sys_dictionary max_length value is not enforced on save by the client or the server, so a value longer than max_length is accepted rather than rejected.</w:t>
      </w:r>
    </w:p>
    <w:p>
      <w:pPr>
        <w:spacing w:after="40" w:line="240"/>
        <w:ind w:left="240"/>
      </w:pPr>
      <w:r>
        <w:rPr>
          <w:rFonts w:ascii="Arial" w:cs="Arial" w:eastAsia="Arial" w:hAnsi="Arial"/>
          <w:b w:val="false"/>
          <w:bCs w:val="false"/>
          <w:i/>
          <w:iCs/>
          <w:color w:val="5A5F63"/>
          <w:sz w:val="18"/>
          <w:szCs w:val="18"/>
        </w:rPr>
        <w:t xml:space="preserve">“When you create a new sys_dictionary record to define a new string field, the max_length is mandatory. Despite the similarity of the name to HTML's maxlength attributes for input or textarea tags, this is not enforced as a limit in the client or server. Max length is not enforced on the Now Platform. Fields in ServiceNow accept string inputs greater than the sys_dictionary max_length value. This is the expected behavior of...”</w:t>
      </w:r>
    </w:p>
    <w:p>
      <w:pPr>
        <w:spacing w:after="100" w:line="240"/>
        <w:ind w:left="240"/>
      </w:pPr>
      <w:r>
        <w:rPr>
          <w:rFonts w:ascii="Arial" w:cs="Arial" w:eastAsia="Arial" w:hAnsi="Arial"/>
          <w:b w:val="false"/>
          <w:bCs w:val="false"/>
          <w:i w:val="false"/>
          <w:iCs w:val="false"/>
          <w:color w:val="5A5F63"/>
          <w:sz w:val="18"/>
          <w:szCs w:val="18"/>
        </w:rPr>
        <w:t xml:space="preserve">Max length value of string field is not honoured - ServiceNow Community (developer forum) (ServiceNow Community post, not product documentation) — </w:t>
      </w:r>
      <w:hyperlink w:history="1" r:id="rIdcofc_zth96v3-b1oof7sn">
        <w:r>
          <w:rPr>
            <w:rFonts w:ascii="Arial" w:cs="Arial" w:eastAsia="Arial" w:hAnsi="Arial"/>
            <w:color w:val="1155CC"/>
            <w:sz w:val="18"/>
            <w:szCs w:val="18"/>
            <w:u w:val="single"/>
          </w:rPr>
          <w:t xml:space="preserve">https://www.servicenow.com/community/developer-forum/max-length-value-of-string-field-is-not-honoured/td-p/3307639</w:t>
        </w:r>
      </w:hyperlink>
    </w:p>
    <w:p>
      <w:pPr>
        <w:keepNext/>
        <w:spacing w:after="40" w:before="120" w:line="250"/>
      </w:pPr>
      <w:r>
        <w:rPr>
          <w:rFonts w:ascii="Arial" w:cs="Arial" w:eastAsia="Arial" w:hAnsi="Arial"/>
          <w:b/>
          <w:bCs/>
          <w:i w:val="false"/>
          <w:iCs w:val="false"/>
          <w:color w:val="1F1F1F"/>
          <w:sz w:val="19"/>
          <w:szCs w:val="19"/>
        </w:rPr>
        <w:t xml:space="preserve">The sys_properties table is the System Property table where properties are added, and every property value is stored as a string regardless of the Type selected — so a comma separated list is stored as ordinary string text.</w:t>
      </w:r>
    </w:p>
    <w:p>
      <w:pPr>
        <w:spacing w:after="40" w:line="240"/>
        <w:ind w:left="240"/>
      </w:pPr>
      <w:r>
        <w:rPr>
          <w:rFonts w:ascii="Arial" w:cs="Arial" w:eastAsia="Arial" w:hAnsi="Arial"/>
          <w:b w:val="false"/>
          <w:bCs w:val="false"/>
          <w:i/>
          <w:iCs/>
          <w:color w:val="5A5F63"/>
          <w:sz w:val="18"/>
          <w:szCs w:val="18"/>
        </w:rPr>
        <w:t xml:space="preserve">“All property values are stored as strings. When retrieving properties via the gs.getProperty() method, treat the results as strings. For example, a true|false property returns 'true' or 'false' (strings), not the Boolean equivalent.”</w:t>
      </w:r>
    </w:p>
    <w:p>
      <w:pPr>
        <w:spacing w:after="100" w:line="240"/>
        <w:ind w:left="240"/>
      </w:pPr>
      <w:r>
        <w:rPr>
          <w:rFonts w:ascii="Arial" w:cs="Arial" w:eastAsia="Arial" w:hAnsi="Arial"/>
          <w:b w:val="false"/>
          <w:bCs w:val="false"/>
          <w:i w:val="false"/>
          <w:iCs w:val="false"/>
          <w:color w:val="5A5F63"/>
          <w:sz w:val="18"/>
          <w:szCs w:val="18"/>
        </w:rPr>
        <w:t xml:space="preserve">Add a system property — Zurich Platform Administration — </w:t>
      </w:r>
      <w:hyperlink w:history="1" r:id="rId9gl2enpo6jxzlbwqlw5zu">
        <w:r>
          <w:rPr>
            <w:rFonts w:ascii="Arial" w:cs="Arial" w:eastAsia="Arial" w:hAnsi="Arial"/>
            <w:color w:val="1155CC"/>
            <w:sz w:val="18"/>
            <w:szCs w:val="18"/>
            <w:u w:val="single"/>
          </w:rPr>
          <w:t xml:space="preserve">https://www.servicenow.com/docs/bundle/zurich-platform-administration/page/administer/reference-pages/task/t_AddAPropertyUsingSysPropsList.html</w:t>
        </w:r>
      </w:hyperlink>
    </w:p>
    <w:p>
      <w:pPr>
        <w:pStyle w:val="Heading2"/>
        <w:keepNext/>
        <w:spacing w:after="100" w:before="240"/>
      </w:pPr>
      <w:r>
        <w:rPr>
          <w:rFonts w:ascii="Arial" w:cs="Arial" w:eastAsia="Arial" w:hAnsi="Arial"/>
          <w:b/>
          <w:bCs/>
          <w:i w:val="false"/>
          <w:iCs w:val="false"/>
          <w:color w:val="1F1F1F"/>
          <w:sz w:val="23"/>
          <w:szCs w:val="23"/>
        </w:rPr>
        <w:t xml:space="preserve">The Qualys integration application (ServiceNow)</w:t>
      </w:r>
    </w:p>
    <w:p>
      <w:pPr>
        <w:keepNext/>
        <w:spacing w:after="40" w:before="120" w:line="250"/>
      </w:pPr>
      <w:r>
        <w:rPr>
          <w:rFonts w:ascii="Arial" w:cs="Arial" w:eastAsia="Arial" w:hAnsi="Arial"/>
          <w:b/>
          <w:bCs/>
          <w:i w:val="false"/>
          <w:iCs w:val="false"/>
          <w:color w:val="1F1F1F"/>
          <w:sz w:val="19"/>
          <w:szCs w:val="19"/>
        </w:rPr>
        <w:t xml:space="preserve">ServiceNow officially documents a host truncation limit as a default setting of the Qualys Cloud Platform integration, and changed that default from 500 to 300 in version 30.6.0 of the Qualys Integration for Security Operations application.</w:t>
      </w:r>
    </w:p>
    <w:p>
      <w:pPr>
        <w:spacing w:after="40" w:line="240"/>
        <w:ind w:left="240"/>
      </w:pPr>
      <w:r>
        <w:rPr>
          <w:rFonts w:ascii="Arial" w:cs="Arial" w:eastAsia="Arial" w:hAnsi="Arial"/>
          <w:b w:val="false"/>
          <w:bCs w:val="false"/>
          <w:i/>
          <w:iCs/>
          <w:color w:val="5A5F63"/>
          <w:sz w:val="18"/>
          <w:szCs w:val="18"/>
        </w:rPr>
        <w:t xml:space="preserve">“Optimized the default Qualys Cloud Platform integration settings by reducing the host truncation limit from 500 to 300 for greater stability, and increasing the KnowledgeBase backfill limit from 100 to 300 for faster processing.”</w:t>
      </w:r>
    </w:p>
    <w:p>
      <w:pPr>
        <w:spacing w:after="100" w:line="240"/>
        <w:ind w:left="240"/>
      </w:pPr>
      <w:r>
        <w:rPr>
          <w:rFonts w:ascii="Arial" w:cs="Arial" w:eastAsia="Arial" w:hAnsi="Arial"/>
          <w:b w:val="false"/>
          <w:bCs w:val="false"/>
          <w:i w:val="false"/>
          <w:iCs w:val="false"/>
          <w:color w:val="5A5F63"/>
          <w:sz w:val="18"/>
          <w:szCs w:val="18"/>
        </w:rPr>
        <w:t xml:space="preserve">Qualys Integration for Security Operations release notes — </w:t>
      </w:r>
      <w:hyperlink w:history="1" r:id="rIdomfspapcwanexuqifmxwc">
        <w:r>
          <w:rPr>
            <w:rFonts w:ascii="Arial" w:cs="Arial" w:eastAsia="Arial" w:hAnsi="Arial"/>
            <w:color w:val="1155CC"/>
            <w:sz w:val="18"/>
            <w:szCs w:val="18"/>
            <w:u w:val="single"/>
          </w:rPr>
          <w:t xml:space="preserve">https://www.servicenow.com/docs/r/store-release-notes/store-secops-rn-qualys-integration.html</w:t>
        </w:r>
      </w:hyperlink>
    </w:p>
    <w:p>
      <w:pPr>
        <w:keepNext/>
        <w:spacing w:after="40" w:before="120" w:line="250"/>
      </w:pPr>
      <w:r>
        <w:rPr>
          <w:rFonts w:ascii="Arial" w:cs="Arial" w:eastAsia="Arial" w:hAnsi="Arial"/>
          <w:b/>
          <w:bCs/>
          <w:i w:val="false"/>
          <w:iCs w:val="false"/>
          <w:color w:val="1F1F1F"/>
          <w:sz w:val="19"/>
          <w:szCs w:val="19"/>
        </w:rPr>
        <w:t xml:space="preserve">The Qualys Policy Compliance data path into Configuration Compliance is delivered by the Qualys Integration for Security Operations application, which from v12.6.3 provides the Qualys PCRS Policy Host Integration and Qualys PCRS Test Results Integration.</w:t>
      </w:r>
    </w:p>
    <w:p>
      <w:pPr>
        <w:spacing w:after="40" w:line="240"/>
        <w:ind w:left="240"/>
      </w:pPr>
      <w:r>
        <w:rPr>
          <w:rFonts w:ascii="Arial" w:cs="Arial" w:eastAsia="Arial" w:hAnsi="Arial"/>
          <w:b w:val="false"/>
          <w:bCs w:val="false"/>
          <w:i/>
          <w:iCs/>
          <w:color w:val="5A5F63"/>
          <w:sz w:val="18"/>
          <w:szCs w:val="18"/>
        </w:rPr>
        <w:t xml:space="preserve">“Starting with v12.6.3 of Qualys Integration for Security Operations, you can use the Qualys PCRS Policy Host Integration and Qualys PCRS Test Results Integration for importing test results with new sets of Qualys APIs. These integrations need a gateway URL to fetch information from Qualys.”</w:t>
      </w:r>
    </w:p>
    <w:p>
      <w:pPr>
        <w:spacing w:after="100" w:line="240"/>
        <w:ind w:left="240"/>
      </w:pPr>
      <w:r>
        <w:rPr>
          <w:rFonts w:ascii="Arial" w:cs="Arial" w:eastAsia="Arial" w:hAnsi="Arial"/>
          <w:b w:val="false"/>
          <w:bCs w:val="false"/>
          <w:i w:val="false"/>
          <w:iCs w:val="false"/>
          <w:color w:val="5A5F63"/>
          <w:sz w:val="18"/>
          <w:szCs w:val="18"/>
        </w:rPr>
        <w:t xml:space="preserve">Qualys integration with Configuration Compliance — </w:t>
      </w:r>
      <w:hyperlink w:history="1" r:id="rId4oquv-mlyyykyk1qktga1">
        <w:r>
          <w:rPr>
            <w:rFonts w:ascii="Arial" w:cs="Arial" w:eastAsia="Arial" w:hAnsi="Arial"/>
            <w:color w:val="1155CC"/>
            <w:sz w:val="18"/>
            <w:szCs w:val="18"/>
            <w:u w:val="single"/>
          </w:rPr>
          <w:t xml:space="preserve">https://www.servicenow.com/docs/r/xanadu/security-management/configuration-compliance/Qualys-cc-Integration.html</w:t>
        </w:r>
      </w:hyperlink>
    </w:p>
    <w:p>
      <w:pPr>
        <w:keepNext/>
        <w:spacing w:after="40" w:before="120" w:line="250"/>
      </w:pPr>
      <w:r>
        <w:rPr>
          <w:rFonts w:ascii="Arial" w:cs="Arial" w:eastAsia="Arial" w:hAnsi="Arial"/>
          <w:b/>
          <w:bCs/>
          <w:i w:val="false"/>
          <w:iCs w:val="false"/>
          <w:color w:val="1F1F1F"/>
          <w:sz w:val="19"/>
          <w:szCs w:val="19"/>
        </w:rPr>
        <w:t xml:space="preserve">The Qualys integration is distributed as the ServiceNow Store application "Qualys Integration for Security Operations", published by ServiceNow.</w:t>
      </w:r>
    </w:p>
    <w:p>
      <w:pPr>
        <w:spacing w:after="40" w:line="240"/>
        <w:ind w:left="240"/>
      </w:pPr>
      <w:r>
        <w:rPr>
          <w:rFonts w:ascii="Arial" w:cs="Arial" w:eastAsia="Arial" w:hAnsi="Arial"/>
          <w:b w:val="false"/>
          <w:bCs w:val="false"/>
          <w:i/>
          <w:iCs/>
          <w:color w:val="5A5F63"/>
          <w:sz w:val="18"/>
          <w:szCs w:val="18"/>
        </w:rPr>
        <w:t xml:space="preserve">“ServiceNow App Store: Qualys Integration for Security Operations by ServiceNow - Integrate your Qualys deployment with ServiceNow Vulnerability Response to prioritize and remediate vulnerabilities.”</w:t>
      </w:r>
    </w:p>
    <w:p>
      <w:pPr>
        <w:spacing w:after="100" w:line="240"/>
        <w:ind w:left="240"/>
      </w:pPr>
      <w:r>
        <w:rPr>
          <w:rFonts w:ascii="Arial" w:cs="Arial" w:eastAsia="Arial" w:hAnsi="Arial"/>
          <w:b w:val="false"/>
          <w:bCs w:val="false"/>
          <w:i w:val="false"/>
          <w:iCs w:val="false"/>
          <w:color w:val="5A5F63"/>
          <w:sz w:val="18"/>
          <w:szCs w:val="18"/>
        </w:rPr>
        <w:t xml:space="preserve">Qualys Integration for Security Operations - ServiceNow Store — </w:t>
      </w:r>
      <w:hyperlink w:history="1" r:id="rIdsciuwucb5e8ohjom2w_7k">
        <w:r>
          <w:rPr>
            <w:rFonts w:ascii="Arial" w:cs="Arial" w:eastAsia="Arial" w:hAnsi="Arial"/>
            <w:color w:val="1155CC"/>
            <w:sz w:val="18"/>
            <w:szCs w:val="18"/>
            <w:u w:val="single"/>
          </w:rPr>
          <w:t xml:space="preserve">https://store.servicenow.com/store/app/9f3b6f2a1b246a50a85b16db234bcb13</w:t>
        </w:r>
      </w:hyperlink>
    </w:p>
    <w:p>
      <w:pPr>
        <w:pStyle w:val="Heading2"/>
        <w:keepNext/>
        <w:spacing w:after="100" w:before="240"/>
      </w:pPr>
      <w:r>
        <w:rPr>
          <w:rFonts w:ascii="Arial" w:cs="Arial" w:eastAsia="Arial" w:hAnsi="Arial"/>
          <w:b/>
          <w:bCs/>
          <w:i w:val="false"/>
          <w:iCs w:val="false"/>
          <w:color w:val="1F1F1F"/>
          <w:sz w:val="23"/>
          <w:szCs w:val="23"/>
        </w:rPr>
        <w:t xml:space="preserve">The Posture Info API (Qualys)</w:t>
      </w:r>
    </w:p>
    <w:p>
      <w:pPr>
        <w:keepNext/>
        <w:spacing w:after="40" w:before="120" w:line="250"/>
      </w:pPr>
      <w:r>
        <w:rPr>
          <w:rFonts w:ascii="Arial" w:cs="Arial" w:eastAsia="Arial" w:hAnsi="Arial"/>
          <w:b/>
          <w:bCs/>
          <w:i w:val="false"/>
          <w:iCs w:val="false"/>
          <w:color w:val="1F1F1F"/>
          <w:sz w:val="19"/>
          <w:szCs w:val="19"/>
        </w:rPr>
        <w:t xml:space="preserve">For /api/2.0/fo/compliance/posture/info/, the default truncation_limit is 5,000 posture info records per request (not 1,000), it is only valid when a single policy_id is specified, and the configurable range runs from 1 up to 1,000,000.</w:t>
      </w:r>
    </w:p>
    <w:p>
      <w:pPr>
        <w:spacing w:after="40" w:line="240"/>
        <w:ind w:left="240"/>
      </w:pPr>
      <w:r>
        <w:rPr>
          <w:rFonts w:ascii="Arial" w:cs="Arial" w:eastAsia="Arial" w:hAnsi="Arial"/>
          <w:b w:val="false"/>
          <w:bCs w:val="false"/>
          <w:i/>
          <w:iCs/>
          <w:color w:val="5A5F63"/>
          <w:sz w:val="18"/>
          <w:szCs w:val="18"/>
        </w:rPr>
        <w:t xml:space="preserve">“truncation_limit={value} (Optional) The parameter is valid only when the API request is for a single policy and the policy_id parameter is specified. By default, a limit of 5,000 posture info records are returned per request (when "policy_id" is specified). You may specify a value less than the default (1-4999) or greater than the default (5001-1000000) to configure the number records returned per request.”</w:t>
      </w:r>
    </w:p>
    <w:p>
      <w:pPr>
        <w:spacing w:after="100" w:line="240"/>
        <w:ind w:left="240"/>
      </w:pPr>
      <w:r>
        <w:rPr>
          <w:rFonts w:ascii="Arial" w:cs="Arial" w:eastAsia="Arial" w:hAnsi="Arial"/>
          <w:b w:val="false"/>
          <w:bCs w:val="false"/>
          <w:i w:val="false"/>
          <w:iCs w:val="false"/>
          <w:color w:val="5A5F63"/>
          <w:sz w:val="18"/>
          <w:szCs w:val="18"/>
        </w:rPr>
        <w:t xml:space="preserve">Qualys API (VM and PA) User Guide, Version 10.40, September 7, 2026 — "Compliance Posture Information" chapter, Input Parameters table, page 1707 (truncation_limit entry); see also "Maximum Postures per API Request", page 1704 — </w:t>
      </w:r>
      <w:hyperlink w:history="1" r:id="rId3erasbjcivuuwhdcmnji4">
        <w:r>
          <w:rPr>
            <w:rFonts w:ascii="Arial" w:cs="Arial" w:eastAsia="Arial" w:hAnsi="Arial"/>
            <w:color w:val="1155CC"/>
            <w:sz w:val="18"/>
            <w:szCs w:val="18"/>
            <w:u w:val="single"/>
          </w:rPr>
          <w:t xml:space="preserve">https://cdn2.qualys.com/docs/qualys-api-vmpc-user-guide.pdf</w:t>
        </w:r>
      </w:hyperlink>
    </w:p>
    <w:p>
      <w:pPr>
        <w:keepNext/>
        <w:spacing w:after="40" w:before="120" w:line="250"/>
      </w:pPr>
      <w:r>
        <w:rPr>
          <w:rFonts w:ascii="Arial" w:cs="Arial" w:eastAsia="Arial" w:hAnsi="Arial"/>
          <w:b/>
          <w:bCs/>
          <w:i w:val="false"/>
          <w:iCs w:val="false"/>
          <w:color w:val="1F1F1F"/>
          <w:sz w:val="19"/>
          <w:szCs w:val="19"/>
        </w:rPr>
        <w:t xml:space="preserve">Pagination for the Posture Information API works by returning a WARNING element containing the URL of the next batch of records; truncation_limit is invalid when policy_ids (multiple policies) is used, and truncation_limit=0 disables pagination entirely.</w:t>
      </w:r>
    </w:p>
    <w:p>
      <w:pPr>
        <w:spacing w:after="40" w:line="240"/>
        <w:ind w:left="240"/>
      </w:pPr>
      <w:r>
        <w:rPr>
          <w:rFonts w:ascii="Arial" w:cs="Arial" w:eastAsia="Arial" w:hAnsi="Arial"/>
          <w:b w:val="false"/>
          <w:bCs w:val="false"/>
          <w:i/>
          <w:iCs/>
          <w:color w:val="5A5F63"/>
          <w:sz w:val="18"/>
          <w:szCs w:val="18"/>
        </w:rPr>
        <w:t xml:space="preserve">“If the requested list identifies more records than the truncation limit, then the XML output includes the &lt;WARNING&gt; element and the URL for making another request for the next batch of records.”</w:t>
      </w:r>
    </w:p>
    <w:p>
      <w:pPr>
        <w:spacing w:after="100" w:line="240"/>
        <w:ind w:left="240"/>
      </w:pPr>
      <w:r>
        <w:rPr>
          <w:rFonts w:ascii="Arial" w:cs="Arial" w:eastAsia="Arial" w:hAnsi="Arial"/>
          <w:b w:val="false"/>
          <w:bCs w:val="false"/>
          <w:i w:val="false"/>
          <w:iCs w:val="false"/>
          <w:color w:val="5A5F63"/>
          <w:sz w:val="18"/>
          <w:szCs w:val="18"/>
        </w:rPr>
        <w:t xml:space="preserve">List Compliance Posture Info — </w:t>
      </w:r>
      <w:hyperlink w:history="1" r:id="rIds9w8bvwwhnvys2a9l-eg6">
        <w:r>
          <w:rPr>
            <w:rFonts w:ascii="Arial" w:cs="Arial" w:eastAsia="Arial" w:hAnsi="Arial"/>
            <w:color w:val="1155CC"/>
            <w:sz w:val="18"/>
            <w:szCs w:val="18"/>
            <w:u w:val="single"/>
          </w:rPr>
          <w:t xml:space="preserve">https://docs.qualys.com/en/vm/qweb-all-api/mergedProjects/qapi-pc/posture/list_posture_info.htm</w:t>
        </w:r>
      </w:hyperlink>
    </w:p>
    <w:p>
      <w:pPr>
        <w:keepNext/>
        <w:spacing w:after="40" w:before="120" w:line="250"/>
      </w:pPr>
      <w:r>
        <w:rPr>
          <w:rFonts w:ascii="Arial" w:cs="Arial" w:eastAsia="Arial" w:hAnsi="Arial"/>
          <w:b/>
          <w:bCs/>
          <w:i w:val="false"/>
          <w:iCs w:val="false"/>
          <w:color w:val="1F1F1F"/>
          <w:sz w:val="19"/>
          <w:szCs w:val="19"/>
        </w:rPr>
        <w:t xml:space="preserve">The policy_ids parameter of the Qualys PC List Compliance Posture Info API is officially documented, takes a comma-separated list of policy IDs, and has a documented maximum of 10 policies per request.</w:t>
      </w:r>
    </w:p>
    <w:p>
      <w:pPr>
        <w:spacing w:after="40" w:line="240"/>
        <w:ind w:left="240"/>
      </w:pPr>
      <w:r>
        <w:rPr>
          <w:rFonts w:ascii="Arial" w:cs="Arial" w:eastAsia="Arial" w:hAnsi="Arial"/>
          <w:b w:val="false"/>
          <w:bCs w:val="false"/>
          <w:i/>
          <w:iCs/>
          <w:color w:val="5A5F63"/>
          <w:sz w:val="18"/>
          <w:szCs w:val="18"/>
        </w:rPr>
        <w:t xml:space="preserve">“(policy_id or policy_ids is required) Show compliance posture info records for multiple policies - up to 10 policies may be requested. Provide a comma-separated list of valid policy IDs. When this parameter is specified, all posture data is downloaded (and the "truncation_limit" parameter is invalid).”</w:t>
      </w:r>
    </w:p>
    <w:p>
      <w:pPr>
        <w:spacing w:after="100" w:line="240"/>
        <w:ind w:left="240"/>
      </w:pPr>
      <w:r>
        <w:rPr>
          <w:rFonts w:ascii="Arial" w:cs="Arial" w:eastAsia="Arial" w:hAnsi="Arial"/>
          <w:b w:val="false"/>
          <w:bCs w:val="false"/>
          <w:i w:val="false"/>
          <w:iCs w:val="false"/>
          <w:color w:val="5A5F63"/>
          <w:sz w:val="18"/>
          <w:szCs w:val="18"/>
        </w:rPr>
        <w:t xml:space="preserve">List Compliance Posture Info — </w:t>
      </w:r>
      <w:hyperlink w:history="1" r:id="rIdsjmsalcmm6u0golka-p2p">
        <w:r>
          <w:rPr>
            <w:rFonts w:ascii="Arial" w:cs="Arial" w:eastAsia="Arial" w:hAnsi="Arial"/>
            <w:color w:val="1155CC"/>
            <w:sz w:val="18"/>
            <w:szCs w:val="18"/>
            <w:u w:val="single"/>
          </w:rPr>
          <w:t xml:space="preserve">https://docs.qualys.com/en/vm/qweb-all-api/mergedProjects/qapi-pc/posture/list_posture_info.htm</w:t>
        </w:r>
      </w:hyperlink>
    </w:p>
    <w:p>
      <w:pPr>
        <w:keepNext/>
        <w:spacing w:after="40" w:before="120" w:line="250"/>
      </w:pPr>
      <w:r>
        <w:rPr>
          <w:rFonts w:ascii="Arial" w:cs="Arial" w:eastAsia="Arial" w:hAnsi="Arial"/>
          <w:b/>
          <w:bCs/>
          <w:i w:val="false"/>
          <w:iCs w:val="false"/>
          <w:color w:val="1F1F1F"/>
          <w:sz w:val="19"/>
          <w:szCs w:val="19"/>
        </w:rPr>
        <w:t xml:space="preserve">The policy_id parameter accepts only a single policy ID, and policy_id and policy_ids are mutually exclusive in the same request.</w:t>
      </w:r>
    </w:p>
    <w:p>
      <w:pPr>
        <w:spacing w:after="40" w:line="240"/>
        <w:ind w:left="240"/>
      </w:pPr>
      <w:r>
        <w:rPr>
          <w:rFonts w:ascii="Arial" w:cs="Arial" w:eastAsia="Arial" w:hAnsi="Arial"/>
          <w:b w:val="false"/>
          <w:bCs w:val="false"/>
          <w:i/>
          <w:iCs/>
          <w:color w:val="5A5F63"/>
          <w:sz w:val="18"/>
          <w:szCs w:val="18"/>
        </w:rPr>
        <w:t xml:space="preserve">“(policy_id or policy_ids is required) Show compliance posture info records for a specified policy. A valid policy ID is required. The parameters policy_id and policy_ids cannot be specified in the same request.”</w:t>
      </w:r>
    </w:p>
    <w:p>
      <w:pPr>
        <w:spacing w:after="100" w:line="240"/>
        <w:ind w:left="240"/>
      </w:pPr>
      <w:r>
        <w:rPr>
          <w:rFonts w:ascii="Arial" w:cs="Arial" w:eastAsia="Arial" w:hAnsi="Arial"/>
          <w:b w:val="false"/>
          <w:bCs w:val="false"/>
          <w:i w:val="false"/>
          <w:iCs w:val="false"/>
          <w:color w:val="5A5F63"/>
          <w:sz w:val="18"/>
          <w:szCs w:val="18"/>
        </w:rPr>
        <w:t xml:space="preserve">List Compliance Posture Info — </w:t>
      </w:r>
      <w:hyperlink w:history="1" r:id="rIdsbwyyx2xyipj0q0lkiog8">
        <w:r>
          <w:rPr>
            <w:rFonts w:ascii="Arial" w:cs="Arial" w:eastAsia="Arial" w:hAnsi="Arial"/>
            <w:color w:val="1155CC"/>
            <w:sz w:val="18"/>
            <w:szCs w:val="18"/>
            <w:u w:val="single"/>
          </w:rPr>
          <w:t xml:space="preserve">https://docs.qualys.com/en/vm/qweb-all-api/mergedProjects/qapi-pc/posture/list_posture_info.htm</w:t>
        </w:r>
      </w:hyperlink>
    </w:p>
    <w:p>
      <w:pPr>
        <w:keepNext/>
        <w:spacing w:after="40" w:before="120" w:line="250"/>
      </w:pPr>
      <w:r>
        <w:rPr>
          <w:rFonts w:ascii="Arial" w:cs="Arial" w:eastAsia="Arial" w:hAnsi="Arial"/>
          <w:b/>
          <w:bCs/>
          <w:i w:val="false"/>
          <w:iCs w:val="false"/>
          <w:color w:val="1F1F1F"/>
          <w:sz w:val="19"/>
          <w:szCs w:val="19"/>
        </w:rPr>
        <w:t xml:space="preserve">The 10-policy maximum for policy_ids is independently stated in the Qualys API Quick Reference for the List Posture Info endpoint /api/2.0/fo/compliance/posture/info/.</w:t>
      </w:r>
    </w:p>
    <w:p>
      <w:pPr>
        <w:spacing w:after="40" w:line="240"/>
        <w:ind w:left="240"/>
      </w:pPr>
      <w:r>
        <w:rPr>
          <w:rFonts w:ascii="Arial" w:cs="Arial" w:eastAsia="Arial" w:hAnsi="Arial"/>
          <w:b w:val="false"/>
          <w:bCs w:val="false"/>
          <w:i/>
          <w:iCs/>
          <w:color w:val="5A5F63"/>
          <w:sz w:val="18"/>
          <w:szCs w:val="18"/>
        </w:rPr>
        <w:t xml:space="preserve">“Notes: Up to 10 policies for "policy_ids".”</w:t>
      </w:r>
    </w:p>
    <w:p>
      <w:pPr>
        <w:spacing w:after="100" w:line="240"/>
        <w:ind w:left="240"/>
      </w:pPr>
      <w:r>
        <w:rPr>
          <w:rFonts w:ascii="Arial" w:cs="Arial" w:eastAsia="Arial" w:hAnsi="Arial"/>
          <w:b w:val="false"/>
          <w:bCs w:val="false"/>
          <w:i w:val="false"/>
          <w:iCs w:val="false"/>
          <w:color w:val="5A5F63"/>
          <w:sz w:val="18"/>
          <w:szCs w:val="18"/>
        </w:rPr>
        <w:t xml:space="preserve">Qualys API Quick Reference (July 30, 2026) — </w:t>
      </w:r>
      <w:hyperlink w:history="1" r:id="rIdupp1ld8lzhl-m7__xclra">
        <w:r>
          <w:rPr>
            <w:rFonts w:ascii="Arial" w:cs="Arial" w:eastAsia="Arial" w:hAnsi="Arial"/>
            <w:color w:val="1155CC"/>
            <w:sz w:val="18"/>
            <w:szCs w:val="18"/>
            <w:u w:val="single"/>
          </w:rPr>
          <w:t xml:space="preserve">https://cdn2.qualys.com/docs/qualys-api-quick-reference.pdf</w:t>
        </w:r>
      </w:hyperlink>
    </w:p>
    <w:p>
      <w:pPr>
        <w:pStyle w:val="Heading2"/>
        <w:keepNext/>
        <w:spacing w:after="100" w:before="240"/>
      </w:pPr>
      <w:r>
        <w:rPr>
          <w:rFonts w:ascii="Arial" w:cs="Arial" w:eastAsia="Arial" w:hAnsi="Arial"/>
          <w:b/>
          <w:bCs/>
          <w:i w:val="false"/>
          <w:iCs w:val="false"/>
          <w:color w:val="1F1F1F"/>
          <w:sz w:val="23"/>
          <w:szCs w:val="23"/>
        </w:rPr>
        <w:t xml:space="preserve">The Policy List API (Qualys)</w:t>
      </w:r>
    </w:p>
    <w:p>
      <w:pPr>
        <w:keepNext/>
        <w:spacing w:after="40" w:before="120" w:line="250"/>
      </w:pPr>
      <w:r>
        <w:rPr>
          <w:rFonts w:ascii="Arial" w:cs="Arial" w:eastAsia="Arial" w:hAnsi="Arial"/>
          <w:b/>
          <w:bCs/>
          <w:i w:val="false"/>
          <w:iCs w:val="false"/>
          <w:color w:val="1F1F1F"/>
          <w:sz w:val="19"/>
          <w:szCs w:val="19"/>
        </w:rPr>
        <w:t xml:space="preserve">For /api/2.0/fo/compliance/policy/?action=list, the ids input parameter accepts one or more policy IDs or ID ranges, comma separated, with a range written using a hyphen such as 160-165.</w:t>
      </w:r>
    </w:p>
    <w:p>
      <w:pPr>
        <w:spacing w:after="40" w:line="240"/>
        <w:ind w:left="240"/>
      </w:pPr>
      <w:r>
        <w:rPr>
          <w:rFonts w:ascii="Arial" w:cs="Arial" w:eastAsia="Arial" w:hAnsi="Arial"/>
          <w:b w:val="false"/>
          <w:bCs w:val="false"/>
          <w:i/>
          <w:iCs/>
          <w:color w:val="5A5F63"/>
          <w:sz w:val="18"/>
          <w:szCs w:val="18"/>
        </w:rPr>
        <w:t xml:space="preserve">“Show only certain policy IDs/ranges. One or more policy IDs/ranges may be specified. Valid host IDs are required. Multiple entries are comma separated. A policy ID range is specified with a hyphen (for example, 160-165).”</w:t>
      </w:r>
    </w:p>
    <w:p>
      <w:pPr>
        <w:spacing w:after="100" w:line="240"/>
        <w:ind w:left="240"/>
      </w:pPr>
      <w:r>
        <w:rPr>
          <w:rFonts w:ascii="Arial" w:cs="Arial" w:eastAsia="Arial" w:hAnsi="Arial"/>
          <w:b w:val="false"/>
          <w:bCs w:val="false"/>
          <w:i w:val="false"/>
          <w:iCs w:val="false"/>
          <w:color w:val="5A5F63"/>
          <w:sz w:val="18"/>
          <w:szCs w:val="18"/>
        </w:rPr>
        <w:t xml:space="preserve">List Policies - Qualys VM, PC APIs — </w:t>
      </w:r>
      <w:hyperlink w:history="1" r:id="rIdreuhesv8rc1y1u-lfpxeg">
        <w:r>
          <w:rPr>
            <w:rFonts w:ascii="Arial" w:cs="Arial" w:eastAsia="Arial" w:hAnsi="Arial"/>
            <w:color w:val="1155CC"/>
            <w:sz w:val="18"/>
            <w:szCs w:val="18"/>
            <w:u w:val="single"/>
          </w:rPr>
          <w:t xml:space="preserve">https://docs.qualys.com/en/vm/qweb-all-api/mergedProjects/qapi-pc/policies/list_policies.htm</w:t>
        </w:r>
      </w:hyperlink>
    </w:p>
    <w:p>
      <w:pPr>
        <w:keepNext/>
        <w:spacing w:after="40" w:before="120" w:line="250"/>
      </w:pPr>
      <w:r>
        <w:rPr>
          <w:rFonts w:ascii="Arial" w:cs="Arial" w:eastAsia="Arial" w:hAnsi="Arial"/>
          <w:b/>
          <w:bCs/>
          <w:i w:val="false"/>
          <w:iCs w:val="false"/>
          <w:color w:val="1F1F1F"/>
          <w:sz w:val="19"/>
          <w:szCs w:val="19"/>
        </w:rPr>
        <w:t xml:space="preserve">The Qualys API user guide states the same ids parameter behaviour for the Compliance Policy List API and clarifies that valid policy IDs (not host IDs) are required.</w:t>
      </w:r>
    </w:p>
    <w:p>
      <w:pPr>
        <w:spacing w:after="40" w:line="240"/>
        <w:ind w:left="240"/>
      </w:pPr>
      <w:r>
        <w:rPr>
          <w:rFonts w:ascii="Arial" w:cs="Arial" w:eastAsia="Arial" w:hAnsi="Arial"/>
          <w:b w:val="false"/>
          <w:bCs w:val="false"/>
          <w:i/>
          <w:iCs/>
          <w:color w:val="5A5F63"/>
          <w:sz w:val="18"/>
          <w:szCs w:val="18"/>
        </w:rPr>
        <w:t xml:space="preserve">“ids={value} — (Optional) Show only certain policy IDs and/or ID ranges. One or more policy IDs/ranges may be specified. Multiple entries are comma separated. A policy ID range entry is specified with a hyphen (for example, 160-165). Valid policy IDs are required.”</w:t>
      </w:r>
    </w:p>
    <w:p>
      <w:pPr>
        <w:spacing w:after="100" w:line="240"/>
        <w:ind w:left="240"/>
      </w:pPr>
      <w:r>
        <w:rPr>
          <w:rFonts w:ascii="Arial" w:cs="Arial" w:eastAsia="Arial" w:hAnsi="Arial"/>
          <w:b w:val="false"/>
          <w:bCs w:val="false"/>
          <w:i w:val="false"/>
          <w:iCs w:val="false"/>
          <w:color w:val="5A5F63"/>
          <w:sz w:val="18"/>
          <w:szCs w:val="18"/>
        </w:rPr>
        <w:t xml:space="preserve">Qualys API (VM and PA) User Guide, Version 10.40, September 7, 2026 - Compliance Policy List — </w:t>
      </w:r>
      <w:hyperlink w:history="1" r:id="rId4efxyxm-qpopwhq0vssfj">
        <w:r>
          <w:rPr>
            <w:rFonts w:ascii="Arial" w:cs="Arial" w:eastAsia="Arial" w:hAnsi="Arial"/>
            <w:color w:val="1155CC"/>
            <w:sz w:val="18"/>
            <w:szCs w:val="18"/>
            <w:u w:val="single"/>
          </w:rPr>
          <w:t xml:space="preserve">https://cdn2.qualys.com/docs/qualys-api-vmpc-user-guide.pdf</w:t>
        </w:r>
      </w:hyperlink>
    </w:p>
    <w:p>
      <w:pPr>
        <w:keepNext/>
        <w:spacing w:after="40" w:before="120" w:line="250"/>
      </w:pPr>
      <w:r>
        <w:rPr>
          <w:rFonts w:ascii="Arial" w:cs="Arial" w:eastAsia="Arial" w:hAnsi="Arial"/>
          <w:b/>
          <w:bCs/>
          <w:i w:val="false"/>
          <w:iCs w:val="false"/>
          <w:color w:val="1F1F1F"/>
          <w:sz w:val="19"/>
          <w:szCs w:val="19"/>
        </w:rPr>
        <w:t xml:space="preserve">No maximum count of IDs is documented for the ids parameter; the only documented ceiling on this API is 1,000 policy records processed per request, which is an output batching limit.</w:t>
      </w:r>
    </w:p>
    <w:p>
      <w:pPr>
        <w:spacing w:after="40" w:line="240"/>
        <w:ind w:left="240"/>
      </w:pPr>
      <w:r>
        <w:rPr>
          <w:rFonts w:ascii="Arial" w:cs="Arial" w:eastAsia="Arial" w:hAnsi="Arial"/>
          <w:b w:val="false"/>
          <w:bCs w:val="false"/>
          <w:i/>
          <w:iCs/>
          <w:color w:val="5A5F63"/>
          <w:sz w:val="18"/>
          <w:szCs w:val="18"/>
        </w:rPr>
        <w:t xml:space="preserve">“A maximum of 1,000 compliance policy records can be processed per request. If the requested list identifies more than 1,000 policies, then the XML output includes the &lt;WARNING&gt; element and instructions for making another request for the next batch of policy records.”</w:t>
      </w:r>
    </w:p>
    <w:p>
      <w:pPr>
        <w:spacing w:after="100" w:line="240"/>
        <w:ind w:left="240"/>
      </w:pPr>
      <w:r>
        <w:rPr>
          <w:rFonts w:ascii="Arial" w:cs="Arial" w:eastAsia="Arial" w:hAnsi="Arial"/>
          <w:b w:val="false"/>
          <w:bCs w:val="false"/>
          <w:i w:val="false"/>
          <w:iCs w:val="false"/>
          <w:color w:val="5A5F63"/>
          <w:sz w:val="18"/>
          <w:szCs w:val="18"/>
        </w:rPr>
        <w:t xml:space="preserve">List Policies - Qualys VM, PC APIs (Maximum Policies per API Request) — </w:t>
      </w:r>
      <w:hyperlink w:history="1" r:id="rIdhqfuznugyxbwsk0j0v2kv">
        <w:r>
          <w:rPr>
            <w:rFonts w:ascii="Arial" w:cs="Arial" w:eastAsia="Arial" w:hAnsi="Arial"/>
            <w:color w:val="1155CC"/>
            <w:sz w:val="18"/>
            <w:szCs w:val="18"/>
            <w:u w:val="single"/>
          </w:rPr>
          <w:t xml:space="preserve">https://docs.qualys.com/en/vm/qweb-all-api/mergedProjects/qapi-pc/policies/list_policies.htm</w:t>
        </w:r>
      </w:hyperlink>
    </w:p>
    <w:p>
      <w:pPr>
        <w:pStyle w:val="Heading2"/>
        <w:keepNext/>
        <w:spacing w:after="100" w:before="240"/>
      </w:pPr>
      <w:r>
        <w:rPr>
          <w:rFonts w:ascii="Arial" w:cs="Arial" w:eastAsia="Arial" w:hAnsi="Arial"/>
          <w:b/>
          <w:bCs/>
          <w:i w:val="false"/>
          <w:iCs w:val="false"/>
          <w:color w:val="1F1F1F"/>
          <w:sz w:val="23"/>
          <w:szCs w:val="23"/>
        </w:rPr>
        <w:t xml:space="preserve">Request method and request length (Qualys and standards)</w:t>
      </w:r>
    </w:p>
    <w:p>
      <w:pPr>
        <w:keepNext/>
        <w:spacing w:after="40" w:before="120" w:line="250"/>
      </w:pPr>
      <w:r>
        <w:rPr>
          <w:rFonts w:ascii="Arial" w:cs="Arial" w:eastAsia="Arial" w:hAnsi="Arial"/>
          <w:b/>
          <w:bCs/>
          <w:i w:val="false"/>
          <w:iCs w:val="false"/>
          <w:color w:val="1F1F1F"/>
          <w:sz w:val="19"/>
          <w:szCs w:val="19"/>
        </w:rPr>
        <w:t xml:space="preserve">Qualys documents that there are toolkit-dependent limits on how much data can be sent using the GET method, and that POST has no such fundamental limit — the documented basis for switching a long request to POST.</w:t>
      </w:r>
    </w:p>
    <w:p>
      <w:pPr>
        <w:spacing w:after="40" w:line="240"/>
        <w:ind w:left="240"/>
      </w:pPr>
      <w:r>
        <w:rPr>
          <w:rFonts w:ascii="Arial" w:cs="Arial" w:eastAsia="Arial" w:hAnsi="Arial"/>
          <w:b w:val="false"/>
          <w:bCs w:val="false"/>
          <w:i/>
          <w:iCs/>
          <w:color w:val="5A5F63"/>
          <w:sz w:val="18"/>
          <w:szCs w:val="18"/>
        </w:rPr>
        <w:t xml:space="preserve">“2) There are known limits for the amount of data that can be sent using the GET method. These limits are dependent on the toolkit used. There is no fundamental limit with sending data using the POST method.”</w:t>
      </w:r>
    </w:p>
    <w:p>
      <w:pPr>
        <w:spacing w:after="100" w:line="240"/>
        <w:ind w:left="240"/>
      </w:pPr>
      <w:r>
        <w:rPr>
          <w:rFonts w:ascii="Arial" w:cs="Arial" w:eastAsia="Arial" w:hAnsi="Arial"/>
          <w:b w:val="false"/>
          <w:bCs w:val="false"/>
          <w:i w:val="false"/>
          <w:iCs w:val="false"/>
          <w:color w:val="5A5F63"/>
          <w:sz w:val="18"/>
          <w:szCs w:val="18"/>
        </w:rPr>
        <w:t xml:space="preserve">Qualys API Quick Reference (July 30, 2026), "Good to Know" → "API Notes", note 2 — </w:t>
      </w:r>
      <w:hyperlink w:history="1" r:id="rIdjvr0ytsfa1j4dxyw5q2yn">
        <w:r>
          <w:rPr>
            <w:rFonts w:ascii="Arial" w:cs="Arial" w:eastAsia="Arial" w:hAnsi="Arial"/>
            <w:color w:val="1155CC"/>
            <w:sz w:val="18"/>
            <w:szCs w:val="18"/>
            <w:u w:val="single"/>
          </w:rPr>
          <w:t xml:space="preserve">https://cdn2.qualys.com/docs/qualys-api-quick-reference.pdf</w:t>
        </w:r>
      </w:hyperlink>
    </w:p>
    <w:p>
      <w:pPr>
        <w:keepNext/>
        <w:spacing w:after="40" w:before="120" w:line="250"/>
      </w:pPr>
      <w:r>
        <w:rPr>
          <w:rFonts w:ascii="Arial" w:cs="Arial" w:eastAsia="Arial" w:hAnsi="Arial"/>
          <w:b/>
          <w:bCs/>
          <w:i w:val="false"/>
          <w:iCs w:val="false"/>
          <w:color w:val="1F1F1F"/>
          <w:sz w:val="19"/>
          <w:szCs w:val="19"/>
        </w:rPr>
        <w:t xml:space="preserve">The primary Qualys VM/PA API user guide states that GET carries known, toolkit-dependent data limits and directs the reader to each individual API function's description to learn which methods that function supports.</w:t>
      </w:r>
    </w:p>
    <w:p>
      <w:pPr>
        <w:spacing w:after="40" w:line="240"/>
        <w:ind w:left="240"/>
      </w:pPr>
      <w:r>
        <w:rPr>
          <w:rFonts w:ascii="Arial" w:cs="Arial" w:eastAsia="Arial" w:hAnsi="Arial"/>
          <w:b w:val="false"/>
          <w:bCs w:val="false"/>
          <w:i/>
          <w:iCs/>
          <w:color w:val="5A5F63"/>
          <w:sz w:val="18"/>
          <w:szCs w:val="18"/>
        </w:rPr>
        <w:t xml:space="preserve">“Qualys API functions allow API users to submit parameters (name=value pairs) using the GET and/or POST method. There are known limits for the amount of data that can be sent using the GET method, and these limits are dependent on the toolkit used. Please refer to the individual descriptions of the API function calls to learn about the supported methods for each function.”</w:t>
      </w:r>
    </w:p>
    <w:p>
      <w:pPr>
        <w:spacing w:after="100" w:line="240"/>
        <w:ind w:left="240"/>
      </w:pPr>
      <w:r>
        <w:rPr>
          <w:rFonts w:ascii="Arial" w:cs="Arial" w:eastAsia="Arial" w:hAnsi="Arial"/>
          <w:b w:val="false"/>
          <w:bCs w:val="false"/>
          <w:i w:val="false"/>
          <w:iCs w:val="false"/>
          <w:color w:val="5A5F63"/>
          <w:sz w:val="18"/>
          <w:szCs w:val="18"/>
        </w:rPr>
        <w:t xml:space="preserve">Qualys API (VM and PA) User Guide, Version 10.40 (September 7, 2026), "Welcome" → "Making API requests" → "GET and POST Methods" — </w:t>
      </w:r>
      <w:hyperlink w:history="1" r:id="rIdoev4mx3s51p3fmjlbfp30">
        <w:r>
          <w:rPr>
            <w:rFonts w:ascii="Arial" w:cs="Arial" w:eastAsia="Arial" w:hAnsi="Arial"/>
            <w:color w:val="1155CC"/>
            <w:sz w:val="18"/>
            <w:szCs w:val="18"/>
            <w:u w:val="single"/>
          </w:rPr>
          <w:t xml:space="preserve">https://cdn2.qualys.com/docs/qualys-api-vmpc-user-guide.pdf</w:t>
        </w:r>
      </w:hyperlink>
    </w:p>
    <w:p>
      <w:pPr>
        <w:keepNext/>
        <w:spacing w:after="40" w:before="120" w:line="250"/>
      </w:pPr>
      <w:r>
        <w:rPr>
          <w:rFonts w:ascii="Arial" w:cs="Arial" w:eastAsia="Arial" w:hAnsi="Arial"/>
          <w:b/>
          <w:bCs/>
          <w:i w:val="false"/>
          <w:iCs w:val="false"/>
          <w:color w:val="1F1F1F"/>
          <w:sz w:val="19"/>
          <w:szCs w:val="19"/>
        </w:rPr>
        <w:t xml:space="preserve">Qualys' HTML documentation positions GET for simple requests and POST with an XML payload for advanced requests that bundle multiple actions into a single call.</w:t>
      </w:r>
    </w:p>
    <w:p>
      <w:pPr>
        <w:spacing w:after="40" w:line="240"/>
        <w:ind w:left="240"/>
      </w:pPr>
      <w:r>
        <w:rPr>
          <w:rFonts w:ascii="Arial" w:cs="Arial" w:eastAsia="Arial" w:hAnsi="Arial"/>
          <w:b w:val="false"/>
          <w:bCs w:val="false"/>
          <w:i/>
          <w:iCs/>
          <w:color w:val="5A5F63"/>
          <w:sz w:val="18"/>
          <w:szCs w:val="18"/>
        </w:rPr>
        <w:t xml:space="preserve">“While it is still possible to create simple API requests using the GET method, you can create API requests using the POST method with an XML payload to make an advanced request.”</w:t>
      </w:r>
    </w:p>
    <w:p>
      <w:pPr>
        <w:spacing w:after="100" w:line="240"/>
        <w:ind w:left="240"/>
      </w:pPr>
      <w:r>
        <w:rPr>
          <w:rFonts w:ascii="Arial" w:cs="Arial" w:eastAsia="Arial" w:hAnsi="Arial"/>
          <w:b w:val="false"/>
          <w:bCs w:val="false"/>
          <w:i w:val="false"/>
          <w:iCs w:val="false"/>
          <w:color w:val="5A5F63"/>
          <w:sz w:val="18"/>
          <w:szCs w:val="18"/>
        </w:rPr>
        <w:t xml:space="preserve">Qualys Cloud Agent API — Making API Calls ("GET and POST Methods" and "Making requests with URL payload") — </w:t>
      </w:r>
      <w:hyperlink w:history="1" r:id="rIdumruuwio2nhbgjnib7jk2">
        <w:r>
          <w:rPr>
            <w:rFonts w:ascii="Arial" w:cs="Arial" w:eastAsia="Arial" w:hAnsi="Arial"/>
            <w:color w:val="1155CC"/>
            <w:sz w:val="18"/>
            <w:szCs w:val="18"/>
            <w:u w:val="single"/>
          </w:rPr>
          <w:t xml:space="preserve">https://docs.qualys.com/en/ca/api/get_started/making_api_requests.htm</w:t>
        </w:r>
      </w:hyperlink>
    </w:p>
    <w:p>
      <w:pPr>
        <w:keepNext/>
        <w:spacing w:after="40" w:before="120" w:line="250"/>
      </w:pPr>
      <w:r>
        <w:rPr>
          <w:rFonts w:ascii="Arial" w:cs="Arial" w:eastAsia="Arial" w:hAnsi="Arial"/>
          <w:b/>
          <w:bCs/>
          <w:i w:val="false"/>
          <w:iCs w:val="false"/>
          <w:color w:val="1F1F1F"/>
          <w:sz w:val="19"/>
          <w:szCs w:val="19"/>
        </w:rPr>
        <w:t xml:space="preserve">RFC 9110 Section 4.1 sets no hard maximum URI length but recommends that all senders and recipients support URIs of at least 8000 octets in protocol elements, noting the HTTP/1.1 request line will therefore be larger in some cases.</w:t>
      </w:r>
    </w:p>
    <w:p>
      <w:pPr>
        <w:spacing w:after="40" w:line="240"/>
        <w:ind w:left="240"/>
      </w:pPr>
      <w:r>
        <w:rPr>
          <w:rFonts w:ascii="Arial" w:cs="Arial" w:eastAsia="Arial" w:hAnsi="Arial"/>
          <w:b w:val="false"/>
          <w:bCs w:val="false"/>
          <w:i/>
          <w:iCs/>
          <w:color w:val="5A5F63"/>
          <w:sz w:val="18"/>
          <w:szCs w:val="18"/>
        </w:rPr>
        <w:t xml:space="preserve">“It is RECOMMENDED that all senders and recipients support, at a minimum, URIs with lengths of 8000 octets in protocol elements. Note that this implies some structures and on-wire representations (for example, the request line in HTTP/1.1) will necessarily be larger in some cases.”</w:t>
      </w:r>
    </w:p>
    <w:p>
      <w:pPr>
        <w:spacing w:after="100" w:line="240"/>
        <w:ind w:left="240"/>
      </w:pPr>
      <w:r>
        <w:rPr>
          <w:rFonts w:ascii="Arial" w:cs="Arial" w:eastAsia="Arial" w:hAnsi="Arial"/>
          <w:b w:val="false"/>
          <w:bCs w:val="false"/>
          <w:i w:val="false"/>
          <w:iCs w:val="false"/>
          <w:color w:val="5A5F63"/>
          <w:sz w:val="18"/>
          <w:szCs w:val="18"/>
        </w:rPr>
        <w:t xml:space="preserve">RFC 9110: HTTP Semantics, Section 4.1 (URI References) — </w:t>
      </w:r>
      <w:hyperlink w:history="1" r:id="rId73haxt3wecotprw5ofzh5">
        <w:r>
          <w:rPr>
            <w:rFonts w:ascii="Arial" w:cs="Arial" w:eastAsia="Arial" w:hAnsi="Arial"/>
            <w:color w:val="1155CC"/>
            <w:sz w:val="18"/>
            <w:szCs w:val="18"/>
            <w:u w:val="single"/>
          </w:rPr>
          <w:t xml:space="preserve">https://www.rfc-editor.org/rfc/rfc9110.html#name-uri-references</w:t>
        </w:r>
      </w:hyperlink>
    </w:p>
    <w:p>
      <w:pPr>
        <w:keepNext/>
        <w:spacing w:after="40" w:before="120" w:line="250"/>
      </w:pPr>
      <w:r>
        <w:rPr>
          <w:rFonts w:ascii="Arial" w:cs="Arial" w:eastAsia="Arial" w:hAnsi="Arial"/>
          <w:b/>
          <w:bCs/>
          <w:i w:val="false"/>
          <w:iCs w:val="false"/>
          <w:color w:val="1F1F1F"/>
          <w:sz w:val="19"/>
          <w:szCs w:val="19"/>
        </w:rPr>
        <w:t xml:space="preserve">Apache HTTP Server 2.4 limits the HTTP request-line to 8190 bytes by default via LimitRequestLine, which in turn caps the length of the request-URI (method + URI + protocol version).</w:t>
      </w:r>
    </w:p>
    <w:p>
      <w:pPr>
        <w:spacing w:after="40" w:line="240"/>
        <w:ind w:left="240"/>
      </w:pPr>
      <w:r>
        <w:rPr>
          <w:rFonts w:ascii="Arial" w:cs="Arial" w:eastAsia="Arial" w:hAnsi="Arial"/>
          <w:b w:val="false"/>
          <w:bCs w:val="false"/>
          <w:i/>
          <w:iCs/>
          <w:color w:val="5A5F63"/>
          <w:sz w:val="18"/>
          <w:szCs w:val="18"/>
        </w:rPr>
        <w:t xml:space="preserve">“Default: LimitRequestLine 8190 [...] The LimitRequestLine directive allows the server administrator to set the limit on the allowed size of a client's HTTP request-line. Since the request-line consists of the HTTP method, URI, and protocol version, the LimitRequestLine directive places a restriction on the length of a request-URI allowed for a request on the server.”</w:t>
      </w:r>
    </w:p>
    <w:p>
      <w:pPr>
        <w:spacing w:after="100" w:line="240"/>
        <w:ind w:left="240"/>
      </w:pPr>
      <w:r>
        <w:rPr>
          <w:rFonts w:ascii="Arial" w:cs="Arial" w:eastAsia="Arial" w:hAnsi="Arial"/>
          <w:b w:val="false"/>
          <w:bCs w:val="false"/>
          <w:i w:val="false"/>
          <w:iCs w:val="false"/>
          <w:color w:val="5A5F63"/>
          <w:sz w:val="18"/>
          <w:szCs w:val="18"/>
        </w:rPr>
        <w:t xml:space="preserve">core - Apache HTTP Server Version 2.4 (LimitRequestLine Directive) — </w:t>
      </w:r>
      <w:hyperlink w:history="1" r:id="rIdpl2lgihpdg4g8tarj7z8s">
        <w:r>
          <w:rPr>
            <w:rFonts w:ascii="Arial" w:cs="Arial" w:eastAsia="Arial" w:hAnsi="Arial"/>
            <w:color w:val="1155CC"/>
            <w:sz w:val="18"/>
            <w:szCs w:val="18"/>
            <w:u w:val="single"/>
          </w:rPr>
          <w:t xml:space="preserve">https://httpd.apache.org/docs/2.4/mod/core.html#limitrequestline</w:t>
        </w:r>
      </w:hyperlink>
    </w:p>
    <w:p>
      <w:pPr>
        <w:keepNext/>
        <w:spacing w:after="40" w:before="120" w:line="250"/>
      </w:pPr>
      <w:r>
        <w:rPr>
          <w:rFonts w:ascii="Arial" w:cs="Arial" w:eastAsia="Arial" w:hAnsi="Arial"/>
          <w:b/>
          <w:bCs/>
          <w:i w:val="false"/>
          <w:iCs w:val="false"/>
          <w:color w:val="1F1F1F"/>
          <w:sz w:val="19"/>
          <w:szCs w:val="19"/>
        </w:rPr>
        <w:t xml:space="preserve">IIS request filtering defaults cap the URL at 4096 bytes (maxUrl) and the query string at 2048 bytes (maxQueryString), returning 404.14 (URL Too Long) or 404.15 (Query String Too Long) when exceeded.</w:t>
      </w:r>
    </w:p>
    <w:p>
      <w:pPr>
        <w:spacing w:after="40" w:line="240"/>
        <w:ind w:left="240"/>
      </w:pPr>
      <w:r>
        <w:rPr>
          <w:rFonts w:ascii="Arial" w:cs="Arial" w:eastAsia="Arial" w:hAnsi="Arial"/>
          <w:b w:val="false"/>
          <w:bCs w:val="false"/>
          <w:i/>
          <w:iCs/>
          <w:color w:val="5A5F63"/>
          <w:sz w:val="18"/>
          <w:szCs w:val="18"/>
        </w:rPr>
        <w:t xml:space="preserve">“`maxQueryString` | Optional uint attribute. Specifies the maximum length of the query string, in bytes. The default value is `2048`. ... `maxUrl` | Optional uint attribute. Specifies maximum length of the URL, in bytes. The default value is `4096`. ... "When request filtering blocks an HTTP request because an HTTP request exceeds the request limits, IIS 7 will return an HTTP 404 error to the client and log one of the follow...”</w:t>
      </w:r>
    </w:p>
    <w:p>
      <w:pPr>
        <w:spacing w:after="100" w:line="240"/>
        <w:ind w:left="240"/>
      </w:pPr>
      <w:r>
        <w:rPr>
          <w:rFonts w:ascii="Arial" w:cs="Arial" w:eastAsia="Arial" w:hAnsi="Arial"/>
          <w:b w:val="false"/>
          <w:bCs w:val="false"/>
          <w:i w:val="false"/>
          <w:iCs w:val="false"/>
          <w:color w:val="5A5F63"/>
          <w:sz w:val="18"/>
          <w:szCs w:val="18"/>
        </w:rPr>
        <w:t xml:space="preserve">Request Limits &lt;requestLimits&gt; | Microsoft Learn — </w:t>
      </w:r>
      <w:hyperlink w:history="1" r:id="rIdgjtnilhv4x_osmauertrq">
        <w:r>
          <w:rPr>
            <w:rFonts w:ascii="Arial" w:cs="Arial" w:eastAsia="Arial" w:hAnsi="Arial"/>
            <w:color w:val="1155CC"/>
            <w:sz w:val="18"/>
            <w:szCs w:val="18"/>
            <w:u w:val="single"/>
          </w:rPr>
          <w:t xml:space="preserve">https://learn.microsoft.com/en-us/iis/configuration/system.webserver/security/requestfiltering/requestlimits/</w:t>
        </w:r>
      </w:hyperlink>
    </w:p>
    <w:p>
      <w:pPr>
        <w:pStyle w:val="Heading2"/>
        <w:keepNext/>
        <w:spacing w:after="100" w:before="240"/>
      </w:pPr>
      <w:r>
        <w:rPr>
          <w:rFonts w:ascii="Arial" w:cs="Arial" w:eastAsia="Arial" w:hAnsi="Arial"/>
          <w:b/>
          <w:bCs/>
          <w:i w:val="false"/>
          <w:iCs w:val="false"/>
          <w:color w:val="1F1F1F"/>
          <w:sz w:val="23"/>
          <w:szCs w:val="23"/>
        </w:rPr>
        <w:t xml:space="preserve">Readings taken on the instance</w:t>
      </w:r>
    </w:p>
    <w:p>
      <w:pPr>
        <w:keepNext w:val="false"/>
        <w:spacing w:after="120" w:before="0" w:line="260"/>
      </w:pPr>
      <w:r>
        <w:rPr>
          <w:rFonts w:ascii="Arial" w:cs="Arial" w:eastAsia="Arial" w:hAnsi="Arial"/>
          <w:b w:val="false"/>
          <w:bCs w:val="false"/>
          <w:i w:val="false"/>
          <w:iCs w:val="false"/>
          <w:color w:val="5A5F63"/>
          <w:sz w:val="19"/>
          <w:szCs w:val="19"/>
        </w:rPr>
        <w:t xml:space="preserve">Paths are relative so they open on whichever instance you are signed in to. Versions in place when the readings were taken:</w:t>
      </w:r>
    </w:p>
    <w:tbl>
      <w:tblPr>
        <w:tblW w:type="pct" w:w="100%"/>
        <w:tblBorders>
          <w:top w:val="single" w:color="C9CDD1" w:sz="4"/>
          <w:left w:val="single" w:color="C9CDD1" w:sz="4"/>
          <w:bottom w:val="single" w:color="C9CDD1" w:sz="4"/>
          <w:right w:val="single" w:color="C9CDD1" w:sz="4"/>
          <w:insideH w:val="single" w:color="C9CDD1" w:sz="4"/>
          <w:insideV w:val="single" w:color="C9CDD1" w:sz="4"/>
        </w:tblBorders>
        <w:tblLayout w:type="fixed"/>
      </w:tblPr>
      <w:tblGrid>
        <w:gridCol w:w="100"/>
        <w:gridCol w:w="100"/>
        <w:gridCol w:w="100"/>
      </w:tblGrid>
      <w:tr>
        <w:trPr>
          <w:cantSplit/>
          <w:tblHeader/>
        </w:trPr>
        <w:tc>
          <w:tcPr>
            <w:tcW w:type="pct" w:w="50%"/>
            <w:shd w:fill="E8EAEC" w:val="clear"/>
            <w:tcMar>
              <w:top w:type="dxa" w:w="70"/>
              <w:left w:type="dxa" w:w="110"/>
              <w:bottom w:type="dxa" w:w="70"/>
              <w:right w:type="dxa" w:w="110"/>
            </w:tcMar>
            <w:vAlign w:val="top"/>
          </w:tcPr>
          <w:p>
            <w:pPr>
              <w:keepNext w:val="false"/>
              <w:spacing w:after="0" w:before="0" w:line="220"/>
            </w:pPr>
            <w:r>
              <w:rPr>
                <w:rFonts w:ascii="Arial" w:cs="Arial" w:eastAsia="Arial" w:hAnsi="Arial"/>
                <w:b/>
                <w:bCs/>
                <w:i w:val="false"/>
                <w:iCs w:val="false"/>
                <w:color w:val="1F1F1F"/>
                <w:sz w:val="17"/>
                <w:szCs w:val="17"/>
              </w:rPr>
              <w:t xml:space="preserve">Application</w:t>
            </w:r>
          </w:p>
        </w:tc>
        <w:tc>
          <w:tcPr>
            <w:tcW w:type="pct" w:w="28%"/>
            <w:shd w:fill="E8EAEC" w:val="clear"/>
            <w:tcMar>
              <w:top w:type="dxa" w:w="70"/>
              <w:left w:type="dxa" w:w="110"/>
              <w:bottom w:type="dxa" w:w="70"/>
              <w:right w:type="dxa" w:w="110"/>
            </w:tcMar>
            <w:vAlign w:val="top"/>
          </w:tcPr>
          <w:p>
            <w:pPr>
              <w:keepNext w:val="false"/>
              <w:spacing w:after="0" w:before="0" w:line="220"/>
            </w:pPr>
            <w:r>
              <w:rPr>
                <w:rFonts w:ascii="Arial" w:cs="Arial" w:eastAsia="Arial" w:hAnsi="Arial"/>
                <w:b/>
                <w:bCs/>
                <w:i w:val="false"/>
                <w:iCs w:val="false"/>
                <w:color w:val="1F1F1F"/>
                <w:sz w:val="17"/>
                <w:szCs w:val="17"/>
              </w:rPr>
              <w:t xml:space="preserve">Scope</w:t>
            </w:r>
          </w:p>
        </w:tc>
        <w:tc>
          <w:tcPr>
            <w:tcW w:type="pct" w:w="22%"/>
            <w:shd w:fill="E8EAEC" w:val="clear"/>
            <w:tcMar>
              <w:top w:type="dxa" w:w="70"/>
              <w:left w:type="dxa" w:w="110"/>
              <w:bottom w:type="dxa" w:w="70"/>
              <w:right w:type="dxa" w:w="110"/>
            </w:tcMar>
            <w:vAlign w:val="top"/>
          </w:tcPr>
          <w:p>
            <w:pPr>
              <w:keepNext w:val="false"/>
              <w:spacing w:after="0" w:before="0" w:line="220"/>
            </w:pPr>
            <w:r>
              <w:rPr>
                <w:rFonts w:ascii="Arial" w:cs="Arial" w:eastAsia="Arial" w:hAnsi="Arial"/>
                <w:b/>
                <w:bCs/>
                <w:i w:val="false"/>
                <w:iCs w:val="false"/>
                <w:color w:val="1F1F1F"/>
                <w:sz w:val="17"/>
                <w:szCs w:val="17"/>
              </w:rPr>
              <w:t xml:space="preserve">Version</w:t>
            </w:r>
          </w:p>
        </w:tc>
      </w:tr>
      <w:tr>
        <w:trPr>
          <w:cantSplit/>
        </w:trPr>
        <w:tc>
          <w:tcPr>
            <w:tcW w:type="pct" w:w="50%"/>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Qualys Integration for Security Operations</w:t>
            </w:r>
          </w:p>
        </w:tc>
        <w:tc>
          <w:tcPr>
            <w:tcW w:type="pct" w:w="28%"/>
            <w:tcMar>
              <w:top w:type="dxa" w:w="70"/>
              <w:left w:type="dxa" w:w="110"/>
              <w:bottom w:type="dxa" w:w="70"/>
              <w:right w:type="dxa" w:w="110"/>
            </w:tcMar>
            <w:vAlign w:val="top"/>
          </w:tcPr>
          <w:p>
            <w:pPr>
              <w:keepNext w:val="false"/>
              <w:spacing w:after="0" w:before="0" w:line="220"/>
            </w:pPr>
            <w:r>
              <w:rPr>
                <w:rFonts w:ascii="Courier New" w:cs="Courier New" w:eastAsia="Courier New" w:hAnsi="Courier New"/>
                <w:b w:val="false"/>
                <w:bCs w:val="false"/>
                <w:i w:val="false"/>
                <w:iCs w:val="false"/>
                <w:color w:val="1F1F1F"/>
                <w:sz w:val="17"/>
                <w:szCs w:val="17"/>
              </w:rPr>
              <w:t xml:space="preserve">sn_vul_qualys</w:t>
            </w:r>
          </w:p>
        </w:tc>
        <w:tc>
          <w:tcPr>
            <w:tcW w:type="pct" w:w="22%"/>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30.6.0</w:t>
            </w:r>
          </w:p>
        </w:tc>
      </w:tr>
      <w:tr>
        <w:trPr>
          <w:cantSplit/>
        </w:trPr>
        <w:tc>
          <w:tcPr>
            <w:tcW w:type="pct" w:w="50%"/>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Vulnerability Response</w:t>
            </w:r>
          </w:p>
        </w:tc>
        <w:tc>
          <w:tcPr>
            <w:tcW w:type="pct" w:w="28%"/>
            <w:shd w:fill="F5F6F7" w:val="clear"/>
            <w:tcMar>
              <w:top w:type="dxa" w:w="70"/>
              <w:left w:type="dxa" w:w="110"/>
              <w:bottom w:type="dxa" w:w="70"/>
              <w:right w:type="dxa" w:w="110"/>
            </w:tcMar>
            <w:vAlign w:val="top"/>
          </w:tcPr>
          <w:p>
            <w:pPr>
              <w:keepNext w:val="false"/>
              <w:spacing w:after="0" w:before="0" w:line="220"/>
            </w:pPr>
            <w:r>
              <w:rPr>
                <w:rFonts w:ascii="Courier New" w:cs="Courier New" w:eastAsia="Courier New" w:hAnsi="Courier New"/>
                <w:b w:val="false"/>
                <w:bCs w:val="false"/>
                <w:i w:val="false"/>
                <w:iCs w:val="false"/>
                <w:color w:val="1F1F1F"/>
                <w:sz w:val="17"/>
                <w:szCs w:val="17"/>
              </w:rPr>
              <w:t xml:space="preserve">sn_vul</w:t>
            </w:r>
          </w:p>
        </w:tc>
        <w:tc>
          <w:tcPr>
            <w:tcW w:type="pct" w:w="22%"/>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30.6.1</w:t>
            </w:r>
          </w:p>
        </w:tc>
      </w:tr>
      <w:tr>
        <w:trPr>
          <w:cantSplit/>
        </w:trPr>
        <w:tc>
          <w:tcPr>
            <w:tcW w:type="pct" w:w="50%"/>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Configuration Compliance</w:t>
            </w:r>
          </w:p>
        </w:tc>
        <w:tc>
          <w:tcPr>
            <w:tcW w:type="pct" w:w="28%"/>
            <w:tcMar>
              <w:top w:type="dxa" w:w="70"/>
              <w:left w:type="dxa" w:w="110"/>
              <w:bottom w:type="dxa" w:w="70"/>
              <w:right w:type="dxa" w:w="110"/>
            </w:tcMar>
            <w:vAlign w:val="top"/>
          </w:tcPr>
          <w:p>
            <w:pPr>
              <w:keepNext w:val="false"/>
              <w:spacing w:after="0" w:before="0" w:line="220"/>
            </w:pPr>
            <w:r>
              <w:rPr>
                <w:rFonts w:ascii="Courier New" w:cs="Courier New" w:eastAsia="Courier New" w:hAnsi="Courier New"/>
                <w:b w:val="false"/>
                <w:bCs w:val="false"/>
                <w:i w:val="false"/>
                <w:iCs w:val="false"/>
                <w:color w:val="1F1F1F"/>
                <w:sz w:val="17"/>
                <w:szCs w:val="17"/>
              </w:rPr>
              <w:t xml:space="preserve">sn_vulc</w:t>
            </w:r>
          </w:p>
        </w:tc>
        <w:tc>
          <w:tcPr>
            <w:tcW w:type="pct" w:w="22%"/>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30.6.0</w:t>
            </w:r>
          </w:p>
        </w:tc>
      </w:tr>
      <w:tr>
        <w:trPr>
          <w:cantSplit/>
        </w:trPr>
        <w:tc>
          <w:tcPr>
            <w:tcW w:type="pct" w:w="50%"/>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Security Integration Framework</w:t>
            </w:r>
          </w:p>
        </w:tc>
        <w:tc>
          <w:tcPr>
            <w:tcW w:type="pct" w:w="28%"/>
            <w:shd w:fill="F5F6F7" w:val="clear"/>
            <w:tcMar>
              <w:top w:type="dxa" w:w="70"/>
              <w:left w:type="dxa" w:w="110"/>
              <w:bottom w:type="dxa" w:w="70"/>
              <w:right w:type="dxa" w:w="110"/>
            </w:tcMar>
            <w:vAlign w:val="top"/>
          </w:tcPr>
          <w:p>
            <w:pPr>
              <w:keepNext w:val="false"/>
              <w:spacing w:after="0" w:before="0" w:line="220"/>
            </w:pPr>
            <w:r>
              <w:rPr>
                <w:rFonts w:ascii="Courier New" w:cs="Courier New" w:eastAsia="Courier New" w:hAnsi="Courier New"/>
                <w:b w:val="false"/>
                <w:bCs w:val="false"/>
                <w:i w:val="false"/>
                <w:iCs w:val="false"/>
                <w:color w:val="1F1F1F"/>
                <w:sz w:val="17"/>
                <w:szCs w:val="17"/>
              </w:rPr>
              <w:t xml:space="preserve">sn_sec_int</w:t>
            </w:r>
          </w:p>
        </w:tc>
        <w:tc>
          <w:tcPr>
            <w:tcW w:type="pct" w:w="22%"/>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13.10.3</w:t>
            </w:r>
          </w:p>
        </w:tc>
      </w:tr>
    </w:tbl>
    <w:p>
      <w:pPr>
        <w:spacing w:after="80"/>
      </w:pPr>
      <w:r>
        <w:rPr>
          <w:rFonts w:ascii="Arial" w:cs="Arial" w:eastAsia="Arial" w:hAnsi="Arial"/>
          <w:b w:val="false"/>
          <w:bCs w:val="false"/>
          <w:i w:val="false"/>
          <w:iCs w:val="false"/>
          <w:color w:val="1F1F1F"/>
          <w:sz w:val="20"/>
          <w:szCs w:val="20"/>
        </w:rPr>
        <w:t xml:space="preserve"/>
      </w:r>
    </w:p>
    <w:tbl>
      <w:tblPr>
        <w:tblW w:type="pct" w:w="100%"/>
        <w:tblBorders>
          <w:top w:val="single" w:color="C9CDD1" w:sz="4"/>
          <w:left w:val="single" w:color="C9CDD1" w:sz="4"/>
          <w:bottom w:val="single" w:color="C9CDD1" w:sz="4"/>
          <w:right w:val="single" w:color="C9CDD1" w:sz="4"/>
          <w:insideH w:val="single" w:color="C9CDD1" w:sz="4"/>
          <w:insideV w:val="single" w:color="C9CDD1" w:sz="4"/>
        </w:tblBorders>
        <w:tblLayout w:type="fixed"/>
      </w:tblPr>
      <w:tblGrid>
        <w:gridCol w:w="100"/>
        <w:gridCol w:w="100"/>
        <w:gridCol w:w="100"/>
      </w:tblGrid>
      <w:tr>
        <w:trPr>
          <w:cantSplit/>
          <w:tblHeader/>
        </w:trPr>
        <w:tc>
          <w:tcPr>
            <w:tcW w:type="pct" w:w="30%"/>
            <w:shd w:fill="E8EAEC" w:val="clear"/>
            <w:tcMar>
              <w:top w:type="dxa" w:w="70"/>
              <w:left w:type="dxa" w:w="110"/>
              <w:bottom w:type="dxa" w:w="70"/>
              <w:right w:type="dxa" w:w="110"/>
            </w:tcMar>
            <w:vAlign w:val="top"/>
          </w:tcPr>
          <w:p>
            <w:pPr>
              <w:keepNext w:val="false"/>
              <w:spacing w:after="0" w:before="0" w:line="220"/>
            </w:pPr>
            <w:r>
              <w:rPr>
                <w:rFonts w:ascii="Arial" w:cs="Arial" w:eastAsia="Arial" w:hAnsi="Arial"/>
                <w:b/>
                <w:bCs/>
                <w:i w:val="false"/>
                <w:iCs w:val="false"/>
                <w:color w:val="1F1F1F"/>
                <w:sz w:val="17"/>
                <w:szCs w:val="17"/>
              </w:rPr>
              <w:t xml:space="preserve">Record</w:t>
            </w:r>
          </w:p>
        </w:tc>
        <w:tc>
          <w:tcPr>
            <w:tcW w:type="pct" w:w="40%"/>
            <w:shd w:fill="E8EAEC" w:val="clear"/>
            <w:tcMar>
              <w:top w:type="dxa" w:w="70"/>
              <w:left w:type="dxa" w:w="110"/>
              <w:bottom w:type="dxa" w:w="70"/>
              <w:right w:type="dxa" w:w="110"/>
            </w:tcMar>
            <w:vAlign w:val="top"/>
          </w:tcPr>
          <w:p>
            <w:pPr>
              <w:keepNext w:val="false"/>
              <w:spacing w:after="0" w:before="0" w:line="220"/>
            </w:pPr>
            <w:r>
              <w:rPr>
                <w:rFonts w:ascii="Arial" w:cs="Arial" w:eastAsia="Arial" w:hAnsi="Arial"/>
                <w:b/>
                <w:bCs/>
                <w:i w:val="false"/>
                <w:iCs w:val="false"/>
                <w:color w:val="1F1F1F"/>
                <w:sz w:val="17"/>
                <w:szCs w:val="17"/>
              </w:rPr>
              <w:t xml:space="preserve">What it shows</w:t>
            </w:r>
          </w:p>
        </w:tc>
        <w:tc>
          <w:tcPr>
            <w:tcW w:type="pct" w:w="30%"/>
            <w:shd w:fill="E8EAEC" w:val="clear"/>
            <w:tcMar>
              <w:top w:type="dxa" w:w="70"/>
              <w:left w:type="dxa" w:w="110"/>
              <w:bottom w:type="dxa" w:w="70"/>
              <w:right w:type="dxa" w:w="110"/>
            </w:tcMar>
            <w:vAlign w:val="top"/>
          </w:tcPr>
          <w:p>
            <w:pPr>
              <w:keepNext w:val="false"/>
              <w:spacing w:after="0" w:before="0" w:line="220"/>
            </w:pPr>
            <w:r>
              <w:rPr>
                <w:rFonts w:ascii="Arial" w:cs="Arial" w:eastAsia="Arial" w:hAnsi="Arial"/>
                <w:b/>
                <w:bCs/>
                <w:i w:val="false"/>
                <w:iCs w:val="false"/>
                <w:color w:val="1F1F1F"/>
                <w:sz w:val="17"/>
                <w:szCs w:val="17"/>
              </w:rPr>
              <w:t xml:space="preserve">Path</w:t>
            </w:r>
          </w:p>
        </w:tc>
      </w:tr>
      <w:tr>
        <w:trPr>
          <w:cantSplit/>
        </w:trPr>
        <w:tc>
          <w:tcPr>
            <w:tcW w:type="pct" w:w="30%"/>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REST message Qualys PC Posture Info</w:t>
            </w:r>
          </w:p>
        </w:tc>
        <w:tc>
          <w:tcPr>
            <w:tcW w:type="pct" w:w="40%"/>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Endpoint ${apiServer}/api/2.0/fo/compliance/posture/info/</w:t>
            </w:r>
          </w:p>
        </w:tc>
        <w:tc>
          <w:tcPr>
            <w:tcW w:type="pct" w:w="30%"/>
            <w:tcMar>
              <w:top w:type="dxa" w:w="70"/>
              <w:left w:type="dxa" w:w="110"/>
              <w:bottom w:type="dxa" w:w="70"/>
              <w:right w:type="dxa" w:w="110"/>
            </w:tcMar>
            <w:vAlign w:val="top"/>
          </w:tcPr>
          <w:p>
            <w:pPr>
              <w:keepNext w:val="false"/>
              <w:spacing w:after="0" w:before="0" w:line="220"/>
            </w:pPr>
            <w:r>
              <w:rPr>
                <w:rFonts w:ascii="Courier New" w:cs="Courier New" w:eastAsia="Courier New" w:hAnsi="Courier New"/>
                <w:b w:val="false"/>
                <w:bCs w:val="false"/>
                <w:i w:val="false"/>
                <w:iCs w:val="false"/>
                <w:color w:val="1F1F1F"/>
                <w:sz w:val="17"/>
                <w:szCs w:val="17"/>
              </w:rPr>
              <w:t xml:space="preserve">/sys_rest_message.do?sys_id=73df601c0b400300cbf38ee337673a4e</w:t>
            </w:r>
          </w:p>
        </w:tc>
      </w:tr>
      <w:tr>
        <w:trPr>
          <w:cantSplit/>
        </w:trPr>
        <w:tc>
          <w:tcPr>
            <w:tcW w:type="pct" w:w="30%"/>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Method List</w:t>
            </w:r>
          </w:p>
        </w:tc>
        <w:tc>
          <w:tcPr>
            <w:tcW w:type="pct" w:w="40%"/>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The query parameters that carry the substitutions</w:t>
            </w:r>
          </w:p>
        </w:tc>
        <w:tc>
          <w:tcPr>
            <w:tcW w:type="pct" w:w="30%"/>
            <w:shd w:fill="F5F6F7" w:val="clear"/>
            <w:tcMar>
              <w:top w:type="dxa" w:w="70"/>
              <w:left w:type="dxa" w:w="110"/>
              <w:bottom w:type="dxa" w:w="70"/>
              <w:right w:type="dxa" w:w="110"/>
            </w:tcMar>
            <w:vAlign w:val="top"/>
          </w:tcPr>
          <w:p>
            <w:pPr>
              <w:keepNext w:val="false"/>
              <w:spacing w:after="0" w:before="0" w:line="220"/>
            </w:pPr>
            <w:r>
              <w:rPr>
                <w:rFonts w:ascii="Courier New" w:cs="Courier New" w:eastAsia="Courier New" w:hAnsi="Courier New"/>
                <w:b w:val="false"/>
                <w:bCs w:val="false"/>
                <w:i w:val="false"/>
                <w:iCs w:val="false"/>
                <w:color w:val="1F1F1F"/>
                <w:sz w:val="17"/>
                <w:szCs w:val="17"/>
              </w:rPr>
              <w:t xml:space="preserve">/sys_rest_message_fn.do?sys_id=7fdf601c0b400300cbf38ee337673a4e</w:t>
            </w:r>
          </w:p>
        </w:tc>
      </w:tr>
      <w:tr>
        <w:trPr>
          <w:cantSplit/>
        </w:trPr>
        <w:tc>
          <w:tcPr>
            <w:tcW w:type="pct" w:w="30%"/>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Method List Comprehensive</w:t>
            </w:r>
          </w:p>
        </w:tc>
        <w:tc>
          <w:tcPr>
            <w:tcW w:type="pct" w:w="40%"/>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The same call with a literal page size</w:t>
            </w:r>
          </w:p>
        </w:tc>
        <w:tc>
          <w:tcPr>
            <w:tcW w:type="pct" w:w="30%"/>
            <w:tcMar>
              <w:top w:type="dxa" w:w="70"/>
              <w:left w:type="dxa" w:w="110"/>
              <w:bottom w:type="dxa" w:w="70"/>
              <w:right w:type="dxa" w:w="110"/>
            </w:tcMar>
            <w:vAlign w:val="top"/>
          </w:tcPr>
          <w:p>
            <w:pPr>
              <w:keepNext w:val="false"/>
              <w:spacing w:after="0" w:before="0" w:line="220"/>
            </w:pPr>
            <w:r>
              <w:rPr>
                <w:rFonts w:ascii="Courier New" w:cs="Courier New" w:eastAsia="Courier New" w:hAnsi="Courier New"/>
                <w:b w:val="false"/>
                <w:bCs w:val="false"/>
                <w:i w:val="false"/>
                <w:iCs w:val="false"/>
                <w:color w:val="1F1F1F"/>
                <w:sz w:val="17"/>
                <w:szCs w:val="17"/>
              </w:rPr>
              <w:t xml:space="preserve">/sys_rest_message_fn.do?sys_id=06ef35684df9f650f877b7e146545a65</w:t>
            </w:r>
          </w:p>
        </w:tc>
      </w:tr>
      <w:tr>
        <w:trPr>
          <w:cantSplit/>
        </w:trPr>
        <w:tc>
          <w:tcPr>
            <w:tcW w:type="pct" w:w="30%"/>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Script include QualysPCResultsIntegration</w:t>
            </w:r>
          </w:p>
        </w:tc>
        <w:tc>
          <w:tcPr>
            <w:tcW w:type="pct" w:w="40%"/>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The setStringParameter calls and the policy loop</w:t>
            </w:r>
          </w:p>
        </w:tc>
        <w:tc>
          <w:tcPr>
            <w:tcW w:type="pct" w:w="30%"/>
            <w:shd w:fill="F5F6F7" w:val="clear"/>
            <w:tcMar>
              <w:top w:type="dxa" w:w="70"/>
              <w:left w:type="dxa" w:w="110"/>
              <w:bottom w:type="dxa" w:w="70"/>
              <w:right w:type="dxa" w:w="110"/>
            </w:tcMar>
            <w:vAlign w:val="top"/>
          </w:tcPr>
          <w:p>
            <w:pPr>
              <w:keepNext w:val="false"/>
              <w:spacing w:after="0" w:before="0" w:line="220"/>
            </w:pPr>
            <w:r>
              <w:rPr>
                <w:rFonts w:ascii="Courier New" w:cs="Courier New" w:eastAsia="Courier New" w:hAnsi="Courier New"/>
                <w:b w:val="false"/>
                <w:bCs w:val="false"/>
                <w:i w:val="false"/>
                <w:iCs w:val="false"/>
                <w:color w:val="1F1F1F"/>
                <w:sz w:val="17"/>
                <w:szCs w:val="17"/>
              </w:rPr>
              <w:t xml:space="preserve">/sys_script_include.do?sys_id=a54ea8d80b400300cbf38ee337673ad8</w:t>
            </w:r>
          </w:p>
        </w:tc>
      </w:tr>
      <w:tr>
        <w:trPr>
          <w:cantSplit/>
        </w:trPr>
        <w:tc>
          <w:tcPr>
            <w:tcW w:type="pct" w:w="30%"/>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Script include Implementation (sn_sec_int)</w:t>
            </w:r>
          </w:p>
        </w:tc>
        <w:tc>
          <w:tcPr>
            <w:tcW w:type="pct" w:w="40%"/>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getConfiguration, which builds the config object</w:t>
            </w:r>
          </w:p>
        </w:tc>
        <w:tc>
          <w:tcPr>
            <w:tcW w:type="pct" w:w="30%"/>
            <w:tcMar>
              <w:top w:type="dxa" w:w="70"/>
              <w:left w:type="dxa" w:w="110"/>
              <w:bottom w:type="dxa" w:w="70"/>
              <w:right w:type="dxa" w:w="110"/>
            </w:tcMar>
            <w:vAlign w:val="top"/>
          </w:tcPr>
          <w:p>
            <w:pPr>
              <w:keepNext w:val="false"/>
              <w:spacing w:after="0" w:before="0" w:line="220"/>
            </w:pPr>
            <w:r>
              <w:rPr>
                <w:rFonts w:ascii="Courier New" w:cs="Courier New" w:eastAsia="Courier New" w:hAnsi="Courier New"/>
                <w:b w:val="false"/>
                <w:bCs w:val="false"/>
                <w:i w:val="false"/>
                <w:iCs w:val="false"/>
                <w:color w:val="1F1F1F"/>
                <w:sz w:val="17"/>
                <w:szCs w:val="17"/>
              </w:rPr>
              <w:t xml:space="preserve">/sys_script_include.do?sys_id=4e15120053620300e8f9f745911c08f5</w:t>
            </w:r>
          </w:p>
        </w:tc>
      </w:tr>
      <w:tr>
        <w:trPr>
          <w:cantSplit/>
        </w:trPr>
        <w:tc>
          <w:tcPr>
            <w:tcW w:type="pct" w:w="30%"/>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Integration instance Qualys</w:t>
            </w:r>
          </w:p>
        </w:tc>
        <w:tc>
          <w:tcPr>
            <w:tcW w:type="pct" w:w="40%"/>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1F1F1F"/>
                <w:sz w:val="17"/>
                <w:szCs w:val="17"/>
              </w:rPr>
              <w:t xml:space="preserve">The instance whose parameters are read at run time</w:t>
            </w:r>
          </w:p>
        </w:tc>
        <w:tc>
          <w:tcPr>
            <w:tcW w:type="pct" w:w="30%"/>
            <w:shd w:fill="F5F6F7" w:val="clear"/>
            <w:tcMar>
              <w:top w:type="dxa" w:w="70"/>
              <w:left w:type="dxa" w:w="110"/>
              <w:bottom w:type="dxa" w:w="70"/>
              <w:right w:type="dxa" w:w="110"/>
            </w:tcMar>
            <w:vAlign w:val="top"/>
          </w:tcPr>
          <w:p>
            <w:pPr>
              <w:keepNext w:val="false"/>
              <w:spacing w:after="0" w:before="0" w:line="220"/>
            </w:pPr>
            <w:r>
              <w:rPr>
                <w:rFonts w:ascii="Courier New" w:cs="Courier New" w:eastAsia="Courier New" w:hAnsi="Courier New"/>
                <w:b w:val="false"/>
                <w:bCs w:val="false"/>
                <w:i w:val="false"/>
                <w:iCs w:val="false"/>
                <w:color w:val="1F1F1F"/>
                <w:sz w:val="17"/>
                <w:szCs w:val="17"/>
              </w:rPr>
              <w:t xml:space="preserve">/sn_sec_int_impl.do?sys_id=cd94a86493660754e3aef0aefaba10db</w:t>
            </w:r>
          </w:p>
        </w:tc>
      </w:tr>
    </w:tbl>
    <w:p>
      <w:pPr>
        <w:pStyle w:val="Heading2"/>
        <w:keepNext/>
        <w:spacing w:after="100" w:before="240"/>
      </w:pPr>
      <w:r>
        <w:rPr>
          <w:rFonts w:ascii="Arial" w:cs="Arial" w:eastAsia="Arial" w:hAnsi="Arial"/>
          <w:b/>
          <w:bCs/>
          <w:i w:val="false"/>
          <w:iCs w:val="false"/>
          <w:color w:val="1F1F1F"/>
          <w:sz w:val="23"/>
          <w:szCs w:val="23"/>
        </w:rPr>
        <w:t xml:space="preserve">Reproducing the readings</w:t>
      </w:r>
    </w:p>
    <w:p>
      <w:pPr>
        <w:keepNext w:val="false"/>
        <w:spacing w:after="120" w:before="0" w:line="260"/>
      </w:pPr>
      <w:r>
        <w:rPr>
          <w:rFonts w:ascii="Arial" w:cs="Arial" w:eastAsia="Arial" w:hAnsi="Arial"/>
          <w:b w:val="false"/>
          <w:bCs w:val="false"/>
          <w:i w:val="false"/>
          <w:iCs w:val="false"/>
          <w:color w:val="5A5F63"/>
          <w:sz w:val="19"/>
          <w:szCs w:val="19"/>
        </w:rPr>
        <w:t xml:space="preserve">Run as a background script to reproduce the length figures in section 3 and section 4.</w:t>
      </w:r>
    </w:p>
    <w:p>
      <w:pPr>
        <w:shd w:fill="F2F3F4" w:val="clear"/>
        <w:spacing w:after="0" w:before="60" w:line="220"/>
        <w:ind w:left="180" w:right="180"/>
      </w:pPr>
      <w:r>
        <w:rPr>
          <w:rFonts w:ascii="Courier New" w:cs="Courier New" w:eastAsia="Courier New" w:hAnsi="Courier New"/>
          <w:b w:val="false"/>
          <w:bCs w:val="false"/>
          <w:i w:val="false"/>
          <w:iCs w:val="false"/>
          <w:color w:val="1F1F1F"/>
          <w:sz w:val="17"/>
          <w:szCs w:val="17"/>
        </w:rPr>
        <w:t xml:space="preserve">var want = [['sys_rest_message_fn_param_defs','value'], ['sn_sec_int_impl_config','value'],</w:t>
      </w:r>
    </w:p>
    <w:p>
      <w:pPr>
        <w:shd w:fill="F2F3F4" w:val="clear"/>
        <w:spacing w:after="0" w:before="0" w:line="220"/>
        <w:ind w:left="180" w:right="180"/>
      </w:pPr>
      <w:r>
        <w:rPr>
          <w:rFonts w:ascii="Courier New" w:cs="Courier New" w:eastAsia="Courier New" w:hAnsi="Courier New"/>
          <w:b w:val="false"/>
          <w:bCs w:val="false"/>
          <w:i w:val="false"/>
          <w:iCs w:val="false"/>
          <w:color w:val="1F1F1F"/>
          <w:sz w:val="17"/>
          <w:szCs w:val="17"/>
        </w:rPr>
        <w:t xml:space="preserve">            ['sys_rest_message_fn','rest_endpoint'], ['sys_properties','value']];</w:t>
      </w:r>
    </w:p>
    <w:p>
      <w:pPr>
        <w:shd w:fill="F2F3F4" w:val="clear"/>
        <w:spacing w:after="0" w:before="0" w:line="220"/>
        <w:ind w:left="180" w:right="180"/>
      </w:pPr>
      <w:r>
        <w:rPr>
          <w:rFonts w:ascii="Courier New" w:cs="Courier New" w:eastAsia="Courier New" w:hAnsi="Courier New"/>
          <w:b w:val="false"/>
          <w:bCs w:val="false"/>
          <w:i w:val="false"/>
          <w:iCs w:val="false"/>
          <w:color w:val="1F1F1F"/>
          <w:sz w:val="17"/>
          <w:szCs w:val="17"/>
        </w:rPr>
        <w:t xml:space="preserve">for (var i = 0; i &lt; want.length; i++) {</w:t>
      </w:r>
    </w:p>
    <w:p>
      <w:pPr>
        <w:shd w:fill="F2F3F4" w:val="clear"/>
        <w:spacing w:after="0" w:before="0" w:line="220"/>
        <w:ind w:left="180" w:right="180"/>
      </w:pPr>
      <w:r>
        <w:rPr>
          <w:rFonts w:ascii="Courier New" w:cs="Courier New" w:eastAsia="Courier New" w:hAnsi="Courier New"/>
          <w:b w:val="false"/>
          <w:bCs w:val="false"/>
          <w:i w:val="false"/>
          <w:iCs w:val="false"/>
          <w:color w:val="1F1F1F"/>
          <w:sz w:val="17"/>
          <w:szCs w:val="17"/>
        </w:rPr>
        <w:t xml:space="preserve">    var d = new GlideRecord('sys_dictionary');</w:t>
      </w:r>
    </w:p>
    <w:p>
      <w:pPr>
        <w:shd w:fill="F2F3F4" w:val="clear"/>
        <w:spacing w:after="0" w:before="0" w:line="220"/>
        <w:ind w:left="180" w:right="180"/>
      </w:pPr>
      <w:r>
        <w:rPr>
          <w:rFonts w:ascii="Courier New" w:cs="Courier New" w:eastAsia="Courier New" w:hAnsi="Courier New"/>
          <w:b w:val="false"/>
          <w:bCs w:val="false"/>
          <w:i w:val="false"/>
          <w:iCs w:val="false"/>
          <w:color w:val="1F1F1F"/>
          <w:sz w:val="17"/>
          <w:szCs w:val="17"/>
        </w:rPr>
        <w:t xml:space="preserve">    d.addQuery('name', want[i][0]); d.addQuery('element', want[i][1]); d.query();</w:t>
      </w:r>
    </w:p>
    <w:p>
      <w:pPr>
        <w:shd w:fill="F2F3F4" w:val="clear"/>
        <w:spacing w:after="0" w:before="0" w:line="220"/>
        <w:ind w:left="180" w:right="180"/>
      </w:pPr>
      <w:r>
        <w:rPr>
          <w:rFonts w:ascii="Courier New" w:cs="Courier New" w:eastAsia="Courier New" w:hAnsi="Courier New"/>
          <w:b w:val="false"/>
          <w:bCs w:val="false"/>
          <w:i w:val="false"/>
          <w:iCs w:val="false"/>
          <w:color w:val="1F1F1F"/>
          <w:sz w:val="17"/>
          <w:szCs w:val="17"/>
        </w:rPr>
        <w:t xml:space="preserve">    if (d.next())</w:t>
      </w:r>
    </w:p>
    <w:p>
      <w:pPr>
        <w:shd w:fill="F2F3F4" w:val="clear"/>
        <w:spacing w:after="0" w:before="0" w:line="220"/>
        <w:ind w:left="180" w:right="180"/>
      </w:pPr>
      <w:r>
        <w:rPr>
          <w:rFonts w:ascii="Courier New" w:cs="Courier New" w:eastAsia="Courier New" w:hAnsi="Courier New"/>
          <w:b w:val="false"/>
          <w:bCs w:val="false"/>
          <w:i w:val="false"/>
          <w:iCs w:val="false"/>
          <w:color w:val="1F1F1F"/>
          <w:sz w:val="17"/>
          <w:szCs w:val="17"/>
        </w:rPr>
        <w:t xml:space="preserve">        gs.info(want[i][0] + '.' + want[i][1] + ' max_length ' + d.getValue('max_length'));</w:t>
      </w:r>
    </w:p>
    <w:p>
      <w:pPr>
        <w:shd w:fill="F2F3F4" w:val="clear"/>
        <w:spacing w:after="0" w:before="0" w:line="220"/>
        <w:ind w:left="180" w:right="180"/>
      </w:pPr>
      <w:r>
        <w:rPr>
          <w:rFonts w:ascii="Courier New" w:cs="Courier New" w:eastAsia="Courier New" w:hAnsi="Courier New"/>
          <w:b w:val="false"/>
          <w:bCs w:val="false"/>
          <w:i w:val="false"/>
          <w:iCs w:val="false"/>
          <w:color w:val="1F1F1F"/>
          <w:sz w:val="17"/>
          <w:szCs w:val="17"/>
        </w:rPr>
        <w:t xml:space="preserve">}</w:t>
      </w:r>
    </w:p>
    <w:p>
      <w:pPr>
        <w:shd w:fill="F2F3F4" w:val="clear"/>
        <w:spacing w:after="0" w:before="0" w:line="220"/>
        <w:ind w:left="180" w:right="180"/>
      </w:pPr>
      <w:r>
        <w:rPr>
          <w:rFonts w:ascii="Courier New" w:cs="Courier New" w:eastAsia="Courier New" w:hAnsi="Courier New"/>
          <w:b w:val="false"/>
          <w:bCs w:val="false"/>
          <w:i w:val="false"/>
          <w:iCs w:val="false"/>
          <w:color w:val="1F1F1F"/>
          <w:sz w:val="17"/>
          <w:szCs w:val="17"/>
        </w:rPr>
        <w:t xml:space="preserve"> </w:t>
      </w:r>
    </w:p>
    <w:p>
      <w:pPr>
        <w:shd w:fill="F2F3F4" w:val="clear"/>
        <w:spacing w:after="0" w:before="0" w:line="220"/>
        <w:ind w:left="180" w:right="180"/>
      </w:pPr>
      <w:r>
        <w:rPr>
          <w:rFonts w:ascii="Courier New" w:cs="Courier New" w:eastAsia="Courier New" w:hAnsi="Courier New"/>
          <w:b w:val="false"/>
          <w:bCs w:val="false"/>
          <w:i w:val="false"/>
          <w:iCs w:val="false"/>
          <w:color w:val="1F1F1F"/>
          <w:sz w:val="17"/>
          <w:szCs w:val="17"/>
        </w:rPr>
        <w:t xml:space="preserve">var c = new GlideRecord('sn_sec_int_impl_config');</w:t>
      </w:r>
    </w:p>
    <w:p>
      <w:pPr>
        <w:shd w:fill="F2F3F4" w:val="clear"/>
        <w:spacing w:after="0" w:before="0" w:line="220"/>
        <w:ind w:left="180" w:right="180"/>
      </w:pPr>
      <w:r>
        <w:rPr>
          <w:rFonts w:ascii="Courier New" w:cs="Courier New" w:eastAsia="Courier New" w:hAnsi="Courier New"/>
          <w:b w:val="false"/>
          <w:bCs w:val="false"/>
          <w:i w:val="false"/>
          <w:iCs w:val="false"/>
          <w:color w:val="1F1F1F"/>
          <w:sz w:val="17"/>
          <w:szCs w:val="17"/>
        </w:rPr>
        <w:t xml:space="preserve">c.addQuery('configuration.name', 'truncation_limit_pc_result');</w:t>
      </w:r>
    </w:p>
    <w:p>
      <w:pPr>
        <w:shd w:fill="F2F3F4" w:val="clear"/>
        <w:spacing w:after="0" w:before="0" w:line="220"/>
        <w:ind w:left="180" w:right="180"/>
      </w:pPr>
      <w:r>
        <w:rPr>
          <w:rFonts w:ascii="Courier New" w:cs="Courier New" w:eastAsia="Courier New" w:hAnsi="Courier New"/>
          <w:b w:val="false"/>
          <w:bCs w:val="false"/>
          <w:i w:val="false"/>
          <w:iCs w:val="false"/>
          <w:color w:val="1F1F1F"/>
          <w:sz w:val="17"/>
          <w:szCs w:val="17"/>
        </w:rPr>
        <w:t xml:space="preserve">c.query();</w:t>
      </w:r>
    </w:p>
    <w:p>
      <w:pPr>
        <w:shd w:fill="F2F3F4" w:val="clear"/>
        <w:spacing w:after="140" w:before="0" w:line="220"/>
        <w:ind w:left="180" w:right="180"/>
      </w:pPr>
      <w:r>
        <w:rPr>
          <w:rFonts w:ascii="Courier New" w:cs="Courier New" w:eastAsia="Courier New" w:hAnsi="Courier New"/>
          <w:b w:val="false"/>
          <w:bCs w:val="false"/>
          <w:i w:val="false"/>
          <w:iCs w:val="false"/>
          <w:color w:val="1F1F1F"/>
          <w:sz w:val="17"/>
          <w:szCs w:val="17"/>
        </w:rPr>
        <w:t xml:space="preserve">while (c.next()) gs.info('page size in force: ' + c.getValue('value'));</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1F1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iotcdlztkd4mfsrpiiwd" Type="http://schemas.openxmlformats.org/officeDocument/2006/relationships/hyperlink" Target="https://www.servicenow.com/docs/r/api-reference/server-api-reference/c_RESTMessageV2API.html" TargetMode="External"/><Relationship Id="rIdwv8g41j9ve3azyxripn6k" Type="http://schemas.openxmlformats.org/officeDocument/2006/relationships/hyperlink" Target="https://www.servicenow.com/docs/r/api-reference/web-services/c_VariableSubstitutionREST.html" TargetMode="External"/><Relationship Id="rIdvdtylhmgl9grnpzq7nqjq" Type="http://schemas.openxmlformats.org/officeDocument/2006/relationships/hyperlink" Target="https://www.servicenow.com/docs/bundle/zurich-api-reference/page/app-store/dev_portal/API_reference/RESTMessageV2/concept/c_RESTMessageV2API.html" TargetMode="External"/><Relationship Id="rIdqapztk1tbxcgbe-wwjcf0" Type="http://schemas.openxmlformats.org/officeDocument/2006/relationships/hyperlink" Target="https://www.servicenow.com/docs/bundle/australia-api-reference/page/integrate/outbound-rest/concept/c_VariableSubstitutionREST.html" TargetMode="External"/><Relationship Id="rIds56vioinw92utaz_wkcuk" Type="http://schemas.openxmlformats.org/officeDocument/2006/relationships/hyperlink" Target="https://www.servicenow.com/docs/bundle/australia-api-reference/page/integrate/outbound-rest/task/t_GenerateMessageVariables.html" TargetMode="External"/><Relationship Id="rIdkhaygsdt_eq54atcqmvsc" Type="http://schemas.openxmlformats.org/officeDocument/2006/relationships/hyperlink" Target="https://servicenow.github.io/sdk/api/restmessage-api" TargetMode="External"/><Relationship Id="rIdgjagksuukkmye0-wrrdjh" Type="http://schemas.openxmlformats.org/officeDocument/2006/relationships/hyperlink" Target="https://www.servicenow.com/docs/r/platform-administration/r_FieldTypes.html" TargetMode="External"/><Relationship Id="rIdwf56zafxaqxv5btggph2v" Type="http://schemas.openxmlformats.org/officeDocument/2006/relationships/hyperlink" Target="https://www.servicenow.com/docs/r/platform-administration/t_ModifyingStringFieldLength.html" TargetMode="External"/><Relationship Id="rIdcofc_zth96v3-b1oof7sn" Type="http://schemas.openxmlformats.org/officeDocument/2006/relationships/hyperlink" Target="https://www.servicenow.com/community/developer-forum/max-length-value-of-string-field-is-not-honoured/td-p/3307639" TargetMode="External"/><Relationship Id="rId9gl2enpo6jxzlbwqlw5zu" Type="http://schemas.openxmlformats.org/officeDocument/2006/relationships/hyperlink" Target="https://www.servicenow.com/docs/bundle/zurich-platform-administration/page/administer/reference-pages/task/t_AddAPropertyUsingSysPropsList.html" TargetMode="External"/><Relationship Id="rIdomfspapcwanexuqifmxwc" Type="http://schemas.openxmlformats.org/officeDocument/2006/relationships/hyperlink" Target="https://www.servicenow.com/docs/r/store-release-notes/store-secops-rn-qualys-integration.html" TargetMode="External"/><Relationship Id="rId4oquv-mlyyykyk1qktga1" Type="http://schemas.openxmlformats.org/officeDocument/2006/relationships/hyperlink" Target="https://www.servicenow.com/docs/r/xanadu/security-management/configuration-compliance/Qualys-cc-Integration.html" TargetMode="External"/><Relationship Id="rIdsciuwucb5e8ohjom2w_7k" Type="http://schemas.openxmlformats.org/officeDocument/2006/relationships/hyperlink" Target="https://store.servicenow.com/store/app/9f3b6f2a1b246a50a85b16db234bcb13" TargetMode="External"/><Relationship Id="rId3erasbjcivuuwhdcmnji4" Type="http://schemas.openxmlformats.org/officeDocument/2006/relationships/hyperlink" Target="https://cdn2.qualys.com/docs/qualys-api-vmpc-user-guide.pdf" TargetMode="External"/><Relationship Id="rIds9w8bvwwhnvys2a9l-eg6" Type="http://schemas.openxmlformats.org/officeDocument/2006/relationships/hyperlink" Target="https://docs.qualys.com/en/vm/qweb-all-api/mergedProjects/qapi-pc/posture/list_posture_info.htm" TargetMode="External"/><Relationship Id="rIdsjmsalcmm6u0golka-p2p" Type="http://schemas.openxmlformats.org/officeDocument/2006/relationships/hyperlink" Target="https://docs.qualys.com/en/vm/qweb-all-api/mergedProjects/qapi-pc/posture/list_posture_info.htm" TargetMode="External"/><Relationship Id="rIdsbwyyx2xyipj0q0lkiog8" Type="http://schemas.openxmlformats.org/officeDocument/2006/relationships/hyperlink" Target="https://docs.qualys.com/en/vm/qweb-all-api/mergedProjects/qapi-pc/posture/list_posture_info.htm" TargetMode="External"/><Relationship Id="rIdupp1ld8lzhl-m7__xclra" Type="http://schemas.openxmlformats.org/officeDocument/2006/relationships/hyperlink" Target="https://cdn2.qualys.com/docs/qualys-api-quick-reference.pdf" TargetMode="External"/><Relationship Id="rIdreuhesv8rc1y1u-lfpxeg" Type="http://schemas.openxmlformats.org/officeDocument/2006/relationships/hyperlink" Target="https://docs.qualys.com/en/vm/qweb-all-api/mergedProjects/qapi-pc/policies/list_policies.htm" TargetMode="External"/><Relationship Id="rId4efxyxm-qpopwhq0vssfj" Type="http://schemas.openxmlformats.org/officeDocument/2006/relationships/hyperlink" Target="https://cdn2.qualys.com/docs/qualys-api-vmpc-user-guide.pdf" TargetMode="External"/><Relationship Id="rIdhqfuznugyxbwsk0j0v2kv" Type="http://schemas.openxmlformats.org/officeDocument/2006/relationships/hyperlink" Target="https://docs.qualys.com/en/vm/qweb-all-api/mergedProjects/qapi-pc/policies/list_policies.htm" TargetMode="External"/><Relationship Id="rIdjvr0ytsfa1j4dxyw5q2yn" Type="http://schemas.openxmlformats.org/officeDocument/2006/relationships/hyperlink" Target="https://cdn2.qualys.com/docs/qualys-api-quick-reference.pdf" TargetMode="External"/><Relationship Id="rIdoev4mx3s51p3fmjlbfp30" Type="http://schemas.openxmlformats.org/officeDocument/2006/relationships/hyperlink" Target="https://cdn2.qualys.com/docs/qualys-api-vmpc-user-guide.pdf" TargetMode="External"/><Relationship Id="rIdumruuwio2nhbgjnib7jk2" Type="http://schemas.openxmlformats.org/officeDocument/2006/relationships/hyperlink" Target="https://docs.qualys.com/en/ca/api/get_started/making_api_requests.htm" TargetMode="External"/><Relationship Id="rId73haxt3wecotprw5ofzh5" Type="http://schemas.openxmlformats.org/officeDocument/2006/relationships/hyperlink" Target="https://www.rfc-editor.org/rfc/rfc9110.html#name-uri-references" TargetMode="External"/><Relationship Id="rIdpl2lgihpdg4g8tarj7z8s" Type="http://schemas.openxmlformats.org/officeDocument/2006/relationships/hyperlink" Target="https://httpd.apache.org/docs/2.4/mod/core.html#limitrequestline" TargetMode="External"/><Relationship Id="rIdgjtnilhv4x_osmauertrq" Type="http://schemas.openxmlformats.org/officeDocument/2006/relationships/hyperlink" Target="https://learn.microsoft.com/en-us/iis/configuration/system.webserver/security/requestfiltering/requestlimits/" TargetMode="External"/><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Qualys Policy Compliance integration - parameter length and paging limits</dc:title>
  <dc:creator>Mihir Kumar Singh</dc:creator>
  <dc:description>Supporting note on outbound REST parameter length limits and the Posture Info page size.</dc:description>
  <cp:lastModifiedBy>Mihir Kumar Singh</cp:lastModifiedBy>
  <cp:revision>1</cp:revision>
  <dcterms:created xsi:type="dcterms:W3CDTF">2026-09-10T07:28:51.195Z</dcterms:created>
  <dcterms:modified xsi:type="dcterms:W3CDTF">2026-09-10T07:28:51.195Z</dcterms:modified>
</cp:coreProperties>
</file>

<file path=docProps/custom.xml><?xml version="1.0" encoding="utf-8"?>
<Properties xmlns="http://schemas.openxmlformats.org/officeDocument/2006/custom-properties" xmlns:vt="http://schemas.openxmlformats.org/officeDocument/2006/docPropsVTypes"/>
</file>