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E31837"/>
          <w:sz w:val="18"/>
          <w:szCs w:val="18"/>
        </w:rPr>
        <w:t xml:space="preserve">SNOWUSEMTP-2125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12169"/>
          <w:sz w:val="34"/>
          <w:szCs w:val="34"/>
        </w:rPr>
        <w:t xml:space="preserve">VAMP findings into Application Vulnerability Response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E31837"/>
          <w:sz w:val="22"/>
          <w:szCs w:val="22"/>
        </w:rPr>
        <w:t xml:space="preserve">Architecture diagram: Kafka consumer, import set and transform map, out-of-box AVR import API</w:t>
      </w:r>
    </w:p>
    <w:p>
      <w:pPr>
        <w:keepNext w:val="false"/>
        <w:spacing w:after="1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D4F53"/>
          <w:sz w:val="18"/>
          <w:szCs w:val="18"/>
        </w:rPr>
        <w:t xml:space="preserve">Prepared 25 September 2026. Architecture only; build plan and field mapping follow once the VAMP payload is available. The table says which out-of-box code the design uses and which it cannot; the figure on the next page shows the whole path, in the shape of the CDP IVR inbound build with the application-vulnerability API in place of the infrastructure one.</w:t>
      </w:r>
    </w:p>
    <w:p>
      <w:pPr>
        <w:pStyle w:val="Heading1"/>
        <w:keepNext/>
        <w:spacing w:after="140" w:before="360"/>
      </w:pPr>
      <w:r>
        <w:rPr>
          <w:rFonts w:ascii="Arial" w:cs="Arial" w:eastAsia="Arial" w:hAnsi="Arial"/>
          <w:b/>
          <w:bCs/>
          <w:i w:val="false"/>
          <w:iCs w:val="false"/>
          <w:color w:val="012169"/>
          <w:sz w:val="30"/>
          <w:szCs w:val="30"/>
        </w:rPr>
        <w:t xml:space="preserve">Out-of-box code: what is used, what is not, and why</w:t>
      </w:r>
    </w:p>
    <w:tbl>
      <w:tblPr>
        <w:tblW w:type="pct" w:w="100%"/>
        <w:tblBorders>
          <w:top w:val="single" w:color="C9CDD1" w:sz="4"/>
          <w:left w:val="single" w:color="C9CDD1" w:sz="4"/>
          <w:bottom w:val="single" w:color="C9CDD1" w:sz="4"/>
          <w:right w:val="single" w:color="C9CDD1" w:sz="4"/>
          <w:insideH w:val="single" w:color="C9CDD1" w:sz="4"/>
          <w:insideV w:val="single" w:color="C9CDD1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2%"/>
            <w:shd w:fill="E8EAE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0" w:before="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D4F53"/>
                <w:sz w:val="17"/>
                <w:szCs w:val="17"/>
              </w:rPr>
              <w:t xml:space="preserve">Component</w:t>
            </w:r>
          </w:p>
        </w:tc>
        <w:tc>
          <w:tcPr>
            <w:tcW w:type="pct" w:w="38%"/>
            <w:shd w:fill="E8EAE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0" w:before="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D4F53"/>
                <w:sz w:val="17"/>
                <w:szCs w:val="17"/>
              </w:rPr>
              <w:t xml:space="preserve">Out of the box</w:t>
            </w:r>
          </w:p>
        </w:tc>
        <w:tc>
          <w:tcPr>
            <w:tcW w:type="pct" w:w="40%"/>
            <w:shd w:fill="E8EAE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0" w:before="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D4F53"/>
                <w:sz w:val="17"/>
                <w:szCs w:val="17"/>
              </w:rPr>
              <w:t xml:space="preserve">In this story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0" w:before="0" w:line="2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D4F53"/>
                <w:sz w:val="17"/>
                <w:szCs w:val="17"/>
              </w:rPr>
              <w:t xml:space="preserve">Stream Connect on Hermes</w:t>
            </w:r>
          </w:p>
        </w:tc>
        <w:tc>
          <w:tcPr>
            <w:tcW w:type="pct" w:w="38%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0" w:before="0" w:line="2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D4F53"/>
                <w:sz w:val="17"/>
                <w:szCs w:val="17"/>
              </w:rPr>
              <w:t xml:space="preserve">Hermes, ServiceNow’s own Kafka cluster (hermes-internal); Kafka topic, subscription, topic alias, stream, script consumer (sys_kafka_* and sys_sc_topic_alias)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0" w:before="0" w:line="2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D4F53"/>
                <w:sz w:val="17"/>
                <w:szCs w:val="17"/>
              </w:rPr>
              <w:t xml:space="preserve">Configured. VAMP publishes to the Hermes topic sn_usem_vamp_inbound (exists on dev); alias, stream and consumer live in the application scope. No external cluster.</w:t>
            </w:r>
          </w:p>
        </w:tc>
      </w:tr>
      <w:tr>
        <w:trPr>
          <w:cantSplit/>
        </w:trPr>
        <w:tc>
          <w:tcPr>
            <w:tcW w:type="pct" w:w="22%"/>
            <w:shd w:fill="F5F6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0" w:before="0" w:line="2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D4F53"/>
                <w:sz w:val="17"/>
                <w:szCs w:val="17"/>
              </w:rPr>
              <w:t xml:space="preserve">Import sets</w:t>
            </w:r>
          </w:p>
        </w:tc>
        <w:tc>
          <w:tcPr>
            <w:tcW w:type="pct" w:w="38%"/>
            <w:shd w:fill="F5F6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0" w:before="0" w:line="2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D4F53"/>
                <w:sz w:val="17"/>
                <w:szCs w:val="17"/>
              </w:rPr>
              <w:t xml:space="preserve">sys_import_set, staging table, GlideImportSetTransformer, transform map engine with onStart / onBefore / onComplete</w:t>
            </w:r>
          </w:p>
        </w:tc>
        <w:tc>
          <w:tcPr>
            <w:tcW w:type="pct" w:w="40%"/>
            <w:shd w:fill="F5F6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0" w:before="0" w:line="2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D4F53"/>
                <w:sz w:val="17"/>
                <w:szCs w:val="17"/>
              </w:rPr>
              <w:t xml:space="preserve">Used as the front door, exactly as in the CDP IVR build: one import set per message, one row per finding, transformAllMaps().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0" w:before="0" w:line="2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D4F53"/>
                <w:sz w:val="17"/>
                <w:szCs w:val="17"/>
              </w:rPr>
              <w:t xml:space="preserve">AVR import API</w:t>
            </w:r>
          </w:p>
        </w:tc>
        <w:tc>
          <w:tcPr>
            <w:tcW w:type="pct" w:w="38%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0" w:before="0" w:line="2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D4F53"/>
                <w:sz w:val="17"/>
                <w:szCs w:val="17"/>
              </w:rPr>
              <w:t xml:space="preserve">sn_vul.AVRImportAPIFactory, AVRImportAPI_v1Base, AVRImportAPIBase: createOrUpdateApp, createOrUpdateAppVulEntry (+ CWE links), createOrUpdateAVIT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0" w:before="0" w:line="2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D4F53"/>
                <w:sz w:val="17"/>
                <w:szCs w:val="17"/>
              </w:rPr>
              <w:t xml:space="preserve">Called from the transform map scripts. Required fields: app_name + source_app_id (application); source_entry_id + source_severity (entry); source_app_id, source_scan_id, source_avit_id, source_severity, source_entry_id, scan_type (AVIT).</w:t>
            </w:r>
          </w:p>
        </w:tc>
      </w:tr>
      <w:tr>
        <w:trPr>
          <w:cantSplit/>
        </w:trPr>
        <w:tc>
          <w:tcPr>
            <w:tcW w:type="pct" w:w="22%"/>
            <w:shd w:fill="F5F6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0" w:before="0" w:line="2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D4F53"/>
                <w:sz w:val="17"/>
                <w:szCs w:val="17"/>
              </w:rPr>
              <w:t xml:space="preserve">Application matching</w:t>
            </w:r>
          </w:p>
        </w:tc>
        <w:tc>
          <w:tcPr>
            <w:tcW w:type="pct" w:w="38%"/>
            <w:shd w:fill="F5F6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0" w:before="0" w:line="2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D4F53"/>
                <w:sz w:val="17"/>
                <w:szCs w:val="17"/>
              </w:rPr>
              <w:t xml:space="preserve">sn_vul.AppVulUtils.productModelOrScannedApp with the CI lookup rules (sn_sec_cmn.CIIdentify)</w:t>
            </w:r>
          </w:p>
        </w:tc>
        <w:tc>
          <w:tcPr>
            <w:tcW w:type="pct" w:w="40%"/>
            <w:shd w:fill="F5F6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0" w:before="0" w:line="2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D4F53"/>
                <w:sz w:val="17"/>
                <w:szCs w:val="17"/>
              </w:rPr>
              <w:t xml:space="preserve">Inherited through the API: business application when a rule matches, otherwise a Scanned Application record.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0" w:before="0" w:line="2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D4F53"/>
                <w:sz w:val="17"/>
                <w:szCs w:val="17"/>
              </w:rPr>
              <w:t xml:space="preserve">State mapping</w:t>
            </w:r>
          </w:p>
        </w:tc>
        <w:tc>
          <w:tcPr>
            <w:tcW w:type="pct" w:w="38%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0" w:before="0" w:line="2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D4F53"/>
                <w:sz w:val="17"/>
                <w:szCs w:val="17"/>
              </w:rPr>
              <w:t xml:space="preserve">sn_vul_app_state_map rows per integration, read by sn_vul.VulnerabilityStateMapper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0" w:before="0" w:line="2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D4F53"/>
                <w:sz w:val="17"/>
                <w:szCs w:val="17"/>
              </w:rPr>
              <w:t xml:space="preserve">Configured: one row per VAMP status, giving state and substate. No status logic in script.</w:t>
            </w:r>
          </w:p>
        </w:tc>
      </w:tr>
      <w:tr>
        <w:trPr>
          <w:cantSplit/>
        </w:trPr>
        <w:tc>
          <w:tcPr>
            <w:tcW w:type="pct" w:w="22%"/>
            <w:shd w:fill="F5F6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0" w:before="0" w:line="2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D4F53"/>
                <w:sz w:val="17"/>
                <w:szCs w:val="17"/>
              </w:rPr>
              <w:t xml:space="preserve">Integration framework records</w:t>
            </w:r>
          </w:p>
        </w:tc>
        <w:tc>
          <w:tcPr>
            <w:tcW w:type="pct" w:w="38%"/>
            <w:shd w:fill="F5F6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0" w:before="0" w:line="2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D4F53"/>
                <w:sz w:val="17"/>
                <w:szCs w:val="17"/>
              </w:rPr>
              <w:t xml:space="preserve">sn_sec_int_integration, sn_sec_int_impl, sn_vul_int_fw_integration_run and _process (or classic sn_vul_integration_run / _process; the API accepts both)</w:t>
            </w:r>
          </w:p>
        </w:tc>
        <w:tc>
          <w:tcPr>
            <w:tcW w:type="pct" w:w="40%"/>
            <w:shd w:fill="F5F6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0" w:before="0" w:line="2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D4F53"/>
                <w:sz w:val="17"/>
                <w:szCs w:val="17"/>
              </w:rPr>
              <w:t xml:space="preserve">Integration and instance created once; run and process written per message by onStart, counts by onComplete, so the import is auditable like a scheduled one.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0" w:before="0" w:line="2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D4F53"/>
                <w:sz w:val="17"/>
                <w:szCs w:val="17"/>
              </w:rPr>
              <w:t xml:space="preserve">sn_vul.Detection, sn_vul.ImportHost</w:t>
            </w:r>
          </w:p>
        </w:tc>
        <w:tc>
          <w:tcPr>
            <w:tcW w:type="pct" w:w="38%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0" w:before="0" w:line="2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D4F53"/>
                <w:sz w:val="17"/>
                <w:szCs w:val="17"/>
              </w:rPr>
              <w:t xml:space="preserve">The infrastructure (IVR) detection API used by the CDP IVR build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0" w:before="0" w:line="2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D4F53"/>
                <w:sz w:val="17"/>
                <w:szCs w:val="17"/>
              </w:rPr>
              <w:t xml:space="preserve">Not used: they create host-based vulnerable items (sn_vul_vulnerable_item), not application findings.</w:t>
            </w:r>
          </w:p>
        </w:tc>
      </w:tr>
      <w:tr>
        <w:trPr>
          <w:cantSplit/>
        </w:trPr>
        <w:tc>
          <w:tcPr>
            <w:tcW w:type="pct" w:w="22%"/>
            <w:shd w:fill="F5F6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0" w:before="0" w:line="2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D4F53"/>
                <w:sz w:val="17"/>
                <w:szCs w:val="17"/>
              </w:rPr>
              <w:t xml:space="preserve">Kafka transform map consumer</w:t>
            </w:r>
          </w:p>
        </w:tc>
        <w:tc>
          <w:tcPr>
            <w:tcW w:type="pct" w:w="38%"/>
            <w:shd w:fill="F5F6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0" w:before="0" w:line="2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D4F53"/>
                <w:sz w:val="17"/>
                <w:szCs w:val="17"/>
              </w:rPr>
              <w:t xml:space="preserve">sys_kafka_transform_map_consumer: JSON keys mapped to import set columns without code</w:t>
            </w:r>
          </w:p>
        </w:tc>
        <w:tc>
          <w:tcPr>
            <w:tcW w:type="pct" w:w="40%"/>
            <w:shd w:fill="F5F6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0" w:before="0" w:line="2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D4F53"/>
                <w:sz w:val="17"/>
                <w:szCs w:val="17"/>
              </w:rPr>
              <w:t xml:space="preserve">Not used: it takes one message as one row, and a VAMP message can carry several findings. The scripted consumer keeps the same front door.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0" w:before="0" w:line="2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D4F53"/>
                <w:sz w:val="17"/>
                <w:szCs w:val="17"/>
              </w:rPr>
              <w:t xml:space="preserve">ManualIngestionAVRPentestProcessor</w:t>
            </w:r>
          </w:p>
        </w:tc>
        <w:tc>
          <w:tcPr>
            <w:tcW w:type="pct" w:w="38%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0" w:before="0" w:line="2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D4F53"/>
                <w:sz w:val="17"/>
                <w:szCs w:val="17"/>
              </w:rPr>
              <w:t xml:space="preserve">The only OOB code that creates sn_vul_pen_test_assessment_request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0" w:before="0" w:line="2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D4F53"/>
                <w:sz w:val="17"/>
                <w:szCs w:val="17"/>
              </w:rPr>
              <w:t xml:space="preserve">Not usable: insert-only, bound to spreadsheet ingestion, application looked up by name. The AVR import API has no method for the table.</w:t>
            </w:r>
          </w:p>
        </w:tc>
      </w:tr>
      <w:tr>
        <w:trPr>
          <w:cantSplit/>
        </w:trPr>
        <w:tc>
          <w:tcPr>
            <w:tcW w:type="pct" w:w="22%"/>
            <w:shd w:fill="F5F6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0" w:before="0" w:line="2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D4F53"/>
                <w:sz w:val="17"/>
                <w:szCs w:val="17"/>
              </w:rPr>
              <w:t xml:space="preserve">Pen test assessment request</w:t>
            </w:r>
          </w:p>
        </w:tc>
        <w:tc>
          <w:tcPr>
            <w:tcW w:type="pct" w:w="38%"/>
            <w:shd w:fill="F5F6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0" w:before="0" w:line="2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D4F53"/>
                <w:sz w:val="17"/>
                <w:szCs w:val="17"/>
              </w:rPr>
              <w:t xml:space="preserve">None</w:t>
            </w:r>
          </w:p>
        </w:tc>
        <w:tc>
          <w:tcPr>
            <w:tcW w:type="pct" w:w="40%"/>
            <w:shd w:fill="F5F6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0" w:before="0" w:line="2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D4F53"/>
                <w:sz w:val="17"/>
                <w:szCs w:val="17"/>
              </w:rPr>
              <w:t xml:space="preserve">Built: onBefore finds the request by u_assessment_id (VAMP assessment id) or inserts it with the fields the OOB processor sets, and passes it as assessment_request to createOrUpdateAVIT.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0" w:before="0" w:line="2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D4F53"/>
                <w:sz w:val="17"/>
                <w:szCs w:val="17"/>
              </w:rPr>
              <w:t xml:space="preserve">Flow Designer</w:t>
            </w:r>
          </w:p>
        </w:tc>
        <w:tc>
          <w:tcPr>
            <w:tcW w:type="pct" w:w="38%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0" w:before="0" w:line="2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D4F53"/>
                <w:sz w:val="17"/>
                <w:szCs w:val="17"/>
              </w:rPr>
              <w:t xml:space="preserve">Flows and actions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keepNext w:val="false"/>
              <w:spacing w:after="0" w:before="0" w:line="2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D4F53"/>
                <w:sz w:val="17"/>
                <w:szCs w:val="17"/>
              </w:rPr>
              <w:t xml:space="preserve">Not used, as the story asks.</w:t>
            </w:r>
          </w:p>
        </w:tc>
      </w:tr>
    </w:tbl>
    <w:p>
      <w:r>
        <w:br w:type="page"/>
      </w:r>
    </w:p>
    <w:p>
      <w:pPr>
        <w:spacing w:after="60" w:before="120"/>
        <w:jc w:val="center"/>
      </w:pPr>
      <w:r>
        <w:drawing>
          <wp:inline distT="0" distB="0" distL="0" distR="0">
            <wp:extent cx="5715000" cy="8505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850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012169"/>
          <w:sz w:val="17"/>
          <w:szCs w:val="17"/>
        </w:rPr>
        <w:t xml:space="preserve">Figure 1. </w:t>
      </w:r>
      <w:r>
        <w:rPr>
          <w:rFonts w:ascii="Arial" w:cs="Arial" w:eastAsia="Arial" w:hAnsi="Arial"/>
          <w:b w:val="false"/>
          <w:bCs w:val="false"/>
          <w:i/>
          <w:iCs/>
          <w:color w:val="4D4F53"/>
          <w:sz w:val="17"/>
          <w:szCs w:val="17"/>
        </w:rPr>
        <w:t xml:space="preserve">VAMP findings into Application Vulnerability Response. Bands 1 and 3 are platform code, configured or reused; band 2 and the right half of band 4 are what the story builds; the left card of band 4 is the out-of-box code that does not fit.</w:t>
      </w:r>
    </w:p>
    <w:sectPr>
      <w:pgSz w:w="11906" w:h="16838" w:orient="portrait"/>
      <w:pgMar w:top="720" w:right="1000" w:bottom="72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4D4F5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d3b1ed75d025b17cd4ba6cfc67016ec110d88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Mihir Singh</dc:creator>
  <cp:lastModifiedBy>Un-named</cp:lastModifiedBy>
  <cp:revision>1</cp:revision>
  <dcterms:created xsi:type="dcterms:W3CDTF">2026-09-25T10:40:09.381Z</dcterms:created>
  <dcterms:modified xsi:type="dcterms:W3CDTF">2026-09-25T10:40:09.382Z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