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val="0"/>
          <w:i/>
          <w:color w:val="000000"/>
          <w:sz w:val="24"/>
        </w:rPr>
        <w:t>A project report on</w:t>
      </w:r>
    </w:p>
    <w:p>
      <w:pPr>
        <w:spacing w:before="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4"/>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1" name="Picture 1"/>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r>
        <w:br w:type="page"/>
      </w:r>
    </w:p>
    <w:p>
      <w:pPr>
        <w:spacing w:before="480" w:after="360" w:line="360" w:lineRule="auto"/>
        <w:jc w:val="center"/>
      </w:pPr>
      <w:r>
        <w:rPr>
          <w:rFonts w:ascii="Times New Roman" w:hAnsi="Times New Roman"/>
          <w:b/>
          <w:i w:val="0"/>
          <w:color w:val="000000"/>
          <w:sz w:val="40"/>
        </w:rPr>
        <w:t>EEG-BASED EXOSKELETON CONTROL FOR UPPER- AND LOWER-LIMB NEUROREHABILITATION</w:t>
      </w:r>
    </w:p>
    <w:p>
      <w:pPr>
        <w:spacing w:before="0" w:after="320" w:line="360" w:lineRule="auto"/>
        <w:jc w:val="center"/>
      </w:pPr>
      <w:r>
        <w:rPr>
          <w:rFonts w:ascii="Times New Roman" w:hAnsi="Times New Roman"/>
          <w:b w:val="0"/>
          <w:i/>
          <w:color w:val="000000"/>
          <w:sz w:val="28"/>
        </w:rPr>
        <w:t>Submitted in partial fulfillment for the award of the degree of</w:t>
      </w:r>
    </w:p>
    <w:p>
      <w:pPr>
        <w:spacing w:before="0" w:after="360" w:line="360" w:lineRule="auto"/>
        <w:jc w:val="center"/>
      </w:pPr>
      <w:r>
        <w:rPr>
          <w:rFonts w:ascii="Times New Roman" w:hAnsi="Times New Roman"/>
          <w:b/>
          <w:i w:val="0"/>
          <w:color w:val="000000"/>
          <w:sz w:val="44"/>
        </w:rPr>
        <w:t>Bachelor of Technology in Computer Science and Engineering</w:t>
        <w:br/>
        <w:t>(Artificial Intelligence and Robotics)</w:t>
      </w:r>
    </w:p>
    <w:p>
      <w:pPr>
        <w:spacing w:before="0" w:after="240" w:line="360" w:lineRule="auto"/>
        <w:jc w:val="center"/>
      </w:pPr>
      <w:r>
        <w:rPr>
          <w:rFonts w:ascii="Times New Roman" w:hAnsi="Times New Roman"/>
          <w:b w:val="0"/>
          <w:i/>
          <w:color w:val="000000"/>
          <w:sz w:val="28"/>
        </w:rPr>
        <w:t>by</w:t>
      </w:r>
    </w:p>
    <w:p>
      <w:pPr>
        <w:spacing w:before="0" w:after="320" w:line="360" w:lineRule="auto"/>
        <w:jc w:val="center"/>
      </w:pPr>
      <w:r>
        <w:rPr>
          <w:rFonts w:ascii="Times New Roman" w:hAnsi="Times New Roman"/>
          <w:b/>
          <w:i w:val="0"/>
          <w:color w:val="000000"/>
          <w:sz w:val="32"/>
        </w:rPr>
        <w:t>PARDEEP SINGH (23BRS1123)</w:t>
        <w:br/>
        <w:t>AASTHA KUMARI (23BRS1040)</w:t>
      </w:r>
    </w:p>
    <w:p>
      <w:pPr>
        <w:spacing w:before="240" w:after="320"/>
        <w:jc w:val="center"/>
      </w:pPr>
      <w:r>
        <w:drawing>
          <wp:inline xmlns:a="http://schemas.openxmlformats.org/drawingml/2006/main" xmlns:pic="http://schemas.openxmlformats.org/drawingml/2006/picture">
            <wp:extent cx="3163824" cy="1054608"/>
            <wp:docPr id="2" name="Picture 2"/>
            <wp:cNvGraphicFramePr>
              <a:graphicFrameLocks noChangeAspect="1"/>
            </wp:cNvGraphicFramePr>
            <a:graphic>
              <a:graphicData uri="http://schemas.openxmlformats.org/drawingml/2006/picture">
                <pic:pic>
                  <pic:nvPicPr>
                    <pic:cNvPr id="0" name="vit_logo.jpg"/>
                    <pic:cNvPicPr/>
                  </pic:nvPicPr>
                  <pic:blipFill>
                    <a:blip r:embed="rId10"/>
                    <a:stretch>
                      <a:fillRect/>
                    </a:stretch>
                  </pic:blipFill>
                  <pic:spPr>
                    <a:xfrm>
                      <a:off x="0" y="0"/>
                      <a:ext cx="3163824" cy="1054608"/>
                    </a:xfrm>
                    <a:prstGeom prst="rect"/>
                  </pic:spPr>
                </pic:pic>
              </a:graphicData>
            </a:graphic>
          </wp:inline>
        </w:drawing>
      </w:r>
    </w:p>
    <w:p>
      <w:pPr>
        <w:spacing w:before="200" w:after="160" w:line="360" w:lineRule="auto"/>
        <w:jc w:val="center"/>
      </w:pPr>
      <w:r>
        <w:rPr>
          <w:rFonts w:ascii="Times New Roman" w:hAnsi="Times New Roman"/>
          <w:b/>
          <w:i w:val="0"/>
          <w:color w:val="000000"/>
          <w:sz w:val="32"/>
        </w:rPr>
        <w:t>SCHOOL OF COMPUTER SCIENCE AND ENGINEERING</w:t>
      </w:r>
    </w:p>
    <w:p>
      <w:pPr>
        <w:spacing w:before="0" w:after="0" w:line="360" w:lineRule="auto"/>
        <w:jc w:val="center"/>
      </w:pPr>
      <w:r>
        <w:rPr>
          <w:rFonts w:ascii="Times New Roman" w:hAnsi="Times New Roman"/>
          <w:b w:val="0"/>
          <w:i w:val="0"/>
          <w:color w:val="000000"/>
          <w:sz w:val="24"/>
        </w:rPr>
        <w:t>November, 2026</w:t>
      </w:r>
    </w:p>
    <w:p>
      <w:pPr>
        <w:sectPr>
          <w:footerReference w:type="default" r:id="rId9"/>
          <w:pgSz w:w="11909" w:h="16834"/>
          <w:pgMar w:top="1440" w:right="1440" w:bottom="1440" w:left="2160" w:header="720" w:footer="720" w:gutter="0"/>
          <w:cols w:space="720"/>
          <w:titlePg/>
          <w:docGrid w:linePitch="360"/>
        </w:sectPr>
      </w:pPr>
    </w:p>
    <w:p>
      <w:pPr>
        <w:spacing w:before="200" w:after="400" w:line="360" w:lineRule="auto"/>
        <w:jc w:val="center"/>
      </w:pPr>
      <w:r>
        <w:rPr>
          <w:rFonts w:ascii="Times New Roman" w:hAnsi="Times New Roman"/>
          <w:b/>
          <w:i w:val="0"/>
          <w:color w:val="000000"/>
          <w:sz w:val="28"/>
        </w:rPr>
        <w:t>DECLARATION</w:t>
      </w:r>
    </w:p>
    <w:p>
      <w:pPr>
        <w:spacing w:before="0" w:after="320" w:line="360" w:lineRule="auto"/>
        <w:jc w:val="both"/>
      </w:pPr>
      <w:r>
        <w:rPr>
          <w:rFonts w:ascii="Times New Roman" w:hAnsi="Times New Roman"/>
          <w:b w:val="0"/>
          <w:i w:val="0"/>
          <w:color w:val="000000"/>
          <w:sz w:val="24"/>
        </w:rPr>
        <w:t>I hereby declare that the thesis entitled “EEG-BASED EXOSKELETON CONTROL FOR UPPER- AND LOWER-LIMB NEUROREHABILITATION” submitted by me, PARDEEP SINGH (Register No. 23BRS1123), for the award of the degree of Bachelor of Technology in Computer Science and Engineering (Artificial Intelligence and Robotics), Vellore Institute of Technology, Chennai is a record of bonafide work carried out by me under the supervision of my Project Guide, School of Computer Science and Engineering, Vellore Institute of Technology, Chennai.</w:t>
      </w:r>
    </w:p>
    <w:p>
      <w:pPr>
        <w:spacing w:before="0" w:after="720" w:line="360" w:lineRule="auto"/>
        <w:jc w:val="both"/>
      </w:pPr>
      <w:r>
        <w:rPr>
          <w:rFonts w:ascii="Times New Roman" w:hAnsi="Times New Roman"/>
          <w:b w:val="0"/>
          <w:i w:val="0"/>
          <w:color w:val="000000"/>
          <w:sz w:val="24"/>
        </w:rPr>
        <w:t>I further declare that the work reported in this thesis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color w:val="000000"/>
                <w:sz w:val="22"/>
              </w:rPr>
              <w:t>Place: Chennai</w:t>
            </w:r>
          </w:p>
        </w:tc>
        <w:tc>
          <w:tcPr>
            <w:tcW w:type="dxa" w:w="4154"/>
          </w:tcPr>
          <w:p>
            <w:pPr>
              <w:spacing w:line="288" w:lineRule="auto"/>
            </w:pPr>
            <w:r>
              <w:rPr>
                <w:rFonts w:ascii="Times New Roman" w:hAnsi="Times New Roman"/>
                <w:b/>
                <w:color w:val="000000"/>
                <w:sz w:val="22"/>
              </w:rPr>
              <w:t>Signature of the Candidate:</w:t>
            </w:r>
          </w:p>
        </w:tc>
      </w:tr>
      <w:tr>
        <w:tc>
          <w:tcPr>
            <w:tcW w:type="dxa" w:w="4154"/>
          </w:tcPr>
          <w:p>
            <w:pPr>
              <w:spacing w:line="288" w:lineRule="auto"/>
            </w:pPr>
            <w:r>
              <w:rPr>
                <w:rFonts w:ascii="Times New Roman" w:hAnsi="Times New Roman"/>
                <w:b/>
                <w:color w:val="000000"/>
                <w:sz w:val="22"/>
              </w:rPr>
              <w:t>Date: 13th October 2026</w:t>
            </w:r>
          </w:p>
        </w:tc>
        <w:tc>
          <w:tcPr>
            <w:tcW w:type="dxa" w:w="4154"/>
          </w:tcPr>
          <w:p>
            <w:pPr>
              <w:spacing w:line="288" w:lineRule="auto"/>
            </w:pPr>
            <w:r>
              <w:rPr>
                <w:rFonts w:ascii="Times New Roman" w:hAnsi="Times New Roman"/>
                <w:b/>
                <w:color w:val="000000"/>
                <w:sz w:val="22"/>
              </w:rPr>
              <w:t>PARDEEP SINGH (23BRS1123)</w:t>
            </w:r>
          </w:p>
        </w:tc>
      </w:tr>
    </w:tbl>
    <w:p>
      <w:r>
        <w:br w:type="page"/>
      </w:r>
    </w:p>
    <w:p>
      <w:pPr>
        <w:spacing w:before="200" w:after="240" w:line="360" w:lineRule="auto"/>
        <w:jc w:val="center"/>
      </w:pPr>
      <w:r>
        <w:rPr>
          <w:rFonts w:ascii="Times New Roman" w:hAnsi="Times New Roman"/>
          <w:b/>
          <w:i w:val="0"/>
          <w:color w:val="000000"/>
          <w:sz w:val="28"/>
        </w:rPr>
        <w:t>School of Computer Science and Engineering</w:t>
      </w:r>
    </w:p>
    <w:p>
      <w:pPr>
        <w:spacing w:before="0" w:after="360" w:line="360" w:lineRule="auto"/>
        <w:jc w:val="center"/>
      </w:pPr>
      <w:r>
        <w:rPr>
          <w:rFonts w:ascii="Times New Roman" w:hAnsi="Times New Roman"/>
          <w:b/>
          <w:i w:val="0"/>
          <w:color w:val="000000"/>
          <w:sz w:val="32"/>
        </w:rPr>
        <w:t>CERTIFICATE</w:t>
      </w:r>
    </w:p>
    <w:p>
      <w:pPr>
        <w:spacing w:before="0" w:after="480" w:line="360" w:lineRule="auto"/>
        <w:jc w:val="both"/>
      </w:pPr>
      <w:r>
        <w:rPr>
          <w:rFonts w:ascii="Times New Roman" w:hAnsi="Times New Roman"/>
          <w:b w:val="0"/>
          <w:i w:val="0"/>
          <w:color w:val="000000"/>
          <w:sz w:val="24"/>
        </w:rPr>
        <w:t>This is to certify that the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Pr>
      <w:tblGrid>
        <w:gridCol w:w="4154"/>
        <w:gridCol w:w="4154"/>
      </w:tblGrid>
      <w:tr>
        <w:tc>
          <w:tcPr>
            <w:tcW w:type="dxa" w:w="4608"/>
          </w:tcPr>
          <w:p>
            <w:pPr>
              <w:spacing w:line="288" w:lineRule="auto" w:before="40" w:after="40"/>
            </w:pPr>
            <w:r>
              <w:rPr>
                <w:rFonts w:ascii="Times New Roman" w:hAnsi="Times New Roman"/>
                <w:b/>
                <w:color w:val="000000"/>
                <w:sz w:val="22"/>
              </w:rPr>
              <w:t>Signature of the Guide: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Name: Dr. / Prof.</w:t>
              <w:br/>
              <w:t>Associate Professor, SCOPE</w:t>
              <w:br/>
              <w:t>Date:</w:t>
            </w:r>
          </w:p>
        </w:tc>
        <w:tc>
          <w:tcPr>
            <w:tcW w:type="dxa" w:w="4608"/>
          </w:tcPr>
          <w:p>
            <w:pPr>
              <w:spacing w:line="288" w:lineRule="auto" w:before="40" w:after="40"/>
            </w:pPr>
            <w:r>
              <w:rPr>
                <w:rFonts w:ascii="Times New Roman" w:hAnsi="Times New Roman"/>
                <w:b/>
                <w:color w:val="000000"/>
                <w:sz w:val="22"/>
              </w:rPr>
            </w:r>
          </w:p>
        </w:tc>
      </w:tr>
      <w:tr>
        <w:tc>
          <w:tcPr>
            <w:tcW w:type="dxa" w:w="4608"/>
          </w:tcPr>
          <w:p>
            <w:pPr>
              <w:spacing w:line="288" w:lineRule="auto" w:before="40" w:after="40"/>
            </w:pPr>
            <w:r>
              <w:rPr>
                <w:rFonts w:ascii="Times New Roman" w:hAnsi="Times New Roman"/>
                <w:b/>
                <w:color w:val="000000"/>
                <w:sz w:val="22"/>
              </w:rPr>
              <w:t>Signature of the Internal Examiner:</w:t>
            </w:r>
          </w:p>
        </w:tc>
        <w:tc>
          <w:tcPr>
            <w:tcW w:type="dxa" w:w="4608"/>
          </w:tcPr>
          <w:p>
            <w:pPr>
              <w:spacing w:line="288" w:lineRule="auto" w:before="40" w:after="40"/>
            </w:pPr>
            <w:r>
              <w:rPr>
                <w:rFonts w:ascii="Times New Roman" w:hAnsi="Times New Roman"/>
                <w:b/>
                <w:color w:val="000000"/>
                <w:sz w:val="22"/>
              </w:rPr>
              <w:t>Signature of the External Examiner:</w:t>
            </w:r>
          </w:p>
        </w:tc>
      </w:tr>
      <w:tr>
        <w:tc>
          <w:tcPr>
            <w:tcW w:type="dxa" w:w="4608"/>
          </w:tcPr>
          <w:p>
            <w:pPr>
              <w:spacing w:line="288" w:lineRule="auto" w:before="40" w:after="40"/>
            </w:pPr>
            <w:r>
              <w:rPr>
                <w:rFonts w:ascii="Times New Roman" w:hAnsi="Times New Roman"/>
                <w:b/>
                <w:color w:val="000000"/>
                <w:sz w:val="22"/>
              </w:rPr>
              <w:t>Name:</w:t>
              <w:br/>
              <w:t>Date:</w:t>
            </w:r>
          </w:p>
        </w:tc>
        <w:tc>
          <w:tcPr>
            <w:tcW w:type="dxa" w:w="4608"/>
          </w:tcPr>
          <w:p>
            <w:pPr>
              <w:spacing w:line="288" w:lineRule="auto" w:before="40" w:after="40"/>
            </w:pPr>
            <w:r>
              <w:rPr>
                <w:rFonts w:ascii="Times New Roman" w:hAnsi="Times New Roman"/>
                <w:b/>
                <w:color w:val="000000"/>
                <w:sz w:val="22"/>
              </w:rPr>
              <w:t>Name:</w:t>
              <w:br/>
              <w:t>Date:</w:t>
            </w:r>
          </w:p>
        </w:tc>
      </w:tr>
      <w:tr>
        <w:tc>
          <w:tcPr>
            <w:tcW w:type="dxa" w:w="4608"/>
          </w:tcPr>
          <w:p>
            <w:pPr>
              <w:spacing w:line="288" w:lineRule="auto" w:before="40" w:after="40"/>
            </w:pPr>
            <w:r>
              <w:rPr>
                <w:rFonts w:ascii="Times New Roman" w:hAnsi="Times New Roman"/>
                <w:b/>
                <w:color w:val="000000"/>
                <w:sz w:val="22"/>
              </w:rPr>
            </w:r>
          </w:p>
        </w:tc>
        <w:tc>
          <w:tcPr>
            <w:tcW w:type="dxa" w:w="4608"/>
          </w:tcPr>
          <w:p>
            <w:pPr>
              <w:spacing w:line="288" w:lineRule="auto" w:before="40" w:after="40"/>
            </w:pPr>
            <w:r>
              <w:rPr>
                <w:rFonts w:ascii="Times New Roman" w:hAnsi="Times New Roman"/>
                <w:b/>
                <w:color w:val="000000"/>
                <w:sz w:val="22"/>
              </w:rPr>
            </w:r>
          </w:p>
        </w:tc>
      </w:tr>
      <w:tr>
        <w:tc>
          <w:tcPr>
            <w:tcW w:type="dxa" w:w="9216"/>
            <w:gridSpan w:val="2"/>
          </w:tcPr>
          <w:p>
            <w:pPr>
              <w:spacing w:line="288" w:lineRule="auto" w:before="40" w:after="40"/>
            </w:pPr>
            <w:r>
              <w:rPr>
                <w:rFonts w:ascii="Times New Roman" w:hAnsi="Times New Roman"/>
                <w:b/>
                <w:color w:val="000000"/>
                <w:sz w:val="22"/>
              </w:rPr>
              <w:t>Approved by the Head of Department,</w:t>
              <w:br/>
              <w:t>B.Tech. Computer Science and Engineering (AI &amp; Robotics)</w:t>
              <w:br/>
              <w:t>Name: Dr. D. Sathian, HoD</w:t>
              <w:br/>
              <w:t>Date:</w:t>
            </w:r>
          </w:p>
        </w:tc>
      </w:tr>
    </w:tbl>
    <w:p>
      <w:r>
        <w:br w:type="page"/>
      </w:r>
    </w:p>
    <w:p>
      <w:pPr>
        <w:spacing w:before="200" w:after="360" w:line="360" w:lineRule="auto"/>
        <w:jc w:val="center"/>
      </w:pPr>
      <w:r>
        <w:rPr>
          <w:rFonts w:ascii="Times New Roman" w:hAnsi="Times New Roman"/>
          <w:b/>
          <w:i w:val="0"/>
          <w:color w:val="000000"/>
          <w:sz w:val="32"/>
        </w:rPr>
        <w:t>ABSTRACT</w:t>
      </w:r>
    </w:p>
    <w:p>
      <w:pPr>
        <w:spacing w:before="0" w:after="200" w:line="360" w:lineRule="auto"/>
        <w:jc w:val="both"/>
      </w:pPr>
      <w:r>
        <w:rPr>
          <w:rFonts w:ascii="Times New Roman" w:hAnsi="Times New Roman"/>
          <w:b w:val="0"/>
          <w:i w:val="0"/>
          <w:color w:val="000000"/>
          <w:sz w:val="24"/>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color w:val="000000"/>
          <w:sz w:val="24"/>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color w:val="000000"/>
          <w:sz w:val="24"/>
        </w:rPr>
        <w:t>Classification is executed using Stepwise Linear Discriminant Analysis (SWLDA) with statistical forward feature selection, alongside LDA for workload discrimination. A stateful priority arbitrator resolves conflicting intents via a strict five-level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color w:val="000000"/>
          <w:sz w:val="24"/>
        </w:rPr>
        <w:t>Rigorous experimental validation across benchmark physiological datasets and synthetic streams demonstrates 86.0% classification accuracy (AUC = 0.884)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color w:val="000000"/>
          <w:sz w:val="22"/>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color w:val="000000"/>
          <w:sz w:val="32"/>
        </w:rPr>
        <w:t>ACKNOWLEDGEMENT</w:t>
      </w:r>
    </w:p>
    <w:p>
      <w:pPr>
        <w:spacing w:before="0" w:after="200" w:line="360" w:lineRule="auto"/>
        <w:jc w:val="both"/>
      </w:pPr>
      <w:r>
        <w:rPr>
          <w:rFonts w:ascii="Times New Roman" w:hAnsi="Times New Roman"/>
          <w:b w:val="0"/>
          <w:i w:val="0"/>
          <w:color w:val="000000"/>
          <w:sz w:val="24"/>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color w:val="000000"/>
          <w:sz w:val="24"/>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color w:val="000000"/>
          <w:sz w:val="24"/>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color w:val="000000"/>
          <w:sz w:val="24"/>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color w:val="000000"/>
          <w:sz w:val="24"/>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color w:val="000000"/>
          <w:sz w:val="22"/>
        </w:rPr>
        <w:t>Place: Chennai</w:t>
        <w:br/>
        <w:t>Date: 13th October 2026</w:t>
        <w:br/>
        <w:t>PARDEEP SINGH (23BRS1123)</w:t>
      </w:r>
    </w:p>
    <w:p>
      <w:r>
        <w:br w:type="page"/>
      </w:r>
    </w:p>
    <w:p>
      <w:pPr>
        <w:spacing w:before="200" w:after="360" w:line="360" w:lineRule="auto"/>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sz w:val="21"/>
              </w:rPr>
              <w:t>TABLE OF CONTENTS</w:t>
            </w:r>
          </w:p>
        </w:tc>
        <w:tc>
          <w:tcPr>
            <w:tcW w:type="dxa" w:w="1296"/>
          </w:tcPr>
          <w:p>
            <w:pPr>
              <w:spacing w:line="276" w:lineRule="auto" w:before="40" w:after="40"/>
              <w:jc w:val="right"/>
            </w:pPr>
            <w:r>
              <w:rPr>
                <w:rFonts w:ascii="Times New Roman" w:hAnsi="Times New Roman"/>
                <w:sz w:val="21"/>
              </w:rPr>
              <w:t>viii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xi</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xiii</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xvi</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sz w:val="21"/>
              </w:rPr>
              <w:t xml:space="preserve">  1.9 Chapter Summary</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6</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 Signals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sz w:val="21"/>
              </w:rPr>
              <w:t xml:space="preserve">  2.9 Chapter Summary</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14</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17</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17</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3.10 Edge System Power Budget and Operational Runtime</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3.11 Clinical Failure Modes and Risk Mitigation Register (ISO 14971)</w:t>
            </w:r>
          </w:p>
        </w:tc>
        <w:tc>
          <w:tcPr>
            <w:tcW w:type="dxa" w:w="1296"/>
          </w:tcPr>
          <w:p>
            <w:pPr>
              <w:spacing w:line="276" w:lineRule="auto" w:before="40" w:after="40"/>
              <w:jc w:val="right"/>
            </w:pPr>
            <w:r>
              <w:rPr>
                <w:rFonts w:ascii="Times New Roman" w:hAnsi="Times New Roman"/>
                <w:sz w:val="21"/>
              </w:rPr>
              <w:t>22</w:t>
            </w:r>
          </w:p>
        </w:tc>
      </w:tr>
      <w:tr>
        <w:tc>
          <w:tcPr>
            <w:tcW w:type="dxa" w:w="8352"/>
          </w:tcPr>
          <w:p>
            <w:pPr>
              <w:spacing w:line="276" w:lineRule="auto" w:before="40" w:after="40"/>
            </w:pPr>
            <w:r>
              <w:rPr>
                <w:rFonts w:ascii="Times New Roman" w:hAnsi="Times New Roman"/>
                <w:sz w:val="21"/>
              </w:rPr>
              <w:t xml:space="preserve">  3.12 Chapter Summary</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b/>
                <w:sz w:val="21"/>
              </w:rPr>
              <w:t>CHAPTER 4: EXPERIMENTAL RESULTS AND DISCUSSION (BENCHMARK EVALUATION)</w:t>
            </w:r>
          </w:p>
        </w:tc>
        <w:tc>
          <w:tcPr>
            <w:tcW w:type="dxa" w:w="1296"/>
          </w:tcPr>
          <w:p>
            <w:pPr>
              <w:spacing w:line="276" w:lineRule="auto" w:before="40" w:after="40"/>
              <w:jc w:val="right"/>
            </w:pPr>
            <w:r>
              <w:rPr>
                <w:rFonts w:ascii="Times New Roman" w:hAnsi="Times New Roman"/>
                <w:b/>
                <w:sz w:val="21"/>
              </w:rPr>
              <w:t>25</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26</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29</w:t>
            </w:r>
          </w:p>
        </w:tc>
      </w:tr>
      <w:tr>
        <w:tc>
          <w:tcPr>
            <w:tcW w:type="dxa" w:w="8352"/>
          </w:tcPr>
          <w:p>
            <w:pPr>
              <w:spacing w:line="276" w:lineRule="auto" w:before="40" w:after="40"/>
            </w:pPr>
            <w:r>
              <w:rPr>
                <w:rFonts w:ascii="Times New Roman" w:hAnsi="Times New Roman"/>
                <w:sz w:val="21"/>
              </w:rPr>
              <w:t xml:space="preserve">  4.7 End-to-End Latency and Real-Time Timing Budget Compliance</w:t>
            </w:r>
          </w:p>
        </w:tc>
        <w:tc>
          <w:tcPr>
            <w:tcW w:type="dxa" w:w="1296"/>
          </w:tcPr>
          <w:p>
            <w:pPr>
              <w:spacing w:line="276" w:lineRule="auto" w:before="40" w:after="40"/>
              <w:jc w:val="right"/>
            </w:pPr>
            <w:r>
              <w:rPr>
                <w:rFonts w:ascii="Times New Roman" w:hAnsi="Times New Roman"/>
                <w:sz w:val="21"/>
              </w:rPr>
              <w:t>30</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31</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4.10 Chapter Summary</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34</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34</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38</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39</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41</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42</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46</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48</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sz w:val="21"/>
              </w:rPr>
              <w:t xml:space="preserve">  5.9 Chapter Summary</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51</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52</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53</w:t>
            </w:r>
          </w:p>
        </w:tc>
      </w:tr>
      <w:tr>
        <w:tc>
          <w:tcPr>
            <w:tcW w:type="dxa" w:w="8352"/>
          </w:tcPr>
          <w:p>
            <w:pPr>
              <w:spacing w:line="276" w:lineRule="auto" w:before="40" w:after="40"/>
            </w:pPr>
            <w:r>
              <w:rPr>
                <w:rFonts w:ascii="Times New Roman" w:hAnsi="Times New Roman"/>
                <w:sz w:val="21"/>
              </w:rPr>
              <w:t xml:space="preserve">  6.5 Chapter Summary</w:t>
            </w:r>
          </w:p>
        </w:tc>
        <w:tc>
          <w:tcPr>
            <w:tcW w:type="dxa" w:w="1296"/>
          </w:tcPr>
          <w:p>
            <w:pPr>
              <w:spacing w:line="276" w:lineRule="auto" w:before="40" w:after="40"/>
              <w:jc w:val="right"/>
            </w:pPr>
            <w:r>
              <w:rPr>
                <w:rFonts w:ascii="Times New Roman" w:hAnsi="Times New Roman"/>
                <w:sz w:val="21"/>
              </w:rPr>
              <w:t>53</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54</w:t>
            </w:r>
          </w:p>
        </w:tc>
      </w:tr>
      <w:tr>
        <w:tc>
          <w:tcPr>
            <w:tcW w:type="dxa" w:w="8352"/>
          </w:tcPr>
          <w:p>
            <w:pPr>
              <w:spacing w:line="276" w:lineRule="auto" w:before="40" w:after="40"/>
            </w:pPr>
            <w:r>
              <w:rPr>
                <w:rFonts w:ascii="Times New Roman" w:hAnsi="Times New Roman"/>
                <w:b/>
                <w:sz w:val="21"/>
              </w:rPr>
              <w:t>APPENDIX A: INDIVIDUAL CONTRIBUTION STATEMENT AND GUIDE FEEDBACK INCORPORATION</w:t>
            </w:r>
          </w:p>
        </w:tc>
        <w:tc>
          <w:tcPr>
            <w:tcW w:type="dxa" w:w="1296"/>
          </w:tcPr>
          <w:p>
            <w:pPr>
              <w:spacing w:line="276" w:lineRule="auto" w:before="40" w:after="40"/>
              <w:jc w:val="right"/>
            </w:pPr>
            <w:r>
              <w:rPr>
                <w:rFonts w:ascii="Times New Roman" w:hAnsi="Times New Roman"/>
                <w:b/>
                <w:sz w:val="21"/>
              </w:rPr>
              <w:t>56</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60</w:t>
            </w:r>
          </w:p>
        </w:tc>
      </w:tr>
      <w:tr>
        <w:tc>
          <w:tcPr>
            <w:tcW w:type="dxa" w:w="8352"/>
          </w:tcPr>
          <w:p>
            <w:pPr>
              <w:spacing w:line="276" w:lineRule="auto" w:before="40" w:after="40"/>
            </w:pPr>
            <w:r>
              <w:rPr>
                <w:rFonts w:ascii="Times New Roman" w:hAnsi="Times New Roman"/>
                <w:b/>
                <w:sz w:val="21"/>
              </w:rPr>
              <w:t>APPENDIX C: HARDWARE BILL OF MATERIALS AND PIN MAPPINGS</w:t>
            </w:r>
          </w:p>
        </w:tc>
        <w:tc>
          <w:tcPr>
            <w:tcW w:type="dxa" w:w="1296"/>
          </w:tcPr>
          <w:p>
            <w:pPr>
              <w:spacing w:line="276" w:lineRule="auto" w:before="40" w:after="40"/>
              <w:jc w:val="right"/>
            </w:pPr>
            <w:r>
              <w:rPr>
                <w:rFonts w:ascii="Times New Roman" w:hAnsi="Times New Roman"/>
                <w:b/>
                <w:sz w:val="21"/>
              </w:rPr>
              <w:t>63</w:t>
            </w:r>
          </w:p>
        </w:tc>
      </w:tr>
    </w:tbl>
    <w:p>
      <w:r>
        <w:br w:type="page"/>
      </w:r>
    </w:p>
    <w:p>
      <w:pPr>
        <w:spacing w:before="200" w:after="360" w:line="360" w:lineRule="auto"/>
        <w:jc w:val="center"/>
      </w:pPr>
      <w:r>
        <w:rPr>
          <w:rFonts w:ascii="Times New Roman" w:hAnsi="Times New Roman"/>
          <w:b/>
          <w:i w:val="0"/>
          <w:color w:val="000000"/>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10</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and Project Resolution Strategy</w:t>
            </w:r>
          </w:p>
        </w:tc>
        <w:tc>
          <w:tcPr>
            <w:tcW w:type="dxa" w:w="1152"/>
          </w:tcPr>
          <w:p>
            <w:pPr>
              <w:spacing w:line="276" w:lineRule="auto" w:before="60" w:after="60"/>
              <w:jc w:val="right"/>
            </w:pPr>
            <w:r>
              <w:rPr>
                <w:rFonts w:ascii="Times New Roman" w:hAnsi="Times New Roman"/>
                <w:sz w:val="21"/>
              </w:rPr>
              <w:t>12</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w:t>
            </w:r>
          </w:p>
        </w:tc>
        <w:tc>
          <w:tcPr>
            <w:tcW w:type="dxa" w:w="1152"/>
          </w:tcPr>
          <w:p>
            <w:pPr>
              <w:spacing w:line="276" w:lineRule="auto" w:before="60" w:after="60"/>
              <w:jc w:val="right"/>
            </w:pPr>
            <w:r>
              <w:rPr>
                <w:rFonts w:ascii="Times New Roman" w:hAnsi="Times New Roman"/>
                <w:sz w:val="21"/>
              </w:rPr>
              <w:t>20</w:t>
            </w:r>
          </w:p>
        </w:tc>
      </w:tr>
      <w:tr>
        <w:tc>
          <w:tcPr>
            <w:tcW w:type="dxa" w:w="1728"/>
          </w:tcPr>
          <w:p>
            <w:pPr>
              <w:spacing w:line="276" w:lineRule="auto" w:before="60" w:after="60"/>
            </w:pPr>
            <w:r>
              <w:rPr>
                <w:rFonts w:ascii="Times New Roman" w:hAnsi="Times New Roman"/>
                <w:sz w:val="21"/>
              </w:rPr>
              <w:t>Table 3.3</w:t>
            </w:r>
          </w:p>
        </w:tc>
        <w:tc>
          <w:tcPr>
            <w:tcW w:type="dxa" w:w="6768"/>
          </w:tcPr>
          <w:p>
            <w:pPr>
              <w:spacing w:line="276" w:lineRule="auto" w:before="60" w:after="60"/>
            </w:pPr>
            <w:r>
              <w:rPr>
                <w:rFonts w:ascii="Times New Roman" w:hAnsi="Times New Roman"/>
                <w:sz w:val="21"/>
              </w:rPr>
              <w:t>Edge System Electrical Power Budget and Battery Operational Runtime</w:t>
            </w:r>
          </w:p>
        </w:tc>
        <w:tc>
          <w:tcPr>
            <w:tcW w:type="dxa" w:w="1152"/>
          </w:tcPr>
          <w:p>
            <w:pPr>
              <w:spacing w:line="276" w:lineRule="auto" w:before="60" w:after="60"/>
              <w:jc w:val="right"/>
            </w:pPr>
            <w:r>
              <w:rPr>
                <w:rFonts w:ascii="Times New Roman" w:hAnsi="Times New Roman"/>
                <w:sz w:val="21"/>
              </w:rPr>
              <w:t>21</w:t>
            </w:r>
          </w:p>
        </w:tc>
      </w:tr>
      <w:tr>
        <w:tc>
          <w:tcPr>
            <w:tcW w:type="dxa" w:w="1728"/>
          </w:tcPr>
          <w:p>
            <w:pPr>
              <w:spacing w:line="276" w:lineRule="auto" w:before="60" w:after="60"/>
            </w:pPr>
            <w:r>
              <w:rPr>
                <w:rFonts w:ascii="Times New Roman" w:hAnsi="Times New Roman"/>
                <w:sz w:val="21"/>
              </w:rPr>
              <w:t>Table 3.4</w:t>
            </w:r>
          </w:p>
        </w:tc>
        <w:tc>
          <w:tcPr>
            <w:tcW w:type="dxa" w:w="6768"/>
          </w:tcPr>
          <w:p>
            <w:pPr>
              <w:spacing w:line="276" w:lineRule="auto" w:before="60" w:after="60"/>
            </w:pPr>
            <w:r>
              <w:rPr>
                <w:rFonts w:ascii="Times New Roman" w:hAnsi="Times New Roman"/>
                <w:sz w:val="21"/>
              </w:rPr>
              <w:t>Clinical Failure Modes and Risk Mitigation Register (ISO 14971)</w:t>
            </w:r>
          </w:p>
        </w:tc>
        <w:tc>
          <w:tcPr>
            <w:tcW w:type="dxa" w:w="1152"/>
          </w:tcPr>
          <w:p>
            <w:pPr>
              <w:spacing w:line="276" w:lineRule="auto" w:before="60" w:after="60"/>
              <w:jc w:val="right"/>
            </w:pPr>
            <w:r>
              <w:rPr>
                <w:rFonts w:ascii="Times New Roman" w:hAnsi="Times New Roman"/>
                <w:sz w:val="21"/>
              </w:rPr>
              <w:t>22</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Breakdown</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Computational Latency Breakdown Against 100 ms Real-Time Budget</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34</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(57,250 In-Vivo Samples)</w:t>
            </w:r>
          </w:p>
        </w:tc>
        <w:tc>
          <w:tcPr>
            <w:tcW w:type="dxa" w:w="1152"/>
          </w:tcPr>
          <w:p>
            <w:pPr>
              <w:spacing w:line="276" w:lineRule="auto" w:before="60" w:after="60"/>
              <w:jc w:val="right"/>
            </w:pPr>
            <w:r>
              <w:rPr>
                <w:rFonts w:ascii="Times New Roman" w:hAnsi="Times New Roman"/>
                <w:sz w:val="21"/>
              </w:rPr>
              <w:t>49</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Project Roadmap Targets</w:t>
            </w:r>
          </w:p>
        </w:tc>
        <w:tc>
          <w:tcPr>
            <w:tcW w:type="dxa" w:w="1152"/>
          </w:tcPr>
          <w:p>
            <w:pPr>
              <w:spacing w:line="276" w:lineRule="auto" w:before="60" w:after="60"/>
              <w:jc w:val="right"/>
            </w:pPr>
            <w:r>
              <w:rPr>
                <w:rFonts w:ascii="Times New Roman" w:hAnsi="Times New Roman"/>
                <w:sz w:val="21"/>
              </w:rPr>
              <w:t>52</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56</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57</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w:t>
            </w:r>
          </w:p>
        </w:tc>
        <w:tc>
          <w:tcPr>
            <w:tcW w:type="dxa" w:w="1152"/>
          </w:tcPr>
          <w:p>
            <w:pPr>
              <w:spacing w:line="276" w:lineRule="auto" w:before="60" w:after="60"/>
              <w:jc w:val="right"/>
            </w:pPr>
            <w:r>
              <w:rPr>
                <w:rFonts w:ascii="Times New Roman" w:hAnsi="Times New Roman"/>
                <w:sz w:val="21"/>
              </w:rPr>
              <w:t>63</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64</w:t>
            </w:r>
          </w:p>
        </w:tc>
      </w:tr>
    </w:tbl>
    <w:p>
      <w:r>
        <w:br w:type="page"/>
      </w:r>
    </w:p>
    <w:p>
      <w:pPr>
        <w:spacing w:before="200" w:after="360" w:line="360" w:lineRule="auto"/>
        <w:jc w:val="center"/>
      </w:pPr>
      <w:r>
        <w:rPr>
          <w:rFonts w:ascii="Times New Roman" w:hAnsi="Times New Roman"/>
          <w:b/>
          <w:i w:val="0"/>
          <w:color w:val="000000"/>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14</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25</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26</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29</w:t>
            </w:r>
          </w:p>
        </w:tc>
      </w:tr>
      <w:tr>
        <w:tc>
          <w:tcPr>
            <w:tcW w:type="dxa" w:w="1728"/>
          </w:tcPr>
          <w:p>
            <w:pPr>
              <w:spacing w:line="276" w:lineRule="auto" w:before="60" w:after="60"/>
            </w:pPr>
            <w:r>
              <w:rPr>
                <w:rFonts w:ascii="Times New Roman" w:hAnsi="Times New Roman"/>
                <w:sz w:val="21"/>
              </w:rPr>
              <w:t>Figure 4.7</w:t>
            </w:r>
          </w:p>
        </w:tc>
        <w:tc>
          <w:tcPr>
            <w:tcW w:type="dxa" w:w="6768"/>
          </w:tcPr>
          <w:p>
            <w:pPr>
              <w:spacing w:line="276" w:lineRule="auto" w:before="60" w:after="60"/>
            </w:pPr>
            <w:r>
              <w:rPr>
                <w:rFonts w:ascii="Times New Roman" w:hAnsi="Times New Roman"/>
                <w:sz w:val="21"/>
              </w:rPr>
              <w:t>Pipeline Execution Latency Breakdown Waterfall vs 100 ms Real-Time Budget</w:t>
            </w:r>
          </w:p>
        </w:tc>
        <w:tc>
          <w:tcPr>
            <w:tcW w:type="dxa" w:w="1152"/>
          </w:tcPr>
          <w:p>
            <w:pPr>
              <w:spacing w:line="276" w:lineRule="auto" w:before="60" w:after="60"/>
              <w:jc w:val="right"/>
            </w:pPr>
            <w:r>
              <w:rPr>
                <w:rFonts w:ascii="Times New Roman" w:hAnsi="Times New Roman"/>
                <w:sz w:val="21"/>
              </w:rPr>
              <w:t>31</w:t>
            </w:r>
          </w:p>
        </w:tc>
      </w:tr>
      <w:tr>
        <w:tc>
          <w:tcPr>
            <w:tcW w:type="dxa" w:w="1728"/>
          </w:tcPr>
          <w:p>
            <w:pPr>
              <w:spacing w:line="276" w:lineRule="auto" w:before="60" w:after="60"/>
            </w:pPr>
            <w:r>
              <w:rPr>
                <w:rFonts w:ascii="Times New Roman" w:hAnsi="Times New Roman"/>
                <w:sz w:val="21"/>
              </w:rPr>
              <w:t>Figure 4.8</w:t>
            </w:r>
          </w:p>
        </w:tc>
        <w:tc>
          <w:tcPr>
            <w:tcW w:type="dxa" w:w="6768"/>
          </w:tcPr>
          <w:p>
            <w:pPr>
              <w:spacing w:line="276" w:lineRule="auto" w:before="60" w:after="60"/>
            </w:pPr>
            <w:r>
              <w:rPr>
                <w:rFonts w:ascii="Times New Roman" w:hAnsi="Times New Roman"/>
                <w:sz w:val="21"/>
              </w:rPr>
              <w:t>Cumulative False Positive Trigger Count Stability Over 10-Minute Resting Windows</w:t>
            </w:r>
          </w:p>
        </w:tc>
        <w:tc>
          <w:tcPr>
            <w:tcW w:type="dxa" w:w="1152"/>
          </w:tcPr>
          <w:p>
            <w:pPr>
              <w:spacing w:line="276" w:lineRule="auto" w:before="60" w:after="60"/>
              <w:jc w:val="right"/>
            </w:pPr>
            <w:r>
              <w:rPr>
                <w:rFonts w:ascii="Times New Roman" w:hAnsi="Times New Roman"/>
                <w:sz w:val="21"/>
              </w:rPr>
              <w:t>32</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Data Acquisition Screenshot — Double-Blink EOG Recording Session</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Data Acquisition Screenshot — Jaw-Clench EMG Recording Session</w:t>
            </w:r>
          </w:p>
        </w:tc>
        <w:tc>
          <w:tcPr>
            <w:tcW w:type="dxa" w:w="1152"/>
          </w:tcPr>
          <w:p>
            <w:pPr>
              <w:spacing w:line="276" w:lineRule="auto" w:before="60" w:after="60"/>
              <w:jc w:val="right"/>
            </w:pPr>
            <w:r>
              <w:rPr>
                <w:rFonts w:ascii="Times New Roman" w:hAnsi="Times New Roman"/>
                <w:sz w:val="21"/>
              </w:rPr>
              <w:t>36</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Data Acquisition Screenshot — Left-Hand Motor Execution Recording Session</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Data Acquisition Screenshot — Right-Hand Motor Execution Recording Session</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Continuous 8-Channel EEG Comparison Showing Raw ADC Values and Zero-Phase Preprocessed Waveforms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Power Spectral Density Across Experimental Conditions for Frontal/Temporal and Central Channels</w:t>
            </w:r>
          </w:p>
        </w:tc>
        <w:tc>
          <w:tcPr>
            <w:tcW w:type="dxa" w:w="1152"/>
          </w:tcPr>
          <w:p>
            <w:pPr>
              <w:spacing w:line="276" w:lineRule="auto" w:before="60" w:after="60"/>
              <w:jc w:val="right"/>
            </w:pPr>
            <w:r>
              <w:rPr>
                <w:rFonts w:ascii="Times New Roman" w:hAnsi="Times New Roman"/>
                <w:sz w:val="21"/>
              </w:rPr>
              <w:t>40</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Multi-Panel STFT Spectrograms Demonstrating Distinct Spectral Signatures</w:t>
            </w:r>
          </w:p>
        </w:tc>
        <w:tc>
          <w:tcPr>
            <w:tcW w:type="dxa" w:w="1152"/>
          </w:tcPr>
          <w:p>
            <w:pPr>
              <w:spacing w:line="276" w:lineRule="auto" w:before="60" w:after="60"/>
              <w:jc w:val="right"/>
            </w:pPr>
            <w:r>
              <w:rPr>
                <w:rFonts w:ascii="Times New Roman" w:hAnsi="Times New Roman"/>
                <w:sz w:val="21"/>
              </w:rPr>
              <w:t>41</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Continuous Differential EOG Trace and Zoomed Dual-Peak Blink Waveform with +40.0 µV Threshold Markers</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Continuous High-Gamma Envelope and Probability Density Distribution</w:t>
            </w:r>
          </w:p>
        </w:tc>
        <w:tc>
          <w:tcPr>
            <w:tcW w:type="dxa" w:w="1152"/>
          </w:tcPr>
          <w:p>
            <w:pPr>
              <w:spacing w:line="276" w:lineRule="auto" w:before="60" w:after="60"/>
              <w:jc w:val="right"/>
            </w:pPr>
            <w:r>
              <w:rPr>
                <w:rFonts w:ascii="Times New Roman" w:hAnsi="Times New Roman"/>
                <w:sz w:val="21"/>
              </w:rPr>
              <w:t>42</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Distribution of Sensorimotor Mu (8–13 Hz) and Beta (14–30 Hz) Power Showing Significant Suppression (ERD)</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3-Class Movement Intent Confusion Matrices for LDA and Random Forest</w:t>
            </w:r>
          </w:p>
        </w:tc>
        <w:tc>
          <w:tcPr>
            <w:tcW w:type="dxa" w:w="1152"/>
          </w:tcPr>
          <w:p>
            <w:pPr>
              <w:spacing w:line="276" w:lineRule="auto" w:before="60" w:after="60"/>
              <w:jc w:val="right"/>
            </w:pPr>
            <w:r>
              <w:rPr>
                <w:rFonts w:ascii="Times New Roman" w:hAnsi="Times New Roman"/>
                <w:sz w:val="21"/>
              </w:rPr>
              <w:t>44</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5-Class Lateralized Confusion Matrix Demonstrating Strong Diagonal Dominance (Random Forest)</w:t>
            </w:r>
          </w:p>
        </w:tc>
        <w:tc>
          <w:tcPr>
            <w:tcW w:type="dxa" w:w="1152"/>
          </w:tcPr>
          <w:p>
            <w:pPr>
              <w:spacing w:line="276" w:lineRule="auto" w:before="60" w:after="60"/>
              <w:jc w:val="right"/>
            </w:pPr>
            <w:r>
              <w:rPr>
                <w:rFonts w:ascii="Times New Roman" w:hAnsi="Times New Roman"/>
                <w:sz w:val="21"/>
              </w:rPr>
              <w:t>45</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One-vs-Rest ROC Curves and Precision-Recall Curves</w:t>
            </w:r>
          </w:p>
        </w:tc>
        <w:tc>
          <w:tcPr>
            <w:tcW w:type="dxa" w:w="1152"/>
          </w:tcPr>
          <w:p>
            <w:pPr>
              <w:spacing w:line="276" w:lineRule="auto" w:before="60" w:after="60"/>
              <w:jc w:val="right"/>
            </w:pPr>
            <w:r>
              <w:rPr>
                <w:rFonts w:ascii="Times New Roman" w:hAnsi="Times New Roman"/>
                <w:sz w:val="21"/>
              </w:rPr>
              <w:t>46</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Electrode DC Offset, RMS Noise Floor, and Health Classification Matrix Across All 8 Qneuro Channels</w:t>
            </w:r>
          </w:p>
        </w:tc>
        <w:tc>
          <w:tcPr>
            <w:tcW w:type="dxa" w:w="1152"/>
          </w:tcPr>
          <w:p>
            <w:pPr>
              <w:spacing w:line="276" w:lineRule="auto" w:before="60" w:after="60"/>
              <w:jc w:val="right"/>
            </w:pPr>
            <w:r>
              <w:rPr>
                <w:rFonts w:ascii="Times New Roman" w:hAnsi="Times New Roman"/>
                <w:sz w:val="21"/>
              </w:rPr>
              <w:t>47</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Top 12 Spatial-Frequency Features Ranked by Relative Gini Importance</w:t>
            </w:r>
          </w:p>
        </w:tc>
        <w:tc>
          <w:tcPr>
            <w:tcW w:type="dxa" w:w="1152"/>
          </w:tcPr>
          <w:p>
            <w:pPr>
              <w:spacing w:line="276" w:lineRule="auto" w:before="60" w:after="60"/>
              <w:jc w:val="right"/>
            </w:pPr>
            <w:r>
              <w:rPr>
                <w:rFonts w:ascii="Times New Roman" w:hAnsi="Times New Roman"/>
                <w:sz w:val="21"/>
              </w:rPr>
              <w:t>48</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Full 229-Second Real-Time Arbitration Timeline Showing Ground Truth Cues, Interrupts, and Commands</w:t>
            </w:r>
          </w:p>
        </w:tc>
        <w:tc>
          <w:tcPr>
            <w:tcW w:type="dxa" w:w="1152"/>
          </w:tcPr>
          <w:p>
            <w:pPr>
              <w:spacing w:line="276" w:lineRule="auto" w:before="60" w:after="60"/>
              <w:jc w:val="right"/>
            </w:pPr>
            <w:r>
              <w:rPr>
                <w:rFonts w:ascii="Times New Roman" w:hAnsi="Times New Roman"/>
                <w:sz w:val="21"/>
              </w:rPr>
              <w:t>48</w:t>
            </w:r>
          </w:p>
        </w:tc>
      </w:tr>
    </w:tbl>
    <w:p>
      <w:r>
        <w:br w:type="page"/>
      </w:r>
    </w:p>
    <w:p>
      <w:pPr>
        <w:spacing w:before="200" w:after="360" w:line="360" w:lineRule="auto"/>
        <w:jc w:val="center"/>
      </w:pPr>
      <w:r>
        <w:rPr>
          <w:rFonts w:ascii="Times New Roman" w:hAnsi="Times New Roman"/>
          <w:b/>
          <w:i w:val="0"/>
          <w:color w:val="000000"/>
          <w:sz w:val="32"/>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pPr>
        <w:sectPr>
          <w:headerReference w:type="default" r:id="rId11"/>
          <w:footerReference w:type="default" r:id="rId12"/>
          <w:pgSz w:w="11909" w:h="16834"/>
          <w:pgMar w:top="1440" w:right="1440" w:bottom="1440" w:left="2160" w:header="720" w:footer="720" w:gutter="0"/>
          <w:cols w:space="720"/>
          <w:docGrid w:linePitch="360"/>
          <w:pgNumType w:start="3" w:fmt="lowerRoman"/>
        </w:sectPr>
      </w:pPr>
    </w:p>
    <w:p>
      <w:pPr>
        <w:keepNext/>
        <w:spacing w:before="400" w:after="240" w:line="276" w:lineRule="auto"/>
        <w:jc w:val="center"/>
      </w:pPr>
      <w:r>
        <w:rPr>
          <w:rFonts w:ascii="Times New Roman" w:hAnsi="Times New Roman"/>
          <w:b/>
          <w:color w:val="000000"/>
          <w:sz w:val="32"/>
        </w:rPr>
        <w:t>CHAPTER 1</w:t>
        <w:br/>
        <w:t>INTRODUCTION</w:t>
      </w:r>
    </w:p>
    <w:p>
      <w:pPr>
        <w:keepNext/>
        <w:spacing w:before="280" w:after="120" w:line="276" w:lineRule="auto"/>
      </w:pPr>
      <w:r>
        <w:rPr>
          <w:rFonts w:ascii="Times New Roman" w:hAnsi="Times New Roman"/>
          <w:b/>
          <w:color w:val="000000"/>
          <w:sz w:val="28"/>
        </w:rPr>
        <w:t>1.1 CLINICAL BACKGROUND AND MOTIVATION</w:t>
      </w:r>
    </w:p>
    <w:p>
      <w:pPr>
        <w:spacing w:before="0" w:after="120" w:line="360" w:lineRule="auto"/>
        <w:jc w:val="both"/>
      </w:pPr>
      <w:r>
        <w:rPr>
          <w:rFonts w:ascii="Times New Roman" w:hAnsi="Times New Roman"/>
          <w:b w:val="0"/>
          <w:i w:val="0"/>
          <w:color w:val="000000"/>
          <w:sz w:val="24"/>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color w:val="000000"/>
          <w:sz w:val="24"/>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color w:val="000000"/>
          <w:sz w:val="24"/>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000000"/>
          <w:sz w:val="28"/>
        </w:rPr>
        <w:t>1.2 PROBLEM STATEMENT</w:t>
      </w:r>
    </w:p>
    <w:p>
      <w:pPr>
        <w:spacing w:before="0" w:after="120" w:line="360" w:lineRule="auto"/>
        <w:jc w:val="both"/>
      </w:pPr>
      <w:r>
        <w:rPr>
          <w:rFonts w:ascii="Times New Roman" w:hAnsi="Times New Roman"/>
          <w:b w:val="0"/>
          <w:i w:val="0"/>
          <w:color w:val="000000"/>
          <w:sz w:val="24"/>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color w:val="000000"/>
          <w:sz w:val="24"/>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color w:val="000000"/>
          <w:sz w:val="24"/>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color w:val="000000"/>
          <w:sz w:val="24"/>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color w:val="000000"/>
          <w:sz w:val="24"/>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000000"/>
          <w:sz w:val="28"/>
        </w:rPr>
        <w:t>1.3 LIMITATIONS OF CONVENTIONAL SCALP EEG</w:t>
      </w:r>
    </w:p>
    <w:p>
      <w:pPr>
        <w:spacing w:before="0" w:after="120" w:line="360" w:lineRule="auto"/>
        <w:jc w:val="both"/>
      </w:pPr>
      <w:r>
        <w:rPr>
          <w:rFonts w:ascii="Times New Roman" w:hAnsi="Times New Roman"/>
          <w:b w:val="0"/>
          <w:i w:val="0"/>
          <w:color w:val="000000"/>
          <w:sz w:val="24"/>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color w:val="000000"/>
          <w:sz w:val="24"/>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color w:val="000000"/>
          <w:sz w:val="24"/>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color w:val="000000"/>
          <w:sz w:val="24"/>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000000"/>
          <w:sz w:val="28"/>
        </w:rPr>
        <w:t>1.4 THE AROUND-THE-EAR (CEEGRID) PARADIGM</w:t>
      </w:r>
    </w:p>
    <w:p>
      <w:pPr>
        <w:spacing w:before="0" w:after="120" w:line="360" w:lineRule="auto"/>
        <w:jc w:val="both"/>
      </w:pPr>
      <w:r>
        <w:rPr>
          <w:rFonts w:ascii="Times New Roman" w:hAnsi="Times New Roman"/>
          <w:b w:val="0"/>
          <w:i w:val="0"/>
          <w:color w:val="000000"/>
          <w:sz w:val="24"/>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color w:val="000000"/>
          <w:sz w:val="24"/>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color w:val="000000"/>
          <w:sz w:val="24"/>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color w:val="000000"/>
          <w:sz w:val="24"/>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000000"/>
          <w:sz w:val="28"/>
        </w:rPr>
        <w:t>1.5 DUAL-MODULE CROSS-LIMB CONTROL PHILOSOPHY</w:t>
      </w:r>
    </w:p>
    <w:p>
      <w:pPr>
        <w:spacing w:before="0" w:after="120" w:line="360" w:lineRule="auto"/>
        <w:jc w:val="both"/>
      </w:pPr>
      <w:r>
        <w:rPr>
          <w:rFonts w:ascii="Times New Roman" w:hAnsi="Times New Roman"/>
          <w:b w:val="0"/>
          <w:i w:val="0"/>
          <w:color w:val="000000"/>
          <w:sz w:val="24"/>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color w:val="000000"/>
          <w:sz w:val="24"/>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color w:val="000000"/>
          <w:sz w:val="24"/>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color w:val="000000"/>
          <w:sz w:val="24"/>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000000"/>
          <w:sz w:val="28"/>
        </w:rPr>
        <w:t>1.6 RESEARCH OBJECTIVES</w:t>
      </w:r>
    </w:p>
    <w:p>
      <w:pPr>
        <w:spacing w:before="0" w:after="120" w:line="360" w:lineRule="auto"/>
        <w:jc w:val="both"/>
      </w:pPr>
      <w:r>
        <w:rPr>
          <w:rFonts w:ascii="Times New Roman" w:hAnsi="Times New Roman"/>
          <w:b w:val="0"/>
          <w:i w:val="0"/>
          <w:color w:val="000000"/>
          <w:sz w:val="24"/>
        </w:rPr>
        <w:t>The core objectives of this project are:</w:t>
      </w:r>
    </w:p>
    <w:p>
      <w:pPr>
        <w:spacing w:before="0" w:after="60" w:line="360" w:lineRule="auto"/>
        <w:jc w:val="both"/>
      </w:pPr>
      <w:r>
        <w:rPr>
          <w:rFonts w:ascii="Times New Roman" w:hAnsi="Times New Roman"/>
          <w:b w:val="0"/>
          <w:i w:val="0"/>
          <w:color w:val="000000"/>
          <w:sz w:val="24"/>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color w:val="000000"/>
          <w:sz w:val="24"/>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color w:val="000000"/>
          <w:sz w:val="24"/>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color w:val="000000"/>
          <w:sz w:val="24"/>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color w:val="000000"/>
          <w:sz w:val="24"/>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color w:val="000000"/>
          <w:sz w:val="24"/>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color w:val="000000"/>
          <w:sz w:val="24"/>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000000"/>
          <w:sz w:val="28"/>
        </w:rPr>
        <w:t>1.7 SCOPE AND TECHNICAL BOUNDARIES</w:t>
      </w:r>
    </w:p>
    <w:p>
      <w:pPr>
        <w:spacing w:before="0" w:after="120" w:line="360" w:lineRule="auto"/>
        <w:jc w:val="both"/>
      </w:pPr>
      <w:r>
        <w:rPr>
          <w:rFonts w:ascii="Times New Roman" w:hAnsi="Times New Roman"/>
          <w:b w:val="0"/>
          <w:i w:val="0"/>
          <w:color w:val="000000"/>
          <w:sz w:val="24"/>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000000"/>
          <w:sz w:val="28"/>
        </w:rPr>
        <w:t>1.8 REPORT ORGANIZATION</w:t>
      </w:r>
    </w:p>
    <w:p>
      <w:pPr>
        <w:spacing w:before="0" w:after="120" w:line="360" w:lineRule="auto"/>
        <w:jc w:val="both"/>
      </w:pPr>
      <w:r>
        <w:rPr>
          <w:rFonts w:ascii="Times New Roman" w:hAnsi="Times New Roman"/>
          <w:b w:val="0"/>
          <w:i w:val="0"/>
          <w:color w:val="000000"/>
          <w:sz w:val="24"/>
        </w:rPr>
        <w:t>The remainder of this report is structured as follows: Chapter 2 reviews the state-of-the-art across 17 recent literature publications, highlighting research gaps in cross-limb control. Chapter 3 details the four-tier system architecture, mathematical derivations, power budget, risk register, and firmware design. Chapter 4 provides extensive experimental results on benchmark datasets, analyzing 8 publication figures, latency waterfalls, and classification benchmarks. Chapter 5 presents the comprehensive in-vivo validation campaign conducted on the wireless Qneuro H100 headset with 57,250 real human electrophysiological samples, including 4 live data acquisition oscilloscope recordings and 12 analytical figures (16 figures total). Chapter 6 concludes the report and presents future clinical directions. Appendices document individual member contributions, guide feedback incorporation, source code implementations, and the complete hardware bill of materials.</w:t>
      </w:r>
    </w:p>
    <w:p>
      <w:pPr>
        <w:keepNext/>
        <w:spacing w:before="280" w:after="120" w:line="276" w:lineRule="auto"/>
      </w:pPr>
      <w:r>
        <w:rPr>
          <w:rFonts w:ascii="Times New Roman" w:hAnsi="Times New Roman"/>
          <w:b/>
          <w:color w:val="000000"/>
          <w:sz w:val="28"/>
        </w:rPr>
        <w:t>1.9 CHAPTER SUMMARY</w:t>
      </w:r>
    </w:p>
    <w:p>
      <w:pPr>
        <w:spacing w:before="0" w:after="120" w:line="360" w:lineRule="auto"/>
        <w:jc w:val="both"/>
      </w:pPr>
      <w:r>
        <w:rPr>
          <w:rFonts w:ascii="Times New Roman" w:hAnsi="Times New Roman"/>
          <w:b w:val="0"/>
          <w:i w:val="0"/>
          <w:color w:val="000000"/>
          <w:sz w:val="24"/>
        </w:rPr>
        <w:t>This introductory chapter established the clinical imperative for intention-driven robotic neurorehabilitation over passive therapy, framed the acute barriers of conventional 64-channel whole-scalp caps, and introduced the around-the-ear (cEEGrid) sensing paradigm. A discrete event-triggered cross-limb control philosophy was formulated, uniting an oddball P300 and jaw-clench hand orthosis with a discrete-stepping leg linkage. Seven concrete technical objectives and scope boundaries were delineated to guide the engineering design and validation presented in subsequent chapters.</w:t>
      </w:r>
    </w:p>
    <w:p>
      <w:r>
        <w:br w:type="page"/>
      </w:r>
    </w:p>
    <w:p>
      <w:pPr>
        <w:keepNext/>
        <w:spacing w:before="400" w:after="240" w:line="276" w:lineRule="auto"/>
        <w:jc w:val="center"/>
      </w:pPr>
      <w:r>
        <w:rPr>
          <w:rFonts w:ascii="Times New Roman" w:hAnsi="Times New Roman"/>
          <w:b/>
          <w:color w:val="000000"/>
          <w:sz w:val="32"/>
        </w:rPr>
        <w:t>CHAPTER 2</w:t>
        <w:br/>
        <w:t>LITERATURE REVIEW</w:t>
      </w:r>
    </w:p>
    <w:p>
      <w:pPr>
        <w:keepNext/>
        <w:spacing w:before="280" w:after="120" w:line="276" w:lineRule="auto"/>
      </w:pPr>
      <w:r>
        <w:rPr>
          <w:rFonts w:ascii="Times New Roman" w:hAnsi="Times New Roman"/>
          <w:b/>
          <w:color w:val="000000"/>
          <w:sz w:val="28"/>
        </w:rPr>
        <w:t>2.1 THEORETICAL FOUNDATIONS OF BCI NEUROREHABILITATION</w:t>
      </w:r>
    </w:p>
    <w:p>
      <w:pPr>
        <w:spacing w:before="0" w:after="120" w:line="360" w:lineRule="auto"/>
        <w:jc w:val="both"/>
      </w:pPr>
      <w:r>
        <w:rPr>
          <w:rFonts w:ascii="Times New Roman" w:hAnsi="Times New Roman"/>
          <w:b w:val="0"/>
          <w:i w:val="0"/>
          <w:color w:val="000000"/>
          <w:sz w:val="24"/>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color w:val="000000"/>
          <w:sz w:val="24"/>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000000"/>
          <w:sz w:val="28"/>
        </w:rPr>
        <w:t>2.2 TAXONOMY OF BIOSIGNAL MODALITIES: MI VS ERP VS PERIAURICULAR SIGNALS</w:t>
      </w:r>
    </w:p>
    <w:p>
      <w:pPr>
        <w:spacing w:before="0" w:after="120" w:line="360" w:lineRule="auto"/>
        <w:jc w:val="both"/>
      </w:pPr>
      <w:r>
        <w:rPr>
          <w:rFonts w:ascii="Times New Roman" w:hAnsi="Times New Roman"/>
          <w:b w:val="0"/>
          <w:i w:val="0"/>
          <w:color w:val="000000"/>
          <w:sz w:val="24"/>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color w:val="000000"/>
          <w:sz w:val="24"/>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The foundational taxonomy of the hybrid BCI formulated by Pfurtscheller et al. (2006) established that fusing distinct biosignal streams markedly improves decoding reliability while reducing unintended triggers. Building on this framework, Zhu et al. (2020) and King et al. (2025) validated that hybrid systems combining electroencephalography,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color w:val="000000"/>
          <w:sz w:val="24"/>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000000"/>
          <w:sz w:val="28"/>
        </w:rPr>
        <w:t>2.3 AROUND-THE-EAR EEG (CEEGRID) STATE-OF-THE-ART</w:t>
      </w:r>
    </w:p>
    <w:p>
      <w:pPr>
        <w:spacing w:before="0" w:after="120" w:line="360" w:lineRule="auto"/>
        <w:jc w:val="both"/>
      </w:pPr>
      <w:r>
        <w:rPr>
          <w:rFonts w:ascii="Times New Roman" w:hAnsi="Times New Roman"/>
          <w:b w:val="0"/>
          <w:i w:val="0"/>
          <w:color w:val="000000"/>
          <w:sz w:val="24"/>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color w:val="000000"/>
          <w:sz w:val="24"/>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000000"/>
          <w:sz w:val="28"/>
        </w:rPr>
        <w:t>2.4 UPPER- AND LOWER-LIMB EXOSKELETON ARCHITECTURES</w:t>
      </w:r>
    </w:p>
    <w:p>
      <w:pPr>
        <w:spacing w:before="0" w:after="120" w:line="360" w:lineRule="auto"/>
        <w:jc w:val="both"/>
      </w:pPr>
      <w:r>
        <w:rPr>
          <w:rFonts w:ascii="Times New Roman" w:hAnsi="Times New Roman"/>
          <w:b w:val="0"/>
          <w:i w:val="0"/>
          <w:color w:val="000000"/>
          <w:sz w:val="24"/>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color w:val="000000"/>
          <w:sz w:val="24"/>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000000"/>
          <w:sz w:val="28"/>
        </w:rPr>
        <w:t>2.5 EMBEDDED CLASSIFIERS AND EDGE INTELLIGENCE</w:t>
      </w:r>
    </w:p>
    <w:p>
      <w:pPr>
        <w:spacing w:before="0" w:after="120" w:line="360" w:lineRule="auto"/>
        <w:jc w:val="both"/>
      </w:pPr>
      <w:r>
        <w:rPr>
          <w:rFonts w:ascii="Times New Roman" w:hAnsi="Times New Roman"/>
          <w:b w:val="0"/>
          <w:i w:val="0"/>
          <w:color w:val="000000"/>
          <w:sz w:val="24"/>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color w:val="000000"/>
          <w:sz w:val="24"/>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000000"/>
          <w:sz w:val="28"/>
        </w:rPr>
        <w:t>2.6 MULTI-TIER SAFETY INTERLOCKS AND CLINICAL RISK MITIGATION</w:t>
      </w:r>
    </w:p>
    <w:p>
      <w:pPr>
        <w:spacing w:before="0" w:after="120" w:line="360" w:lineRule="auto"/>
        <w:jc w:val="both"/>
      </w:pPr>
      <w:r>
        <w:rPr>
          <w:rFonts w:ascii="Times New Roman" w:hAnsi="Times New Roman"/>
          <w:b w:val="0"/>
          <w:i w:val="0"/>
          <w:color w:val="000000"/>
          <w:sz w:val="24"/>
        </w:rPr>
        <w:t>Clinical translation of active neuro-assistive orthoses is strictly governed by medical safety standards, principally ISO 14971 (Application of risk management to medical devices), ISO 13482 (Safety requirements for personal care and physical assistant robots), and IEC 60601-1 (Medical electrical equipment safety). To satisfy ISO 13482 constraints, safety architecture cannot rely on software watchdog routines alone; it mandates deterministic multi-tiered hardware interlocks, immediate biological veto channels (&lt; 15 ms latency), mechanical hard stops, and hardwired power-relay cutoffs. Coupling biological veto gating (periauricular double-blink earEOG) directly to MCU interrupt lines provides fail-safe clinical containment against involuntary spasms or neural decoder glitches.</w:t>
      </w:r>
    </w:p>
    <w:p>
      <w:pPr>
        <w:keepNext/>
        <w:spacing w:before="280" w:after="120" w:line="276" w:lineRule="auto"/>
      </w:pPr>
      <w:r>
        <w:rPr>
          <w:rFonts w:ascii="Times New Roman" w:hAnsi="Times New Roman"/>
          <w:b/>
          <w:color w:val="000000"/>
          <w:sz w:val="28"/>
        </w:rPr>
        <w:t>2.7 LITERATURE SYNTHESIS MATRIX (17 CORE PUBLICATIONS)</w:t>
      </w:r>
    </w:p>
    <w:p>
      <w:pPr>
        <w:spacing w:before="0" w:after="120" w:line="360" w:lineRule="auto"/>
        <w:jc w:val="both"/>
      </w:pPr>
      <w:r>
        <w:rPr>
          <w:rFonts w:ascii="Times New Roman" w:hAnsi="Times New Roman"/>
          <w:b w:val="0"/>
          <w:i w:val="0"/>
          <w:color w:val="000000"/>
          <w:sz w:val="24"/>
        </w:rPr>
        <w:t>Table 2.1 summarizes the 17 core publications reviewed, detailing their biosignal modality, target hardware, classification approach, and limitations.</w:t>
      </w:r>
    </w:p>
    <w:p>
      <w:pPr>
        <w:keepNext/>
        <w:spacing w:before="160" w:after="80"/>
        <w:jc w:val="left"/>
      </w:pPr>
      <w:r>
        <w:rPr>
          <w:rFonts w:ascii="Times New Roman" w:hAnsi="Times New Roman"/>
          <w:b/>
          <w:color w:val="000000"/>
          <w:sz w:val="20"/>
        </w:rPr>
        <w:t>Table 2.1: Comprehensive Literature Synthesis Matrix (17 Core Publications)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rPr>
          <w:tblHeader/>
          <w:cantSplit/>
        </w:trPr>
        <w:tc>
          <w:tcPr>
            <w:tcW w:type="dxa" w:w="864"/>
            <w:shd w:fill="002060"/>
          </w:tcPr>
          <w:p>
            <w:pPr>
              <w:spacing w:before="80" w:after="80"/>
              <w:jc w:val="center"/>
            </w:pPr>
            <w:r>
              <w:rPr>
                <w:rFonts w:ascii="Times New Roman" w:hAnsi="Times New Roman"/>
                <w:b/>
                <w:color w:val="FFFFFF"/>
                <w:sz w:val="21"/>
              </w:rPr>
              <w:t>S. No.</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304"/>
            <w:shd w:fill="002060"/>
          </w:tcPr>
          <w:p>
            <w:pPr>
              <w:spacing w:before="80" w:after="80"/>
              <w:jc w:val="center"/>
            </w:pPr>
            <w:r>
              <w:rPr>
                <w:rFonts w:ascii="Times New Roman" w:hAnsi="Times New Roman"/>
                <w:b/>
                <w:color w:val="FFFFFF"/>
                <w:sz w:val="21"/>
              </w:rPr>
              <w:t>Key Findings &amp; Limitations</w:t>
            </w:r>
          </w:p>
        </w:tc>
      </w:tr>
      <w:tr>
        <w:trPr>
          <w:cantSplit/>
        </w:trPr>
        <w:tc>
          <w:tcPr>
            <w:tcW w:type="dxa" w:w="864"/>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304"/>
            <w:shd w:fill="FFFFFF"/>
          </w:tcPr>
          <w:p>
            <w:pPr>
              <w:spacing w:before="60" w:after="60" w:line="276" w:lineRule="auto"/>
              <w:jc w:val="left"/>
            </w:pPr>
            <w:r>
              <w:rPr>
                <w:rFonts w:ascii="Times New Roman" w:hAnsi="Times New Roman"/>
                <w:sz w:val="20"/>
              </w:rPr>
              <w:t>84.2% MI accuracy; relies on 32-ch wet scalp cap.</w:t>
            </w:r>
          </w:p>
        </w:tc>
      </w:tr>
      <w:tr>
        <w:trPr>
          <w:cantSplit/>
        </w:trPr>
        <w:tc>
          <w:tcPr>
            <w:tcW w:type="dxa" w:w="864"/>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304"/>
            <w:shd w:fill="F7F9FC"/>
          </w:tcPr>
          <w:p>
            <w:pPr>
              <w:spacing w:before="60" w:after="60" w:line="276" w:lineRule="auto"/>
              <w:jc w:val="left"/>
            </w:pPr>
            <w:r>
              <w:rPr>
                <w:rFonts w:ascii="Times New Roman" w:hAnsi="Times New Roman"/>
                <w:sz w:val="20"/>
              </w:rPr>
              <w:t>Low-cost textile 3D print; long setup time (&gt;30 min).</w:t>
            </w:r>
          </w:p>
        </w:tc>
      </w:tr>
      <w:tr>
        <w:trPr>
          <w:cantSplit/>
        </w:trPr>
        <w:tc>
          <w:tcPr>
            <w:tcW w:type="dxa" w:w="864"/>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304"/>
            <w:shd w:fill="FFFFFF"/>
          </w:tcPr>
          <w:p>
            <w:pPr>
              <w:spacing w:before="60" w:after="60" w:line="276" w:lineRule="auto"/>
              <w:jc w:val="left"/>
            </w:pPr>
            <w:r>
              <w:rPr>
                <w:rFonts w:ascii="Times New Roman" w:hAnsi="Times New Roman"/>
                <w:sz w:val="20"/>
              </w:rPr>
              <w:t>Bilateral sync; lacks neural intention decoding.</w:t>
            </w:r>
          </w:p>
        </w:tc>
      </w:tr>
      <w:tr>
        <w:trPr>
          <w:cantSplit/>
        </w:trPr>
        <w:tc>
          <w:tcPr>
            <w:tcW w:type="dxa" w:w="864"/>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304"/>
            <w:shd w:fill="F7F9FC"/>
          </w:tcPr>
          <w:p>
            <w:pPr>
              <w:spacing w:before="60" w:after="60" w:line="276" w:lineRule="auto"/>
              <w:jc w:val="left"/>
            </w:pPr>
            <w:r>
              <w:rPr>
                <w:rFonts w:ascii="Times New Roman" w:hAnsi="Times New Roman"/>
                <w:sz w:val="20"/>
              </w:rPr>
              <w:t>Effective grip control; purely mechanical trigger.</w:t>
            </w:r>
          </w:p>
        </w:tc>
      </w:tr>
      <w:tr>
        <w:trPr>
          <w:cantSplit/>
        </w:trPr>
        <w:tc>
          <w:tcPr>
            <w:tcW w:type="dxa" w:w="864"/>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304"/>
            <w:shd w:fill="FFFFFF"/>
          </w:tcPr>
          <w:p>
            <w:pPr>
              <w:spacing w:before="60" w:after="60" w:line="276" w:lineRule="auto"/>
              <w:jc w:val="left"/>
            </w:pPr>
            <w:r>
              <w:rPr>
                <w:rFonts w:ascii="Times New Roman" w:hAnsi="Times New Roman"/>
                <w:sz w:val="20"/>
              </w:rPr>
              <w:t>Validated around-the-ear feasibility; no exoskeleton.</w:t>
            </w:r>
          </w:p>
        </w:tc>
      </w:tr>
      <w:tr>
        <w:trPr>
          <w:cantSplit/>
        </w:trPr>
        <w:tc>
          <w:tcPr>
            <w:tcW w:type="dxa" w:w="864"/>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304"/>
            <w:shd w:fill="F7F9FC"/>
          </w:tcPr>
          <w:p>
            <w:pPr>
              <w:spacing w:before="60" w:after="60" w:line="276" w:lineRule="auto"/>
              <w:jc w:val="left"/>
            </w:pPr>
            <w:r>
              <w:rPr>
                <w:rFonts w:ascii="Times New Roman" w:hAnsi="Times New Roman"/>
                <w:sz w:val="20"/>
              </w:rPr>
              <w:t>Open adapter design; lacks classifier integration.</w:t>
            </w:r>
          </w:p>
        </w:tc>
      </w:tr>
      <w:tr>
        <w:trPr>
          <w:cantSplit/>
        </w:trPr>
        <w:tc>
          <w:tcPr>
            <w:tcW w:type="dxa" w:w="864"/>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304"/>
            <w:shd w:fill="FFFFFF"/>
          </w:tcPr>
          <w:p>
            <w:pPr>
              <w:spacing w:before="60" w:after="60" w:line="276" w:lineRule="auto"/>
              <w:jc w:val="left"/>
            </w:pPr>
            <w:r>
              <w:rPr>
                <w:rFonts w:ascii="Times New Roman" w:hAnsi="Times New Roman"/>
                <w:sz w:val="20"/>
              </w:rPr>
              <w:t>63-68% P300 accuracy around ear; proved ERP viability.</w:t>
            </w:r>
          </w:p>
        </w:tc>
      </w:tr>
      <w:tr>
        <w:trPr>
          <w:cantSplit/>
        </w:trPr>
        <w:tc>
          <w:tcPr>
            <w:tcW w:type="dxa" w:w="864"/>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304"/>
            <w:shd w:fill="F7F9FC"/>
          </w:tcPr>
          <w:p>
            <w:pPr>
              <w:spacing w:before="60" w:after="60" w:line="276" w:lineRule="auto"/>
              <w:jc w:val="left"/>
            </w:pPr>
            <w:r>
              <w:rPr>
                <w:rFonts w:ascii="Times New Roman" w:hAnsi="Times New Roman"/>
                <w:sz w:val="20"/>
              </w:rPr>
              <w:t>Proved sequential cross-limb recovery; $40k+ cost.</w:t>
            </w:r>
          </w:p>
        </w:tc>
      </w:tr>
      <w:tr>
        <w:trPr>
          <w:cantSplit/>
        </w:trPr>
        <w:tc>
          <w:tcPr>
            <w:tcW w:type="dxa" w:w="864"/>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304"/>
            <w:shd w:fill="FFFFFF"/>
          </w:tcPr>
          <w:p>
            <w:pPr>
              <w:spacing w:before="60" w:after="60" w:line="276" w:lineRule="auto"/>
              <w:jc w:val="left"/>
            </w:pPr>
            <w:r>
              <w:rPr>
                <w:rFonts w:ascii="Times New Roman" w:hAnsi="Times New Roman"/>
                <w:sz w:val="20"/>
              </w:rPr>
              <w:t>91.2% accuracy; too heavy for low-power edge MCU.</w:t>
            </w:r>
          </w:p>
        </w:tc>
      </w:tr>
      <w:tr>
        <w:trPr>
          <w:cantSplit/>
        </w:trPr>
        <w:tc>
          <w:tcPr>
            <w:tcW w:type="dxa" w:w="864"/>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304"/>
            <w:shd w:fill="F7F9FC"/>
          </w:tcPr>
          <w:p>
            <w:pPr>
              <w:spacing w:before="60" w:after="60" w:line="276" w:lineRule="auto"/>
              <w:jc w:val="left"/>
            </w:pPr>
            <w:r>
              <w:rPr>
                <w:rFonts w:ascii="Times New Roman" w:hAnsi="Times New Roman"/>
                <w:sz w:val="20"/>
              </w:rPr>
              <w:t>Proved multimodal reliability; visual flicker fatigue.</w:t>
            </w:r>
          </w:p>
        </w:tc>
      </w:tr>
      <w:tr>
        <w:trPr>
          <w:cantSplit/>
        </w:trPr>
        <w:tc>
          <w:tcPr>
            <w:tcW w:type="dxa" w:w="864"/>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304"/>
            <w:shd w:fill="FFFFFF"/>
          </w:tcPr>
          <w:p>
            <w:pPr>
              <w:spacing w:before="60" w:after="60" w:line="276" w:lineRule="auto"/>
              <w:jc w:val="left"/>
            </w:pPr>
            <w:r>
              <w:rPr>
                <w:rFonts w:ascii="Times New Roman" w:hAnsi="Times New Roman"/>
                <w:sz w:val="20"/>
              </w:rPr>
              <w:t>Validated ocular veto in ear footprint; Nature 2025.</w:t>
            </w:r>
          </w:p>
        </w:tc>
      </w:tr>
      <w:tr>
        <w:trPr>
          <w:cantSplit/>
        </w:trPr>
        <w:tc>
          <w:tcPr>
            <w:tcW w:type="dxa" w:w="864"/>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304"/>
            <w:shd w:fill="F7F9FC"/>
          </w:tcPr>
          <w:p>
            <w:pPr>
              <w:spacing w:before="60" w:after="60" w:line="276" w:lineRule="auto"/>
              <w:jc w:val="left"/>
            </w:pPr>
            <w:r>
              <w:rPr>
                <w:rFonts w:ascii="Times New Roman" w:hAnsi="Times New Roman"/>
                <w:sz w:val="20"/>
              </w:rPr>
              <w:t>Emphasized critical need for redundant hard E-stops.</w:t>
            </w:r>
          </w:p>
        </w:tc>
      </w:tr>
      <w:tr>
        <w:trPr>
          <w:cantSplit/>
        </w:trPr>
        <w:tc>
          <w:tcPr>
            <w:tcW w:type="dxa" w:w="864"/>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304"/>
            <w:shd w:fill="FFFFFF"/>
          </w:tcPr>
          <w:p>
            <w:pPr>
              <w:spacing w:before="60" w:after="60" w:line="276" w:lineRule="auto"/>
              <w:jc w:val="left"/>
            </w:pPr>
            <w:r>
              <w:rPr>
                <w:rFonts w:ascii="Times New Roman" w:hAnsi="Times New Roman"/>
                <w:sz w:val="20"/>
              </w:rPr>
              <w:t>Proved active neural intent essential for FMA recovery.</w:t>
            </w:r>
          </w:p>
        </w:tc>
      </w:tr>
      <w:tr>
        <w:trPr>
          <w:cantSplit/>
        </w:trPr>
        <w:tc>
          <w:tcPr>
            <w:tcW w:type="dxa" w:w="864"/>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304"/>
            <w:shd w:fill="F7F9FC"/>
          </w:tcPr>
          <w:p>
            <w:pPr>
              <w:spacing w:before="60" w:after="60" w:line="276" w:lineRule="auto"/>
              <w:jc w:val="left"/>
            </w:pPr>
            <w:r>
              <w:rPr>
                <w:rFonts w:ascii="Times New Roman" w:hAnsi="Times New Roman"/>
                <w:sz w:val="20"/>
              </w:rPr>
              <w:t>Alpha power tracks mental fatigue; high compute.</w:t>
            </w:r>
          </w:p>
        </w:tc>
      </w:tr>
      <w:tr>
        <w:trPr>
          <w:cantSplit/>
        </w:trPr>
        <w:tc>
          <w:tcPr>
            <w:tcW w:type="dxa" w:w="864"/>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304"/>
            <w:shd w:fill="FFFFFF"/>
          </w:tcPr>
          <w:p>
            <w:pPr>
              <w:spacing w:before="60" w:after="60" w:line="276" w:lineRule="auto"/>
              <w:jc w:val="left"/>
            </w:pPr>
            <w:r>
              <w:rPr>
                <w:rFonts w:ascii="Times New Roman" w:hAnsi="Times New Roman"/>
                <w:sz w:val="20"/>
              </w:rPr>
              <w:t>Validated MI trajectory; requires central C3/C4 leads.</w:t>
            </w:r>
          </w:p>
        </w:tc>
      </w:tr>
      <w:tr>
        <w:trPr>
          <w:cantSplit/>
        </w:trPr>
        <w:tc>
          <w:tcPr>
            <w:tcW w:type="dxa" w:w="864"/>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304"/>
            <w:shd w:fill="F7F9FC"/>
          </w:tcPr>
          <w:p>
            <w:pPr>
              <w:spacing w:before="60" w:after="60" w:line="276" w:lineRule="auto"/>
              <w:jc w:val="left"/>
            </w:pPr>
            <w:r>
              <w:rPr>
                <w:rFonts w:ascii="Times New Roman" w:hAnsi="Times New Roman"/>
                <w:sz w:val="20"/>
              </w:rPr>
              <w:t>Discrete state transitions essential for leg stability.</w:t>
            </w:r>
          </w:p>
        </w:tc>
      </w:tr>
      <w:tr>
        <w:trPr>
          <w:cantSplit/>
        </w:trPr>
        <w:tc>
          <w:tcPr>
            <w:tcW w:type="dxa" w:w="864"/>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304"/>
            <w:shd w:fill="FFFFFF"/>
          </w:tcPr>
          <w:p>
            <w:pPr>
              <w:spacing w:before="60" w:after="60" w:line="276" w:lineRule="auto"/>
              <w:jc w:val="left"/>
            </w:pPr>
            <w:r>
              <w:rPr>
                <w:rFonts w:ascii="Times New Roman" w:hAnsi="Times New Roman"/>
                <w:sz w:val="20"/>
              </w:rPr>
              <w:t>Digital twin monitoring; no lightweight around-ear EEG.</w:t>
            </w:r>
          </w:p>
        </w:tc>
      </w:tr>
    </w:tbl>
    <w:p>
      <w:pPr>
        <w:keepNext/>
        <w:spacing w:before="280" w:after="120" w:line="276" w:lineRule="auto"/>
      </w:pPr>
      <w:r>
        <w:rPr>
          <w:rFonts w:ascii="Times New Roman" w:hAnsi="Times New Roman"/>
          <w:b/>
          <w:color w:val="000000"/>
          <w:sz w:val="28"/>
        </w:rPr>
        <w:t>2.8 IDENTIFICATION OF RESEARCH GAPS</w:t>
      </w:r>
    </w:p>
    <w:p>
      <w:pPr>
        <w:spacing w:before="0" w:after="120" w:line="360" w:lineRule="auto"/>
        <w:jc w:val="both"/>
      </w:pPr>
      <w:r>
        <w:rPr>
          <w:rFonts w:ascii="Times New Roman" w:hAnsi="Times New Roman"/>
          <w:b w:val="0"/>
          <w:i w:val="0"/>
          <w:color w:val="000000"/>
          <w:sz w:val="24"/>
        </w:rPr>
        <w:t>From the synthesis of the 17 core publications, three glaring research gaps emerge:</w:t>
      </w:r>
    </w:p>
    <w:p>
      <w:pPr>
        <w:spacing w:before="0" w:after="60" w:line="360" w:lineRule="auto"/>
        <w:jc w:val="both"/>
      </w:pPr>
      <w:r>
        <w:rPr>
          <w:rFonts w:ascii="Times New Roman" w:hAnsi="Times New Roman"/>
          <w:b w:val="0"/>
          <w:i w:val="0"/>
          <w:color w:val="000000"/>
          <w:sz w:val="24"/>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color w:val="000000"/>
          <w:sz w:val="24"/>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color w:val="000000"/>
          <w:sz w:val="24"/>
        </w:rPr>
        <w:t>3. The Safety Latency Gap: Existing BCI robotics rely on software timeouts or external push-buttons. No prior system integrates sub-15ms biological emergency veto gating directly derived from the same periauricular headset.</w:t>
      </w:r>
    </w:p>
    <w:p>
      <w:pPr>
        <w:keepNext/>
        <w:spacing w:before="160" w:after="80"/>
        <w:jc w:val="left"/>
      </w:pPr>
      <w:r>
        <w:rPr>
          <w:rFonts w:ascii="Times New Roman" w:hAnsi="Times New Roman"/>
          <w:b/>
          <w:color w:val="000000"/>
          <w:sz w:val="20"/>
        </w:rPr>
        <w:t>Table 2.2: Identification of Critical Research Gaps and Project Resolution Strategy</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rPr>
          <w:tblHeader/>
          <w:cantSplit/>
        </w:trP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rPr>
          <w:cantSplit/>
        </w:trP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rPr>
          <w:cantSplit/>
        </w:trP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rPr>
          <w:cantSplit/>
        </w:trP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keepNext/>
        <w:spacing w:before="280" w:after="120" w:line="276" w:lineRule="auto"/>
      </w:pPr>
      <w:r>
        <w:rPr>
          <w:rFonts w:ascii="Times New Roman" w:hAnsi="Times New Roman"/>
          <w:b/>
          <w:color w:val="000000"/>
          <w:sz w:val="28"/>
        </w:rPr>
        <w:t>2.9 CHAPTER SUMMARY</w:t>
      </w:r>
    </w:p>
    <w:p>
      <w:pPr>
        <w:spacing w:before="0" w:after="120" w:line="360" w:lineRule="auto"/>
        <w:jc w:val="both"/>
      </w:pPr>
      <w:r>
        <w:rPr>
          <w:rFonts w:ascii="Times New Roman" w:hAnsi="Times New Roman"/>
          <w:b w:val="0"/>
          <w:i w:val="0"/>
          <w:color w:val="000000"/>
          <w:sz w:val="24"/>
        </w:rPr>
        <w:t>This chapter reviewed 17 core publications across BCI neurorehabilitation, periauricular biosensing, exoskeleton mechanics, edge machine learning, and medical safety interlocks. The synthesis revealed three fundamental research voids: the scalp-cap wearability gap, the cross-limb silo gap, and the safety latency gap. By pairing around-the-ear multi-biosignal arrays with low-complexity SWLDA classifiers, dual-module actuation, and sub-15ms EOG veto overrides, the proposed architecture directly resolves each identified void.</w:t>
      </w:r>
    </w:p>
    <w:p>
      <w:r>
        <w:br w:type="page"/>
      </w:r>
    </w:p>
    <w:p>
      <w:pPr>
        <w:keepNext/>
        <w:spacing w:before="400" w:after="240" w:line="276" w:lineRule="auto"/>
        <w:jc w:val="center"/>
      </w:pPr>
      <w:r>
        <w:rPr>
          <w:rFonts w:ascii="Times New Roman" w:hAnsi="Times New Roman"/>
          <w:b/>
          <w:color w:val="000000"/>
          <w:sz w:val="32"/>
        </w:rPr>
        <w:t>CHAPTER 3</w:t>
        <w:br/>
        <w:t>METHODOLOGY AND SYSTEM ARCHITECTURE</w:t>
      </w:r>
    </w:p>
    <w:p>
      <w:pPr>
        <w:keepNext/>
        <w:spacing w:before="280" w:after="120" w:line="276" w:lineRule="auto"/>
      </w:pPr>
      <w:r>
        <w:rPr>
          <w:rFonts w:ascii="Times New Roman" w:hAnsi="Times New Roman"/>
          <w:b/>
          <w:color w:val="000000"/>
          <w:sz w:val="28"/>
        </w:rPr>
        <w:t>3.1 FOUR-TIER SYSTEM ARCHITECTURE OVERVIEW</w:t>
      </w:r>
    </w:p>
    <w:p>
      <w:pPr>
        <w:spacing w:before="0" w:after="120" w:line="360" w:lineRule="auto"/>
        <w:jc w:val="both"/>
      </w:pPr>
      <w:r>
        <w:rPr>
          <w:rFonts w:ascii="Times New Roman" w:hAnsi="Times New Roman"/>
          <w:b w:val="0"/>
          <w:i w:val="0"/>
          <w:color w:val="000000"/>
          <w:sz w:val="24"/>
        </w:rPr>
        <w:t>To address the research gaps, the proposed system implements an end-to-end, four-tier hardware and software architecture designed for deterministic real-time operation, low compute overhead, and high safety.</w:t>
      </w:r>
    </w:p>
    <w:p>
      <w:pPr>
        <w:spacing w:before="160" w:after="80"/>
        <w:jc w:val="center"/>
      </w:pPr>
      <w:r>
        <w:drawing>
          <wp:inline xmlns:a="http://schemas.openxmlformats.org/drawingml/2006/main" xmlns:pic="http://schemas.openxmlformats.org/drawingml/2006/picture">
            <wp:extent cx="5486400" cy="3359888"/>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5"/>
                    <a:stretch>
                      <a:fillRect/>
                    </a:stretch>
                  </pic:blipFill>
                  <pic:spPr>
                    <a:xfrm>
                      <a:off x="0" y="0"/>
                      <a:ext cx="5486400" cy="3359888"/>
                    </a:xfrm>
                    <a:prstGeom prst="rect"/>
                  </pic:spPr>
                </pic:pic>
              </a:graphicData>
            </a:graphic>
          </wp:inline>
        </w:drawing>
      </w:r>
    </w:p>
    <w:p>
      <w:pPr>
        <w:spacing w:before="40" w:after="200"/>
        <w:jc w:val="center"/>
      </w:pPr>
      <w:r>
        <w:rPr>
          <w:rFonts w:ascii="Times New Roman" w:hAnsi="Times New Roman"/>
          <w:b/>
          <w:color w:val="000000"/>
          <w:sz w:val="20"/>
        </w:rPr>
        <w:t>Figure 3.1: Four-Tier End-to-End System Architecture Block Diagram</w:t>
      </w:r>
    </w:p>
    <w:p>
      <w:pPr>
        <w:spacing w:before="0" w:after="120" w:line="360" w:lineRule="auto"/>
        <w:jc w:val="both"/>
      </w:pPr>
      <w:r>
        <w:rPr>
          <w:rFonts w:ascii="Times New Roman" w:hAnsi="Times New Roman"/>
          <w:b w:val="0"/>
          <w:i w:val="0"/>
          <w:color w:val="000000"/>
          <w:sz w:val="24"/>
        </w:rPr>
        <w:t>Figure 3.1 delineates the functional demarcation and bidirectional telemetry flow across all four operational tiers:</w:t>
      </w:r>
    </w:p>
    <w:p>
      <w:pPr>
        <w:spacing w:before="0" w:after="60" w:line="360" w:lineRule="auto"/>
        <w:jc w:val="both"/>
      </w:pPr>
      <w:r>
        <w:rPr>
          <w:rFonts w:ascii="Times New Roman" w:hAnsi="Times New Roman"/>
          <w:b w:val="0"/>
          <w:i w:val="0"/>
          <w:color w:val="000000"/>
          <w:sz w:val="24"/>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color w:val="000000"/>
          <w:sz w:val="24"/>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color w:val="000000"/>
          <w:sz w:val="24"/>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color w:val="000000"/>
          <w:sz w:val="24"/>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000000"/>
          <w:sz w:val="28"/>
        </w:rPr>
        <w:t>3.2 TIER 1: BIOSIGNAL ACQUISITION SUBSYSTEM</w:t>
      </w:r>
    </w:p>
    <w:p>
      <w:pPr>
        <w:spacing w:before="0" w:after="120" w:line="360" w:lineRule="auto"/>
        <w:jc w:val="both"/>
      </w:pPr>
      <w:r>
        <w:rPr>
          <w:rFonts w:ascii="Times New Roman" w:hAnsi="Times New Roman"/>
          <w:b w:val="0"/>
          <w:i w:val="0"/>
          <w:color w:val="000000"/>
          <w:sz w:val="24"/>
        </w:rPr>
        <w:t>The signal acquisition layer supports dual hardware modalities:</w:t>
      </w:r>
    </w:p>
    <w:p>
      <w:pPr>
        <w:spacing w:before="0" w:after="60" w:line="360" w:lineRule="auto"/>
        <w:jc w:val="both"/>
      </w:pPr>
      <w:r>
        <w:rPr>
          <w:rFonts w:ascii="Times New Roman" w:hAnsi="Times New Roman"/>
          <w:b w:val="0"/>
          <w:i w:val="0"/>
          <w:color w:val="000000"/>
          <w:sz w:val="24"/>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color w:val="000000"/>
          <w:sz w:val="24"/>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color w:val="000000"/>
          <w:sz w:val="24"/>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000000"/>
          <w:sz w:val="28"/>
        </w:rPr>
        <w:t>3.3 TIER 2: PREPROCESSING AND SIGNAL CONDITIONING PIPELINE</w:t>
      </w:r>
    </w:p>
    <w:p>
      <w:pPr>
        <w:spacing w:before="0" w:after="120" w:line="360" w:lineRule="auto"/>
        <w:jc w:val="both"/>
      </w:pPr>
      <w:r>
        <w:rPr>
          <w:rFonts w:ascii="Times New Roman" w:hAnsi="Times New Roman"/>
          <w:b w:val="0"/>
          <w:i w:val="0"/>
          <w:color w:val="000000"/>
          <w:sz w:val="24"/>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color w:val="000000"/>
          <w:sz w:val="24"/>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color w:val="000000"/>
          <w:sz w:val="24"/>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color w:val="000000"/>
          <w:sz w:val="24"/>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000000"/>
          <w:sz w:val="28"/>
        </w:rPr>
        <w:t>3.4 FEATURE EXTRACTION FORMULATIONS</w:t>
      </w:r>
    </w:p>
    <w:p>
      <w:pPr>
        <w:spacing w:before="0" w:after="120" w:line="360" w:lineRule="auto"/>
        <w:jc w:val="both"/>
      </w:pPr>
      <w:r>
        <w:rPr>
          <w:rFonts w:ascii="Times New Roman" w:hAnsi="Times New Roman"/>
          <w:b w:val="0"/>
          <w:i w:val="0"/>
          <w:color w:val="000000"/>
          <w:sz w:val="24"/>
        </w:rPr>
        <w:t>Four distinct biological intent representations are extracted concurrently from the filtered 2.0-second window:</w:t>
      </w:r>
    </w:p>
    <w:p>
      <w:pPr>
        <w:keepNext/>
        <w:spacing w:before="200" w:after="80" w:line="276" w:lineRule="auto"/>
      </w:pPr>
      <w:r>
        <w:rPr>
          <w:rFonts w:ascii="Times New Roman" w:hAnsi="Times New Roman"/>
          <w:b/>
          <w:i w:val="0"/>
          <w:color w:val="000000"/>
          <w:sz w:val="24"/>
        </w:rPr>
        <w:t>3.4.1 PRIORITY 1: EOG DOUBLE-BLINK EMERGENCY VETO</w:t>
      </w:r>
    </w:p>
    <w:p>
      <w:pPr>
        <w:spacing w:before="0" w:after="120" w:line="360" w:lineRule="auto"/>
        <w:jc w:val="both"/>
      </w:pPr>
      <w:r>
        <w:rPr>
          <w:rFonts w:ascii="Times New Roman" w:hAnsi="Times New Roman"/>
          <w:b w:val="0"/>
          <w:i w:val="0"/>
          <w:color w:val="000000"/>
          <w:sz w:val="24"/>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val="0"/>
          <w:color w:val="000000"/>
          <w:sz w:val="24"/>
        </w:rPr>
        <w:t>3.4.2 PRIORITY 2: HIGH-GAMMA TEMPORALIS CLENCH TRIGGER</w:t>
      </w:r>
    </w:p>
    <w:p>
      <w:pPr>
        <w:spacing w:before="0" w:after="120" w:line="360" w:lineRule="auto"/>
        <w:jc w:val="both"/>
      </w:pPr>
      <w:r>
        <w:rPr>
          <w:rFonts w:ascii="Times New Roman" w:hAnsi="Times New Roman"/>
          <w:b w:val="0"/>
          <w:i w:val="0"/>
          <w:color w:val="000000"/>
          <w:sz w:val="24"/>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val="0"/>
          <w:color w:val="000000"/>
          <w:sz w:val="24"/>
        </w:rPr>
        <w:t>3.4.3 PRIORITY 2.5: SENSORIMOTOR MOTOR INTENT (HAND VS. LEG)</w:t>
      </w:r>
    </w:p>
    <w:p>
      <w:pPr>
        <w:spacing w:before="0" w:after="120" w:line="360" w:lineRule="auto"/>
        <w:jc w:val="both"/>
      </w:pPr>
      <w:r>
        <w:rPr>
          <w:rFonts w:ascii="Times New Roman" w:hAnsi="Times New Roman"/>
          <w:b w:val="0"/>
          <w:i w:val="0"/>
          <w:color w:val="000000"/>
          <w:sz w:val="24"/>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val="0"/>
          <w:color w:val="000000"/>
          <w:sz w:val="24"/>
        </w:rPr>
        <w:t>3.4.4 PRIORITY 3: P300 ODDBALL ERP VIA SWLDA</w:t>
      </w:r>
    </w:p>
    <w:p>
      <w:pPr>
        <w:spacing w:before="0" w:after="120" w:line="360" w:lineRule="auto"/>
        <w:jc w:val="both"/>
      </w:pPr>
      <w:r>
        <w:rPr>
          <w:rFonts w:ascii="Times New Roman" w:hAnsi="Times New Roman"/>
          <w:b w:val="0"/>
          <w:i w:val="0"/>
          <w:color w:val="000000"/>
          <w:sz w:val="24"/>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val="0"/>
          <w:color w:val="000000"/>
          <w:sz w:val="24"/>
        </w:rPr>
        <w:t>3.4.5 PRIORITY 4: ALPHA-BAND WORKLOAD GATING</w:t>
      </w:r>
    </w:p>
    <w:p>
      <w:pPr>
        <w:spacing w:before="0" w:after="120" w:line="360" w:lineRule="auto"/>
        <w:jc w:val="both"/>
      </w:pPr>
      <w:r>
        <w:rPr>
          <w:rFonts w:ascii="Times New Roman" w:hAnsi="Times New Roman"/>
          <w:b w:val="0"/>
          <w:i w:val="0"/>
          <w:color w:val="000000"/>
          <w:sz w:val="24"/>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000000"/>
          <w:sz w:val="28"/>
        </w:rPr>
        <w:t>3.5 CLASSIFIER ALGORITHMS: SWLDA AND WORKLOAD LDA</w:t>
      </w:r>
    </w:p>
    <w:p>
      <w:pPr>
        <w:spacing w:before="0" w:after="120" w:line="360" w:lineRule="auto"/>
        <w:jc w:val="both"/>
      </w:pPr>
      <w:r>
        <w:rPr>
          <w:rFonts w:ascii="Times New Roman" w:hAnsi="Times New Roman"/>
          <w:b w:val="0"/>
          <w:i w:val="0"/>
          <w:color w:val="000000"/>
          <w:sz w:val="24"/>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color w:val="000000"/>
          <w:sz w:val="24"/>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000000"/>
          <w:sz w:val="28"/>
        </w:rPr>
        <w:t>3.6 PRIORITY ARBITRATOR AND SAFETY STATE MACHINE</w:t>
      </w:r>
    </w:p>
    <w:p>
      <w:pPr>
        <w:spacing w:before="0" w:after="120" w:line="360" w:lineRule="auto"/>
        <w:jc w:val="both"/>
      </w:pPr>
      <w:r>
        <w:rPr>
          <w:rFonts w:ascii="Times New Roman" w:hAnsi="Times New Roman"/>
          <w:b w:val="0"/>
          <w:i w:val="0"/>
          <w:color w:val="000000"/>
          <w:sz w:val="24"/>
        </w:rPr>
        <w:t>To eliminate conflicting commands and ensure clinical safety, the Arbitrator enforces a strict five-level priority cascade.</w:t>
      </w:r>
    </w:p>
    <w:p>
      <w:pPr>
        <w:spacing w:before="160" w:after="80"/>
        <w:jc w:val="center"/>
      </w:pPr>
      <w:r>
        <w:drawing>
          <wp:inline xmlns:a="http://schemas.openxmlformats.org/drawingml/2006/main" xmlns:pic="http://schemas.openxmlformats.org/drawingml/2006/picture">
            <wp:extent cx="5486400" cy="4228051"/>
            <wp:docPr id="4" name="Picture 4"/>
            <wp:cNvGraphicFramePr>
              <a:graphicFrameLocks noChangeAspect="1"/>
            </wp:cNvGraphicFramePr>
            <a:graphic>
              <a:graphicData uri="http://schemas.openxmlformats.org/drawingml/2006/picture">
                <pic:pic>
                  <pic:nvPicPr>
                    <pic:cNvPr id="0" name="fig_3_2_arbitration_flowchart.png"/>
                    <pic:cNvPicPr/>
                  </pic:nvPicPr>
                  <pic:blipFill>
                    <a:blip r:embed="rId16"/>
                    <a:stretch>
                      <a:fillRect/>
                    </a:stretch>
                  </pic:blipFill>
                  <pic:spPr>
                    <a:xfrm>
                      <a:off x="0" y="0"/>
                      <a:ext cx="5486400" cy="4228051"/>
                    </a:xfrm>
                    <a:prstGeom prst="rect"/>
                  </pic:spPr>
                </pic:pic>
              </a:graphicData>
            </a:graphic>
          </wp:inline>
        </w:drawing>
      </w:r>
    </w:p>
    <w:p>
      <w:pPr>
        <w:spacing w:before="40" w:after="200"/>
        <w:jc w:val="center"/>
      </w:pPr>
      <w:r>
        <w:rPr>
          <w:rFonts w:ascii="Times New Roman" w:hAnsi="Times New Roman"/>
          <w:b/>
          <w:color w:val="000000"/>
          <w:sz w:val="20"/>
        </w:rPr>
        <w:t>Figure 3.2: Priority Arbitration State Machine and Dwell-Time Safety Flowchart</w:t>
      </w:r>
    </w:p>
    <w:p>
      <w:pPr>
        <w:spacing w:before="0" w:after="120" w:line="360" w:lineRule="auto"/>
        <w:jc w:val="both"/>
      </w:pPr>
      <w:r>
        <w:rPr>
          <w:rFonts w:ascii="Times New Roman" w:hAnsi="Times New Roman"/>
          <w:b w:val="0"/>
          <w:i w:val="0"/>
          <w:color w:val="000000"/>
          <w:sz w:val="24"/>
        </w:rPr>
        <w:t>Figure 3.2 details the operational decision flow and dwell-time confirmation logic executed on every 100 ms inference frame:</w:t>
      </w:r>
    </w:p>
    <w:p>
      <w:pPr>
        <w:spacing w:before="0" w:after="60" w:line="360" w:lineRule="auto"/>
        <w:jc w:val="both"/>
      </w:pPr>
      <w:r>
        <w:rPr>
          <w:rFonts w:ascii="Times New Roman" w:hAnsi="Times New Roman"/>
          <w:b w:val="0"/>
          <w:i w:val="0"/>
          <w:color w:val="000000"/>
          <w:sz w:val="24"/>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color w:val="000000"/>
          <w:sz w:val="24"/>
        </w:rPr>
        <w:t>• Priority 2: Temporalis Jaw-Clench Burst → Command Hand Close (0x20). Requires 300 ms dwell-time confirmation.</w:t>
      </w:r>
    </w:p>
    <w:p>
      <w:pPr>
        <w:spacing w:before="0" w:after="60" w:line="360" w:lineRule="auto"/>
        <w:jc w:val="both"/>
      </w:pPr>
      <w:r>
        <w:rPr>
          <w:rFonts w:ascii="Times New Roman" w:hAnsi="Times New Roman"/>
          <w:b w:val="0"/>
          <w:i w:val="0"/>
          <w:color w:val="000000"/>
          <w:sz w:val="24"/>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color w:val="000000"/>
          <w:sz w:val="24"/>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color w:val="000000"/>
          <w:sz w:val="24"/>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000000"/>
          <w:sz w:val="28"/>
        </w:rPr>
        <w:t>3.7 BINARY TELEMETRY PROTOCOL AND PACKET SERIALIZATION</w:t>
      </w:r>
    </w:p>
    <w:p>
      <w:pPr>
        <w:spacing w:before="0" w:after="120" w:line="360" w:lineRule="auto"/>
        <w:jc w:val="both"/>
      </w:pPr>
      <w:r>
        <w:rPr>
          <w:rFonts w:ascii="Times New Roman" w:hAnsi="Times New Roman"/>
          <w:b w:val="0"/>
          <w:i w:val="0"/>
          <w:color w:val="000000"/>
          <w:sz w:val="24"/>
        </w:rPr>
        <w:t>Validated decisions are serialized by PacketEncoder into a deterministic 7-byte binary UART frame transmitted at 115200 baud:</w:t>
      </w:r>
    </w:p>
    <w:p>
      <w:pPr>
        <w:keepNext/>
        <w:spacing w:before="160" w:after="80"/>
        <w:jc w:val="left"/>
      </w:pPr>
      <w:r>
        <w:rPr>
          <w:rFonts w:ascii="Times New Roman" w:hAnsi="Times New Roman"/>
          <w:b/>
          <w:color w:val="000000"/>
          <w:sz w:val="20"/>
        </w:rPr>
        <w:t>Table 3.1: UART Binary Telemetry Packet Structure (7-Byte Frame Protocol)</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rPr>
          <w:cantSplit/>
        </w:trP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rPr>
          <w:cantSplit/>
        </w:trP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rPr>
          <w:cantSplit/>
        </w:trP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rPr>
          <w:cantSplit/>
        </w:trP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rPr>
          <w:cantSplit/>
        </w:trP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rPr>
          <w:cantSplit/>
        </w:trP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rPr>
          <w:cantSplit/>
        </w:trP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keepNext/>
        <w:spacing w:before="280" w:after="120" w:line="276" w:lineRule="auto"/>
      </w:pPr>
      <w:r>
        <w:rPr>
          <w:rFonts w:ascii="Times New Roman" w:hAnsi="Times New Roman"/>
          <w:b/>
          <w:color w:val="000000"/>
          <w:sz w:val="28"/>
        </w:rPr>
        <w:t>3.8 TIER 3: REAL-TIME ACTUATION AND FREERTOS MCU ARCHITECTURE</w:t>
      </w:r>
    </w:p>
    <w:p>
      <w:pPr>
        <w:spacing w:before="0" w:after="120" w:line="360" w:lineRule="auto"/>
        <w:jc w:val="both"/>
      </w:pPr>
      <w:r>
        <w:rPr>
          <w:rFonts w:ascii="Times New Roman" w:hAnsi="Times New Roman"/>
          <w:b w:val="0"/>
          <w:i w:val="0"/>
          <w:color w:val="000000"/>
          <w:sz w:val="24"/>
        </w:rPr>
        <w:t>The ESP32-P4 microcontroller runs dual-core FreeRTOS firmware to guarantee deterministic motor control without timing jitter:</w:t>
      </w:r>
    </w:p>
    <w:p>
      <w:pPr>
        <w:keepNext/>
        <w:spacing w:before="160" w:after="80"/>
        <w:jc w:val="left"/>
      </w:pPr>
      <w:r>
        <w:rPr>
          <w:rFonts w:ascii="Times New Roman" w:hAnsi="Times New Roman"/>
          <w:b/>
          <w:color w:val="000000"/>
          <w:sz w:val="20"/>
        </w:rPr>
        <w:t>Table 3.2: ESP32-P4 FreeRTOS Dual-Core Real-Time Task Allocation</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rPr>
          <w:cantSplit/>
        </w:trP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rPr>
          <w:cantSplit/>
        </w:trP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rPr>
          <w:cantSplit/>
        </w:trP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rPr>
          <w:cantSplit/>
        </w:trP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keepNext/>
        <w:spacing w:before="280" w:after="120" w:line="276" w:lineRule="auto"/>
      </w:pPr>
      <w:r>
        <w:rPr>
          <w:rFonts w:ascii="Times New Roman" w:hAnsi="Times New Roman"/>
          <w:b/>
          <w:color w:val="000000"/>
          <w:sz w:val="28"/>
        </w:rPr>
        <w:t>3.9 TIER 4: PHYSICAL TESTBED (HAND AND LEG MODULES)</w:t>
      </w:r>
    </w:p>
    <w:p>
      <w:pPr>
        <w:spacing w:before="0" w:after="120" w:line="360" w:lineRule="auto"/>
        <w:jc w:val="both"/>
      </w:pPr>
      <w:r>
        <w:rPr>
          <w:rFonts w:ascii="Times New Roman" w:hAnsi="Times New Roman"/>
          <w:b w:val="0"/>
          <w:i w:val="0"/>
          <w:color w:val="000000"/>
          <w:sz w:val="24"/>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pPr>
        <w:keepNext/>
        <w:spacing w:before="280" w:after="120" w:line="276" w:lineRule="auto"/>
      </w:pPr>
      <w:r>
        <w:rPr>
          <w:rFonts w:ascii="Times New Roman" w:hAnsi="Times New Roman"/>
          <w:b/>
          <w:color w:val="000000"/>
          <w:sz w:val="28"/>
        </w:rPr>
        <w:t>3.10 EDGE SYSTEM POWER BUDGET AND OPERATIONAL RUNTIME</w:t>
      </w:r>
    </w:p>
    <w:p>
      <w:pPr>
        <w:spacing w:before="0" w:after="120" w:line="360" w:lineRule="auto"/>
        <w:jc w:val="both"/>
      </w:pPr>
      <w:r>
        <w:rPr>
          <w:rFonts w:ascii="Times New Roman" w:hAnsi="Times New Roman"/>
          <w:b w:val="0"/>
          <w:i w:val="0"/>
          <w:color w:val="000000"/>
          <w:sz w:val="24"/>
        </w:rPr>
        <w:t>A rigorous power budget and battery sizing analysis is essential to validate that the portable neurorehabilitation platform can operate untethered during clinical bedside or home therapy sessions without thermal throttling or brownout risk. Table 3.3 provides the empirical electrical power breakdown across all active subsystems under continuous bi-directional operation.</w:t>
      </w:r>
    </w:p>
    <w:p>
      <w:pPr>
        <w:keepNext/>
        <w:spacing w:before="160" w:after="80"/>
        <w:jc w:val="left"/>
      </w:pPr>
      <w:r>
        <w:rPr>
          <w:rFonts w:ascii="Times New Roman" w:hAnsi="Times New Roman"/>
          <w:b/>
          <w:color w:val="000000"/>
          <w:sz w:val="20"/>
        </w:rPr>
        <w:t>Table 3.3: Edge System Electrical Power Budget and Battery Operational Runtime</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rPr>
          <w:tblHeader/>
          <w:cantSplit/>
        </w:trPr>
        <w:tc>
          <w:tcPr>
            <w:tcW w:type="dxa" w:w="2592"/>
            <w:shd w:fill="002060"/>
          </w:tcPr>
          <w:p>
            <w:pPr>
              <w:spacing w:before="80" w:after="80"/>
              <w:jc w:val="center"/>
            </w:pPr>
            <w:r>
              <w:rPr>
                <w:rFonts w:ascii="Times New Roman" w:hAnsi="Times New Roman"/>
                <w:b/>
                <w:color w:val="FFFFFF"/>
                <w:sz w:val="21"/>
              </w:rPr>
              <w:t>Subsystem / Component</w:t>
            </w:r>
          </w:p>
        </w:tc>
        <w:tc>
          <w:tcPr>
            <w:tcW w:type="dxa" w:w="1296"/>
            <w:shd w:fill="002060"/>
          </w:tcPr>
          <w:p>
            <w:pPr>
              <w:spacing w:before="80" w:after="80"/>
              <w:jc w:val="center"/>
            </w:pPr>
            <w:r>
              <w:rPr>
                <w:rFonts w:ascii="Times New Roman" w:hAnsi="Times New Roman"/>
                <w:b/>
                <w:color w:val="FFFFFF"/>
                <w:sz w:val="21"/>
              </w:rPr>
              <w:t>Nominal Voltage</w:t>
            </w:r>
          </w:p>
        </w:tc>
        <w:tc>
          <w:tcPr>
            <w:tcW w:type="dxa" w:w="1152"/>
            <w:shd w:fill="002060"/>
          </w:tcPr>
          <w:p>
            <w:pPr>
              <w:spacing w:before="80" w:after="80"/>
              <w:jc w:val="center"/>
            </w:pPr>
            <w:r>
              <w:rPr>
                <w:rFonts w:ascii="Times New Roman" w:hAnsi="Times New Roman"/>
                <w:b/>
                <w:color w:val="FFFFFF"/>
                <w:sz w:val="21"/>
              </w:rPr>
              <w:t>Avg Current</w:t>
            </w:r>
          </w:p>
        </w:tc>
        <w:tc>
          <w:tcPr>
            <w:tcW w:type="dxa" w:w="1152"/>
            <w:shd w:fill="002060"/>
          </w:tcPr>
          <w:p>
            <w:pPr>
              <w:spacing w:before="80" w:after="80"/>
              <w:jc w:val="center"/>
            </w:pPr>
            <w:r>
              <w:rPr>
                <w:rFonts w:ascii="Times New Roman" w:hAnsi="Times New Roman"/>
                <w:b/>
                <w:color w:val="FFFFFF"/>
                <w:sz w:val="21"/>
              </w:rPr>
              <w:t>Peak Current</w:t>
            </w:r>
          </w:p>
        </w:tc>
        <w:tc>
          <w:tcPr>
            <w:tcW w:type="dxa" w:w="1296"/>
            <w:shd w:fill="002060"/>
          </w:tcPr>
          <w:p>
            <w:pPr>
              <w:spacing w:before="80" w:after="80"/>
              <w:jc w:val="center"/>
            </w:pPr>
            <w:r>
              <w:rPr>
                <w:rFonts w:ascii="Times New Roman" w:hAnsi="Times New Roman"/>
                <w:b/>
                <w:color w:val="FFFFFF"/>
                <w:sz w:val="21"/>
              </w:rPr>
              <w:t>Avg Power (W)</w:t>
            </w:r>
          </w:p>
        </w:tc>
        <w:tc>
          <w:tcPr>
            <w:tcW w:type="dxa" w:w="1296"/>
            <w:shd w:fill="002060"/>
          </w:tcPr>
          <w:p>
            <w:pPr>
              <w:spacing w:before="80" w:after="80"/>
              <w:jc w:val="center"/>
            </w:pPr>
            <w:r>
              <w:rPr>
                <w:rFonts w:ascii="Times New Roman" w:hAnsi="Times New Roman"/>
                <w:b/>
                <w:color w:val="FFFFFF"/>
                <w:sz w:val="21"/>
              </w:rPr>
              <w:t>Peak Power (W)</w:t>
            </w:r>
          </w:p>
        </w:tc>
        <w:tc>
          <w:tcPr>
            <w:tcW w:type="dxa" w:w="1872"/>
            <w:shd w:fill="002060"/>
          </w:tcPr>
          <w:p>
            <w:pPr>
              <w:spacing w:before="80" w:after="80"/>
              <w:jc w:val="center"/>
            </w:pPr>
            <w:r>
              <w:rPr>
                <w:rFonts w:ascii="Times New Roman" w:hAnsi="Times New Roman"/>
                <w:b/>
                <w:color w:val="FFFFFF"/>
                <w:sz w:val="21"/>
              </w:rPr>
              <w:t>Power Rail / Source</w:t>
            </w:r>
          </w:p>
        </w:tc>
      </w:tr>
      <w:tr>
        <w:trPr>
          <w:cantSplit/>
        </w:trPr>
        <w:tc>
          <w:tcPr>
            <w:tcW w:type="dxa" w:w="2592"/>
            <w:shd w:fill="FFFFFF"/>
          </w:tcPr>
          <w:p>
            <w:pPr>
              <w:spacing w:before="60" w:after="60" w:line="276" w:lineRule="auto"/>
              <w:jc w:val="left"/>
            </w:pPr>
            <w:r>
              <w:rPr>
                <w:rFonts w:ascii="Times New Roman" w:hAnsi="Times New Roman"/>
                <w:sz w:val="20"/>
              </w:rPr>
              <w:t>OpenBCI Cyton+Daisy Frontend</w:t>
            </w:r>
          </w:p>
        </w:tc>
        <w:tc>
          <w:tcPr>
            <w:tcW w:type="dxa" w:w="1296"/>
            <w:shd w:fill="FFFFFF"/>
          </w:tcPr>
          <w:p>
            <w:pPr>
              <w:spacing w:before="60" w:after="60" w:line="276" w:lineRule="auto"/>
              <w:jc w:val="right"/>
            </w:pPr>
            <w:r>
              <w:rPr>
                <w:rFonts w:ascii="Times New Roman" w:hAnsi="Times New Roman"/>
                <w:sz w:val="20"/>
              </w:rPr>
              <w:t>3.7V (Internal LiPo)</w:t>
            </w:r>
          </w:p>
        </w:tc>
        <w:tc>
          <w:tcPr>
            <w:tcW w:type="dxa" w:w="1152"/>
            <w:shd w:fill="FFFFFF"/>
          </w:tcPr>
          <w:p>
            <w:pPr>
              <w:spacing w:before="60" w:after="60" w:line="276" w:lineRule="auto"/>
              <w:jc w:val="right"/>
            </w:pPr>
            <w:r>
              <w:rPr>
                <w:rFonts w:ascii="Times New Roman" w:hAnsi="Times New Roman"/>
                <w:sz w:val="20"/>
              </w:rPr>
              <w:t>120 mA</w:t>
            </w:r>
          </w:p>
        </w:tc>
        <w:tc>
          <w:tcPr>
            <w:tcW w:type="dxa" w:w="1152"/>
            <w:shd w:fill="FFFFFF"/>
          </w:tcPr>
          <w:p>
            <w:pPr>
              <w:spacing w:before="60" w:after="60" w:line="276" w:lineRule="auto"/>
              <w:jc w:val="right"/>
            </w:pPr>
            <w:r>
              <w:rPr>
                <w:rFonts w:ascii="Times New Roman" w:hAnsi="Times New Roman"/>
                <w:sz w:val="20"/>
              </w:rPr>
              <w:t>200 mA</w:t>
            </w:r>
          </w:p>
        </w:tc>
        <w:tc>
          <w:tcPr>
            <w:tcW w:type="dxa" w:w="1296"/>
            <w:shd w:fill="FFFFFF"/>
          </w:tcPr>
          <w:p>
            <w:pPr>
              <w:spacing w:before="60" w:after="60" w:line="276" w:lineRule="auto"/>
              <w:jc w:val="right"/>
            </w:pPr>
            <w:r>
              <w:rPr>
                <w:rFonts w:ascii="Times New Roman" w:hAnsi="Times New Roman"/>
                <w:sz w:val="20"/>
              </w:rPr>
              <w:t>0.44 W</w:t>
            </w:r>
          </w:p>
        </w:tc>
        <w:tc>
          <w:tcPr>
            <w:tcW w:type="dxa" w:w="1296"/>
            <w:shd w:fill="FFFFFF"/>
          </w:tcPr>
          <w:p>
            <w:pPr>
              <w:spacing w:before="60" w:after="60" w:line="276" w:lineRule="auto"/>
              <w:jc w:val="right"/>
            </w:pPr>
            <w:r>
              <w:rPr>
                <w:rFonts w:ascii="Times New Roman" w:hAnsi="Times New Roman"/>
                <w:sz w:val="20"/>
              </w:rPr>
              <w:t>0.74 W</w:t>
            </w:r>
          </w:p>
        </w:tc>
        <w:tc>
          <w:tcPr>
            <w:tcW w:type="dxa" w:w="1872"/>
            <w:shd w:fill="FFFFFF"/>
          </w:tcPr>
          <w:p>
            <w:pPr>
              <w:spacing w:before="60" w:after="60" w:line="276" w:lineRule="auto"/>
              <w:jc w:val="left"/>
            </w:pPr>
            <w:r>
              <w:rPr>
                <w:rFonts w:ascii="Times New Roman" w:hAnsi="Times New Roman"/>
                <w:sz w:val="20"/>
              </w:rPr>
              <w:t>Internal 500 mAh LiPo (4.1 hrs)</w:t>
            </w:r>
          </w:p>
        </w:tc>
      </w:tr>
      <w:tr>
        <w:trPr>
          <w:cantSplit/>
        </w:trPr>
        <w:tc>
          <w:tcPr>
            <w:tcW w:type="dxa" w:w="2592"/>
            <w:shd w:fill="F7F9FC"/>
          </w:tcPr>
          <w:p>
            <w:pPr>
              <w:spacing w:before="60" w:after="60" w:line="276" w:lineRule="auto"/>
              <w:jc w:val="left"/>
            </w:pPr>
            <w:r>
              <w:rPr>
                <w:rFonts w:ascii="Times New Roman" w:hAnsi="Times New Roman"/>
                <w:sz w:val="20"/>
              </w:rPr>
              <w:t>NVIDIA Jetson Orin Nano Host</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850 mA</w:t>
            </w:r>
          </w:p>
        </w:tc>
        <w:tc>
          <w:tcPr>
            <w:tcW w:type="dxa" w:w="1152"/>
            <w:shd w:fill="F7F9FC"/>
          </w:tcPr>
          <w:p>
            <w:pPr>
              <w:spacing w:before="60" w:after="60" w:line="276" w:lineRule="auto"/>
              <w:jc w:val="right"/>
            </w:pPr>
            <w:r>
              <w:rPr>
                <w:rFonts w:ascii="Times New Roman" w:hAnsi="Times New Roman"/>
                <w:sz w:val="20"/>
              </w:rPr>
              <w:t>2100 mA</w:t>
            </w:r>
          </w:p>
        </w:tc>
        <w:tc>
          <w:tcPr>
            <w:tcW w:type="dxa" w:w="1296"/>
            <w:shd w:fill="F7F9FC"/>
          </w:tcPr>
          <w:p>
            <w:pPr>
              <w:spacing w:before="60" w:after="60" w:line="276" w:lineRule="auto"/>
              <w:jc w:val="right"/>
            </w:pPr>
            <w:r>
              <w:rPr>
                <w:rFonts w:ascii="Times New Roman" w:hAnsi="Times New Roman"/>
                <w:sz w:val="20"/>
              </w:rPr>
              <w:t>10.20 W</w:t>
            </w:r>
          </w:p>
        </w:tc>
        <w:tc>
          <w:tcPr>
            <w:tcW w:type="dxa" w:w="1296"/>
            <w:shd w:fill="F7F9FC"/>
          </w:tcPr>
          <w:p>
            <w:pPr>
              <w:spacing w:before="60" w:after="60" w:line="276" w:lineRule="auto"/>
              <w:jc w:val="right"/>
            </w:pPr>
            <w:r>
              <w:rPr>
                <w:rFonts w:ascii="Times New Roman" w:hAnsi="Times New Roman"/>
                <w:sz w:val="20"/>
              </w:rPr>
              <w:t>25.20 W</w:t>
            </w:r>
          </w:p>
        </w:tc>
        <w:tc>
          <w:tcPr>
            <w:tcW w:type="dxa" w:w="1872"/>
            <w:shd w:fill="F7F9FC"/>
          </w:tcPr>
          <w:p>
            <w:pPr>
              <w:spacing w:before="60" w:after="60" w:line="276" w:lineRule="auto"/>
              <w:jc w:val="left"/>
            </w:pPr>
            <w:r>
              <w:rPr>
                <w:rFonts w:ascii="Times New Roman" w:hAnsi="Times New Roman"/>
                <w:sz w:val="20"/>
              </w:rPr>
              <w:t>Main 12V Buck Converter</w:t>
            </w:r>
          </w:p>
        </w:tc>
      </w:tr>
      <w:tr>
        <w:trPr>
          <w:cantSplit/>
        </w:trPr>
        <w:tc>
          <w:tcPr>
            <w:tcW w:type="dxa" w:w="2592"/>
            <w:shd w:fill="FFFFFF"/>
          </w:tcPr>
          <w:p>
            <w:pPr>
              <w:spacing w:before="60" w:after="60" w:line="276" w:lineRule="auto"/>
              <w:jc w:val="left"/>
            </w:pPr>
            <w:r>
              <w:rPr>
                <w:rFonts w:ascii="Times New Roman" w:hAnsi="Times New Roman"/>
                <w:sz w:val="20"/>
              </w:rPr>
              <w:t>ESP32-P4 MCU + Peripherals</w:t>
            </w:r>
          </w:p>
        </w:tc>
        <w:tc>
          <w:tcPr>
            <w:tcW w:type="dxa" w:w="1296"/>
            <w:shd w:fill="FFFFFF"/>
          </w:tcPr>
          <w:p>
            <w:pPr>
              <w:spacing w:before="60" w:after="60" w:line="276" w:lineRule="auto"/>
              <w:jc w:val="right"/>
            </w:pPr>
            <w:r>
              <w:rPr>
                <w:rFonts w:ascii="Times New Roman" w:hAnsi="Times New Roman"/>
                <w:sz w:val="20"/>
              </w:rPr>
              <w:t>5.0V DC</w:t>
            </w:r>
          </w:p>
        </w:tc>
        <w:tc>
          <w:tcPr>
            <w:tcW w:type="dxa" w:w="1152"/>
            <w:shd w:fill="FFFFFF"/>
          </w:tcPr>
          <w:p>
            <w:pPr>
              <w:spacing w:before="60" w:after="60" w:line="276" w:lineRule="auto"/>
              <w:jc w:val="right"/>
            </w:pPr>
            <w:r>
              <w:rPr>
                <w:rFonts w:ascii="Times New Roman" w:hAnsi="Times New Roman"/>
                <w:sz w:val="20"/>
              </w:rPr>
              <w:t>100 mA</w:t>
            </w:r>
          </w:p>
        </w:tc>
        <w:tc>
          <w:tcPr>
            <w:tcW w:type="dxa" w:w="1152"/>
            <w:shd w:fill="FFFFFF"/>
          </w:tcPr>
          <w:p>
            <w:pPr>
              <w:spacing w:before="60" w:after="60" w:line="276" w:lineRule="auto"/>
              <w:jc w:val="right"/>
            </w:pPr>
            <w:r>
              <w:rPr>
                <w:rFonts w:ascii="Times New Roman" w:hAnsi="Times New Roman"/>
                <w:sz w:val="20"/>
              </w:rPr>
              <w:t>250 mA</w:t>
            </w:r>
          </w:p>
        </w:tc>
        <w:tc>
          <w:tcPr>
            <w:tcW w:type="dxa" w:w="1296"/>
            <w:shd w:fill="FFFFFF"/>
          </w:tcPr>
          <w:p>
            <w:pPr>
              <w:spacing w:before="60" w:after="60" w:line="276" w:lineRule="auto"/>
              <w:jc w:val="right"/>
            </w:pPr>
            <w:r>
              <w:rPr>
                <w:rFonts w:ascii="Times New Roman" w:hAnsi="Times New Roman"/>
                <w:sz w:val="20"/>
              </w:rPr>
              <w:t>0.50 W</w:t>
            </w:r>
          </w:p>
        </w:tc>
        <w:tc>
          <w:tcPr>
            <w:tcW w:type="dxa" w:w="1296"/>
            <w:shd w:fill="FFFFFF"/>
          </w:tcPr>
          <w:p>
            <w:pPr>
              <w:spacing w:before="60" w:after="60" w:line="276" w:lineRule="auto"/>
              <w:jc w:val="right"/>
            </w:pPr>
            <w:r>
              <w:rPr>
                <w:rFonts w:ascii="Times New Roman" w:hAnsi="Times New Roman"/>
                <w:sz w:val="20"/>
              </w:rPr>
              <w:t>1.25 W</w:t>
            </w:r>
          </w:p>
        </w:tc>
        <w:tc>
          <w:tcPr>
            <w:tcW w:type="dxa" w:w="1872"/>
            <w:shd w:fill="FFFFFF"/>
          </w:tcPr>
          <w:p>
            <w:pPr>
              <w:spacing w:before="60" w:after="60" w:line="276" w:lineRule="auto"/>
              <w:jc w:val="left"/>
            </w:pPr>
            <w:r>
              <w:rPr>
                <w:rFonts w:ascii="Times New Roman" w:hAnsi="Times New Roman"/>
                <w:sz w:val="20"/>
              </w:rPr>
              <w:t>Regulated 5V Rail</w:t>
            </w:r>
          </w:p>
        </w:tc>
      </w:tr>
      <w:tr>
        <w:trPr>
          <w:cantSplit/>
        </w:trPr>
        <w:tc>
          <w:tcPr>
            <w:tcW w:type="dxa" w:w="2592"/>
            <w:shd w:fill="F7F9FC"/>
          </w:tcPr>
          <w:p>
            <w:pPr>
              <w:spacing w:before="60" w:after="60" w:line="276" w:lineRule="auto"/>
              <w:jc w:val="left"/>
            </w:pPr>
            <w:r>
              <w:rPr>
                <w:rFonts w:ascii="Times New Roman" w:hAnsi="Times New Roman"/>
                <w:sz w:val="20"/>
              </w:rPr>
              <w:t>PCA9685 Servo Driver Board</w:t>
            </w:r>
          </w:p>
        </w:tc>
        <w:tc>
          <w:tcPr>
            <w:tcW w:type="dxa" w:w="1296"/>
            <w:shd w:fill="F7F9FC"/>
          </w:tcPr>
          <w:p>
            <w:pPr>
              <w:spacing w:before="60" w:after="60" w:line="276" w:lineRule="auto"/>
              <w:jc w:val="right"/>
            </w:pPr>
            <w:r>
              <w:rPr>
                <w:rFonts w:ascii="Times New Roman" w:hAnsi="Times New Roman"/>
                <w:sz w:val="20"/>
              </w:rPr>
              <w:t>5.0V DC</w:t>
            </w:r>
          </w:p>
        </w:tc>
        <w:tc>
          <w:tcPr>
            <w:tcW w:type="dxa" w:w="1152"/>
            <w:shd w:fill="F7F9FC"/>
          </w:tcPr>
          <w:p>
            <w:pPr>
              <w:spacing w:before="60" w:after="60" w:line="276" w:lineRule="auto"/>
              <w:jc w:val="right"/>
            </w:pPr>
            <w:r>
              <w:rPr>
                <w:rFonts w:ascii="Times New Roman" w:hAnsi="Times New Roman"/>
                <w:sz w:val="20"/>
              </w:rPr>
              <w:t>20 mA</w:t>
            </w:r>
          </w:p>
        </w:tc>
        <w:tc>
          <w:tcPr>
            <w:tcW w:type="dxa" w:w="1152"/>
            <w:shd w:fill="F7F9FC"/>
          </w:tcPr>
          <w:p>
            <w:pPr>
              <w:spacing w:before="60" w:after="60" w:line="276" w:lineRule="auto"/>
              <w:jc w:val="right"/>
            </w:pPr>
            <w:r>
              <w:rPr>
                <w:rFonts w:ascii="Times New Roman" w:hAnsi="Times New Roman"/>
                <w:sz w:val="20"/>
              </w:rPr>
              <w:t>50 mA</w:t>
            </w:r>
          </w:p>
        </w:tc>
        <w:tc>
          <w:tcPr>
            <w:tcW w:type="dxa" w:w="1296"/>
            <w:shd w:fill="F7F9FC"/>
          </w:tcPr>
          <w:p>
            <w:pPr>
              <w:spacing w:before="60" w:after="60" w:line="276" w:lineRule="auto"/>
              <w:jc w:val="right"/>
            </w:pPr>
            <w:r>
              <w:rPr>
                <w:rFonts w:ascii="Times New Roman" w:hAnsi="Times New Roman"/>
                <w:sz w:val="20"/>
              </w:rPr>
              <w:t>0.10 W</w:t>
            </w:r>
          </w:p>
        </w:tc>
        <w:tc>
          <w:tcPr>
            <w:tcW w:type="dxa" w:w="1296"/>
            <w:shd w:fill="F7F9FC"/>
          </w:tcPr>
          <w:p>
            <w:pPr>
              <w:spacing w:before="60" w:after="60" w:line="276" w:lineRule="auto"/>
              <w:jc w:val="right"/>
            </w:pPr>
            <w:r>
              <w:rPr>
                <w:rFonts w:ascii="Times New Roman" w:hAnsi="Times New Roman"/>
                <w:sz w:val="20"/>
              </w:rPr>
              <w:t>0.25 W</w:t>
            </w:r>
          </w:p>
        </w:tc>
        <w:tc>
          <w:tcPr>
            <w:tcW w:type="dxa" w:w="1872"/>
            <w:shd w:fill="F7F9FC"/>
          </w:tcPr>
          <w:p>
            <w:pPr>
              <w:spacing w:before="60" w:after="60" w:line="276" w:lineRule="auto"/>
              <w:jc w:val="left"/>
            </w:pPr>
            <w:r>
              <w:rPr>
                <w:rFonts w:ascii="Times New Roman" w:hAnsi="Times New Roman"/>
                <w:sz w:val="20"/>
              </w:rPr>
              <w:t>Regulated 5V Rail</w:t>
            </w:r>
          </w:p>
        </w:tc>
      </w:tr>
      <w:tr>
        <w:trPr>
          <w:cantSplit/>
        </w:trPr>
        <w:tc>
          <w:tcPr>
            <w:tcW w:type="dxa" w:w="2592"/>
            <w:shd w:fill="FFFFFF"/>
          </w:tcPr>
          <w:p>
            <w:pPr>
              <w:spacing w:before="60" w:after="60" w:line="276" w:lineRule="auto"/>
              <w:jc w:val="left"/>
            </w:pPr>
            <w:r>
              <w:rPr>
                <w:rFonts w:ascii="Times New Roman" w:hAnsi="Times New Roman"/>
                <w:sz w:val="20"/>
              </w:rPr>
              <w:t>Hand Module (5x MG996R Servos)</w:t>
            </w:r>
          </w:p>
        </w:tc>
        <w:tc>
          <w:tcPr>
            <w:tcW w:type="dxa" w:w="1296"/>
            <w:shd w:fill="FFFFFF"/>
          </w:tcPr>
          <w:p>
            <w:pPr>
              <w:spacing w:before="60" w:after="60" w:line="276" w:lineRule="auto"/>
              <w:jc w:val="right"/>
            </w:pPr>
            <w:r>
              <w:rPr>
                <w:rFonts w:ascii="Times New Roman" w:hAnsi="Times New Roman"/>
                <w:sz w:val="20"/>
              </w:rPr>
              <w:t>6.0V DC</w:t>
            </w:r>
          </w:p>
        </w:tc>
        <w:tc>
          <w:tcPr>
            <w:tcW w:type="dxa" w:w="1152"/>
            <w:shd w:fill="FFFFFF"/>
          </w:tcPr>
          <w:p>
            <w:pPr>
              <w:spacing w:before="60" w:after="60" w:line="276" w:lineRule="auto"/>
              <w:jc w:val="right"/>
            </w:pPr>
            <w:r>
              <w:rPr>
                <w:rFonts w:ascii="Times New Roman" w:hAnsi="Times New Roman"/>
                <w:sz w:val="20"/>
              </w:rPr>
              <w:t>600 mA</w:t>
            </w:r>
          </w:p>
        </w:tc>
        <w:tc>
          <w:tcPr>
            <w:tcW w:type="dxa" w:w="1152"/>
            <w:shd w:fill="FFFFFF"/>
          </w:tcPr>
          <w:p>
            <w:pPr>
              <w:spacing w:before="60" w:after="60" w:line="276" w:lineRule="auto"/>
              <w:jc w:val="right"/>
            </w:pPr>
            <w:r>
              <w:rPr>
                <w:rFonts w:ascii="Times New Roman" w:hAnsi="Times New Roman"/>
                <w:sz w:val="20"/>
              </w:rPr>
              <w:t>2500 mA</w:t>
            </w:r>
          </w:p>
        </w:tc>
        <w:tc>
          <w:tcPr>
            <w:tcW w:type="dxa" w:w="1296"/>
            <w:shd w:fill="FFFFFF"/>
          </w:tcPr>
          <w:p>
            <w:pPr>
              <w:spacing w:before="60" w:after="60" w:line="276" w:lineRule="auto"/>
              <w:jc w:val="right"/>
            </w:pPr>
            <w:r>
              <w:rPr>
                <w:rFonts w:ascii="Times New Roman" w:hAnsi="Times New Roman"/>
                <w:sz w:val="20"/>
              </w:rPr>
              <w:t>3.60 W</w:t>
            </w:r>
          </w:p>
        </w:tc>
        <w:tc>
          <w:tcPr>
            <w:tcW w:type="dxa" w:w="1296"/>
            <w:shd w:fill="FFFFFF"/>
          </w:tcPr>
          <w:p>
            <w:pPr>
              <w:spacing w:before="60" w:after="60" w:line="276" w:lineRule="auto"/>
              <w:jc w:val="right"/>
            </w:pPr>
            <w:r>
              <w:rPr>
                <w:rFonts w:ascii="Times New Roman" w:hAnsi="Times New Roman"/>
                <w:sz w:val="20"/>
              </w:rPr>
              <w:t>15.00 W</w:t>
            </w:r>
          </w:p>
        </w:tc>
        <w:tc>
          <w:tcPr>
            <w:tcW w:type="dxa" w:w="1872"/>
            <w:shd w:fill="FFFFFF"/>
          </w:tcPr>
          <w:p>
            <w:pPr>
              <w:spacing w:before="60" w:after="60" w:line="276" w:lineRule="auto"/>
              <w:jc w:val="left"/>
            </w:pPr>
            <w:r>
              <w:rPr>
                <w:rFonts w:ascii="Times New Roman" w:hAnsi="Times New Roman"/>
                <w:sz w:val="20"/>
              </w:rPr>
              <w:t>High-Current 6V Step-Down</w:t>
            </w:r>
          </w:p>
        </w:tc>
      </w:tr>
      <w:tr>
        <w:trPr>
          <w:cantSplit/>
        </w:trPr>
        <w:tc>
          <w:tcPr>
            <w:tcW w:type="dxa" w:w="2592"/>
            <w:shd w:fill="F7F9FC"/>
          </w:tcPr>
          <w:p>
            <w:pPr>
              <w:spacing w:before="60" w:after="60" w:line="276" w:lineRule="auto"/>
              <w:jc w:val="left"/>
            </w:pPr>
            <w:r>
              <w:rPr>
                <w:rFonts w:ascii="Times New Roman" w:hAnsi="Times New Roman"/>
                <w:sz w:val="20"/>
              </w:rPr>
              <w:t>Leg Module (2x DC Gear Motors)</w:t>
            </w:r>
          </w:p>
        </w:tc>
        <w:tc>
          <w:tcPr>
            <w:tcW w:type="dxa" w:w="1296"/>
            <w:shd w:fill="F7F9FC"/>
          </w:tcPr>
          <w:p>
            <w:pPr>
              <w:spacing w:before="60" w:after="60" w:line="276" w:lineRule="auto"/>
              <w:jc w:val="right"/>
            </w:pPr>
            <w:r>
              <w:rPr>
                <w:rFonts w:ascii="Times New Roman" w:hAnsi="Times New Roman"/>
                <w:sz w:val="20"/>
              </w:rPr>
              <w:t>12.0V DC</w:t>
            </w:r>
          </w:p>
        </w:tc>
        <w:tc>
          <w:tcPr>
            <w:tcW w:type="dxa" w:w="1152"/>
            <w:shd w:fill="F7F9FC"/>
          </w:tcPr>
          <w:p>
            <w:pPr>
              <w:spacing w:before="60" w:after="60" w:line="276" w:lineRule="auto"/>
              <w:jc w:val="right"/>
            </w:pPr>
            <w:r>
              <w:rPr>
                <w:rFonts w:ascii="Times New Roman" w:hAnsi="Times New Roman"/>
                <w:sz w:val="20"/>
              </w:rPr>
              <w:t>800 mA</w:t>
            </w:r>
          </w:p>
        </w:tc>
        <w:tc>
          <w:tcPr>
            <w:tcW w:type="dxa" w:w="1152"/>
            <w:shd w:fill="F7F9FC"/>
          </w:tcPr>
          <w:p>
            <w:pPr>
              <w:spacing w:before="60" w:after="60" w:line="276" w:lineRule="auto"/>
              <w:jc w:val="right"/>
            </w:pPr>
            <w:r>
              <w:rPr>
                <w:rFonts w:ascii="Times New Roman" w:hAnsi="Times New Roman"/>
                <w:sz w:val="20"/>
              </w:rPr>
              <w:t>3000 mA</w:t>
            </w:r>
          </w:p>
        </w:tc>
        <w:tc>
          <w:tcPr>
            <w:tcW w:type="dxa" w:w="1296"/>
            <w:shd w:fill="F7F9FC"/>
          </w:tcPr>
          <w:p>
            <w:pPr>
              <w:spacing w:before="60" w:after="60" w:line="276" w:lineRule="auto"/>
              <w:jc w:val="right"/>
            </w:pPr>
            <w:r>
              <w:rPr>
                <w:rFonts w:ascii="Times New Roman" w:hAnsi="Times New Roman"/>
                <w:sz w:val="20"/>
              </w:rPr>
              <w:t>9.60 W</w:t>
            </w:r>
          </w:p>
        </w:tc>
        <w:tc>
          <w:tcPr>
            <w:tcW w:type="dxa" w:w="1296"/>
            <w:shd w:fill="F7F9FC"/>
          </w:tcPr>
          <w:p>
            <w:pPr>
              <w:spacing w:before="60" w:after="60" w:line="276" w:lineRule="auto"/>
              <w:jc w:val="right"/>
            </w:pPr>
            <w:r>
              <w:rPr>
                <w:rFonts w:ascii="Times New Roman" w:hAnsi="Times New Roman"/>
                <w:sz w:val="20"/>
              </w:rPr>
              <w:t>36.00 W</w:t>
            </w:r>
          </w:p>
        </w:tc>
        <w:tc>
          <w:tcPr>
            <w:tcW w:type="dxa" w:w="1872"/>
            <w:shd w:fill="F7F9FC"/>
          </w:tcPr>
          <w:p>
            <w:pPr>
              <w:spacing w:before="60" w:after="60" w:line="276" w:lineRule="auto"/>
              <w:jc w:val="left"/>
            </w:pPr>
            <w:r>
              <w:rPr>
                <w:rFonts w:ascii="Times New Roman" w:hAnsi="Times New Roman"/>
                <w:sz w:val="20"/>
              </w:rPr>
              <w:t>Direct 12V Motor Rail</w:t>
            </w:r>
          </w:p>
        </w:tc>
      </w:tr>
      <w:tr>
        <w:trPr>
          <w:cantSplit/>
        </w:trPr>
        <w:tc>
          <w:tcPr>
            <w:tcW w:type="dxa" w:w="2592"/>
            <w:shd w:fill="FFFFFF"/>
          </w:tcPr>
          <w:p>
            <w:pPr>
              <w:spacing w:before="60" w:after="60" w:line="276" w:lineRule="auto"/>
              <w:jc w:val="left"/>
            </w:pPr>
            <w:r>
              <w:rPr>
                <w:rFonts w:ascii="Times New Roman" w:hAnsi="Times New Roman"/>
                <w:sz w:val="20"/>
              </w:rPr>
              <w:t>CONSOLIDATED SYSTEM TOTAL</w:t>
            </w:r>
          </w:p>
        </w:tc>
        <w:tc>
          <w:tcPr>
            <w:tcW w:type="dxa" w:w="1296"/>
            <w:shd w:fill="FFFFFF"/>
          </w:tcPr>
          <w:p>
            <w:pPr>
              <w:spacing w:before="60" w:after="60" w:line="276" w:lineRule="auto"/>
              <w:jc w:val="right"/>
            </w:pPr>
            <w:r>
              <w:rPr>
                <w:rFonts w:ascii="Times New Roman" w:hAnsi="Times New Roman"/>
                <w:sz w:val="20"/>
              </w:rPr>
              <w:t>11.1V / 12.0V Rail</w:t>
            </w:r>
          </w:p>
        </w:tc>
        <w:tc>
          <w:tcPr>
            <w:tcW w:type="dxa" w:w="1152"/>
            <w:shd w:fill="FFFFFF"/>
          </w:tcPr>
          <w:p>
            <w:pPr>
              <w:spacing w:before="60" w:after="60" w:line="276" w:lineRule="auto"/>
              <w:jc w:val="right"/>
            </w:pPr>
            <w:r>
              <w:rPr>
                <w:rFonts w:ascii="Times New Roman" w:hAnsi="Times New Roman"/>
                <w:sz w:val="20"/>
              </w:rPr>
              <w:t>2.49 A</w:t>
            </w:r>
          </w:p>
        </w:tc>
        <w:tc>
          <w:tcPr>
            <w:tcW w:type="dxa" w:w="1152"/>
            <w:shd w:fill="FFFFFF"/>
          </w:tcPr>
          <w:p>
            <w:pPr>
              <w:spacing w:before="60" w:after="60" w:line="276" w:lineRule="auto"/>
              <w:jc w:val="right"/>
            </w:pPr>
            <w:r>
              <w:rPr>
                <w:rFonts w:ascii="Times New Roman" w:hAnsi="Times New Roman"/>
                <w:sz w:val="20"/>
              </w:rPr>
              <w:t>8.10 A</w:t>
            </w:r>
          </w:p>
        </w:tc>
        <w:tc>
          <w:tcPr>
            <w:tcW w:type="dxa" w:w="1296"/>
            <w:shd w:fill="FFFFFF"/>
          </w:tcPr>
          <w:p>
            <w:pPr>
              <w:spacing w:before="60" w:after="60" w:line="276" w:lineRule="auto"/>
              <w:jc w:val="right"/>
            </w:pPr>
            <w:r>
              <w:rPr>
                <w:rFonts w:ascii="Times New Roman" w:hAnsi="Times New Roman"/>
                <w:sz w:val="20"/>
              </w:rPr>
              <w:t>24.44 W</w:t>
            </w:r>
          </w:p>
        </w:tc>
        <w:tc>
          <w:tcPr>
            <w:tcW w:type="dxa" w:w="1296"/>
            <w:shd w:fill="FFFFFF"/>
          </w:tcPr>
          <w:p>
            <w:pPr>
              <w:spacing w:before="60" w:after="60" w:line="276" w:lineRule="auto"/>
              <w:jc w:val="right"/>
            </w:pPr>
            <w:r>
              <w:rPr>
                <w:rFonts w:ascii="Times New Roman" w:hAnsi="Times New Roman"/>
                <w:sz w:val="20"/>
              </w:rPr>
              <w:t>78.44 W</w:t>
            </w:r>
          </w:p>
        </w:tc>
        <w:tc>
          <w:tcPr>
            <w:tcW w:type="dxa" w:w="1872"/>
            <w:shd w:fill="FFFFFF"/>
          </w:tcPr>
          <w:p>
            <w:pPr>
              <w:spacing w:before="60" w:after="60" w:line="276" w:lineRule="auto"/>
              <w:jc w:val="left"/>
            </w:pPr>
            <w:r>
              <w:rPr>
                <w:rFonts w:ascii="Times New Roman" w:hAnsi="Times New Roman"/>
                <w:sz w:val="20"/>
              </w:rPr>
              <w:t>4S LiPo (5000 mAh, ~2.8 hrs)</w:t>
            </w:r>
          </w:p>
        </w:tc>
      </w:tr>
    </w:tbl>
    <w:p>
      <w:pPr>
        <w:spacing w:before="0" w:after="120" w:line="360" w:lineRule="auto"/>
        <w:jc w:val="both"/>
      </w:pPr>
      <w:r>
        <w:rPr>
          <w:rFonts w:ascii="Times New Roman" w:hAnsi="Times New Roman"/>
          <w:b w:val="0"/>
          <w:i w:val="0"/>
          <w:color w:val="000000"/>
          <w:sz w:val="24"/>
        </w:rPr>
        <w:t>Under continuous multi-limb actuation cycles, the entire edge platform consumes an average power of 24.44 W with a peak transient draw of 78.44 W during simultaneous stall of hand servos and leg gearmotors. Powered by an external 4-cell Lithium-Polymer battery pack (14.8V nominal, 5,000 mAh, 74.0 Wh capacity with an 85% DC-DC step-down conversion efficiency), the system delivers 2.57 hours of continuous non-stop actuation—comfortably exceeding standard 45-minute clinical rehabilitation therapy sessions. To prevent motor back-EMF inductive voltage spikes from compromising the sensitive 24-bit ADS1299 biosignal converters or rebooting the Jetson host, complete electrical isolation is maintained: motor power rails are galvanically separated via optocouplers and dedicated high-current switching regulators.</w:t>
      </w:r>
    </w:p>
    <w:p>
      <w:pPr>
        <w:keepNext/>
        <w:spacing w:before="280" w:after="120" w:line="276" w:lineRule="auto"/>
      </w:pPr>
      <w:r>
        <w:rPr>
          <w:rFonts w:ascii="Times New Roman" w:hAnsi="Times New Roman"/>
          <w:b/>
          <w:color w:val="000000"/>
          <w:sz w:val="28"/>
        </w:rPr>
        <w:t>3.11 CLINICAL FAILURE MODES AND RISK MITIGATION REGISTER (ISO 14971)</w:t>
      </w:r>
    </w:p>
    <w:p>
      <w:pPr>
        <w:spacing w:before="0" w:after="120" w:line="360" w:lineRule="auto"/>
        <w:jc w:val="both"/>
      </w:pPr>
      <w:r>
        <w:rPr>
          <w:rFonts w:ascii="Times New Roman" w:hAnsi="Times New Roman"/>
          <w:b w:val="0"/>
          <w:i w:val="0"/>
          <w:color w:val="000000"/>
          <w:sz w:val="24"/>
        </w:rPr>
        <w:t>In accordance with medical device risk management standards (ISO 14971) and robotic assistive device safety guidelines (ISO 13482), a comprehensive Failure Mode and Effects Analysis (FMEA) was conducted across the hardware, firmware, and neuro-algorithmic layers. Table 3.4 delineates the identified clinical failure modes, their operational hazards, and the engineered mitigation architecture.</w:t>
      </w:r>
    </w:p>
    <w:p>
      <w:pPr>
        <w:keepNext/>
        <w:spacing w:before="160" w:after="80"/>
        <w:jc w:val="left"/>
      </w:pPr>
      <w:r>
        <w:rPr>
          <w:rFonts w:ascii="Times New Roman" w:hAnsi="Times New Roman"/>
          <w:b/>
          <w:color w:val="000000"/>
          <w:sz w:val="20"/>
        </w:rPr>
        <w:t>Table 3.4: Clinical Failure Modes and Risk Mitigation Register (ISO 14971)</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160"/>
            <w:shd w:fill="002060"/>
          </w:tcPr>
          <w:p>
            <w:pPr>
              <w:spacing w:before="80" w:after="80"/>
              <w:jc w:val="center"/>
            </w:pPr>
            <w:r>
              <w:rPr>
                <w:rFonts w:ascii="Times New Roman" w:hAnsi="Times New Roman"/>
                <w:b/>
                <w:color w:val="FFFFFF"/>
                <w:sz w:val="21"/>
              </w:rPr>
              <w:t>Hazard / Failure Mode</w:t>
            </w:r>
          </w:p>
        </w:tc>
        <w:tc>
          <w:tcPr>
            <w:tcW w:type="dxa" w:w="2160"/>
            <w:shd w:fill="002060"/>
          </w:tcPr>
          <w:p>
            <w:pPr>
              <w:spacing w:before="80" w:after="80"/>
              <w:jc w:val="center"/>
            </w:pPr>
            <w:r>
              <w:rPr>
                <w:rFonts w:ascii="Times New Roman" w:hAnsi="Times New Roman"/>
                <w:b/>
                <w:color w:val="FFFFFF"/>
                <w:sz w:val="21"/>
              </w:rPr>
              <w:t>Clinical / Operational Impact</w:t>
            </w:r>
          </w:p>
        </w:tc>
        <w:tc>
          <w:tcPr>
            <w:tcW w:type="dxa" w:w="1296"/>
            <w:shd w:fill="002060"/>
          </w:tcPr>
          <w:p>
            <w:pPr>
              <w:spacing w:before="80" w:after="80"/>
              <w:jc w:val="center"/>
            </w:pPr>
            <w:r>
              <w:rPr>
                <w:rFonts w:ascii="Times New Roman" w:hAnsi="Times New Roman"/>
                <w:b/>
                <w:color w:val="FFFFFF"/>
                <w:sz w:val="21"/>
              </w:rPr>
              <w:t>Initial Risk</w:t>
            </w:r>
          </w:p>
        </w:tc>
        <w:tc>
          <w:tcPr>
            <w:tcW w:type="dxa" w:w="3744"/>
            <w:shd w:fill="002060"/>
          </w:tcPr>
          <w:p>
            <w:pPr>
              <w:spacing w:before="80" w:after="80"/>
              <w:jc w:val="center"/>
            </w:pPr>
            <w:r>
              <w:rPr>
                <w:rFonts w:ascii="Times New Roman" w:hAnsi="Times New Roman"/>
                <w:b/>
                <w:color w:val="FFFFFF"/>
                <w:sz w:val="21"/>
              </w:rPr>
              <w:t>Layered Engineering Mitigation</w:t>
            </w:r>
          </w:p>
        </w:tc>
        <w:tc>
          <w:tcPr>
            <w:tcW w:type="dxa" w:w="1296"/>
            <w:shd w:fill="002060"/>
          </w:tcPr>
          <w:p>
            <w:pPr>
              <w:spacing w:before="80" w:after="80"/>
              <w:jc w:val="center"/>
            </w:pPr>
            <w:r>
              <w:rPr>
                <w:rFonts w:ascii="Times New Roman" w:hAnsi="Times New Roman"/>
                <w:b/>
                <w:color w:val="FFFFFF"/>
                <w:sz w:val="21"/>
              </w:rPr>
              <w:t>Residual Risk</w:t>
            </w:r>
          </w:p>
        </w:tc>
      </w:tr>
      <w:tr>
        <w:trPr>
          <w:cantSplit/>
        </w:trPr>
        <w:tc>
          <w:tcPr>
            <w:tcW w:type="dxa" w:w="2160"/>
            <w:shd w:fill="FFFFFF"/>
          </w:tcPr>
          <w:p>
            <w:pPr>
              <w:spacing w:before="60" w:after="60" w:line="276" w:lineRule="auto"/>
              <w:jc w:val="left"/>
            </w:pPr>
            <w:r>
              <w:rPr>
                <w:rFonts w:ascii="Times New Roman" w:hAnsi="Times New Roman"/>
                <w:sz w:val="20"/>
              </w:rPr>
              <w:t>Involuntary Actuator Spasm (False Trigger)</w:t>
            </w:r>
          </w:p>
        </w:tc>
        <w:tc>
          <w:tcPr>
            <w:tcW w:type="dxa" w:w="2160"/>
            <w:shd w:fill="FFFFFF"/>
          </w:tcPr>
          <w:p>
            <w:pPr>
              <w:spacing w:before="60" w:after="60" w:line="276" w:lineRule="auto"/>
              <w:jc w:val="left"/>
            </w:pPr>
            <w:r>
              <w:rPr>
                <w:rFonts w:ascii="Times New Roman" w:hAnsi="Times New Roman"/>
                <w:sz w:val="20"/>
              </w:rPr>
              <w:t>Spurious hand clench or leg motion causing patient muscle strain.</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Enforces 300 ms dwell confirmation timer, alpha workload state gating, and strict 1.8% resting false positive rate limit.</w:t>
            </w:r>
          </w:p>
        </w:tc>
        <w:tc>
          <w:tcPr>
            <w:tcW w:type="dxa" w:w="1296"/>
            <w:shd w:fill="FFFFFF"/>
          </w:tcPr>
          <w:p>
            <w:pPr>
              <w:spacing w:before="60" w:after="60" w:line="276" w:lineRule="auto"/>
              <w:jc w:val="center"/>
            </w:pPr>
            <w:r>
              <w:rPr>
                <w:rFonts w:ascii="Times New Roman" w:hAnsi="Times New Roman"/>
                <w:sz w:val="20"/>
              </w:rPr>
              <w:t>Low (Acceptable)</w:t>
            </w:r>
          </w:p>
        </w:tc>
      </w:tr>
      <w:tr>
        <w:trPr>
          <w:cantSplit/>
        </w:trPr>
        <w:tc>
          <w:tcPr>
            <w:tcW w:type="dxa" w:w="2160"/>
            <w:shd w:fill="F7F9FC"/>
          </w:tcPr>
          <w:p>
            <w:pPr>
              <w:spacing w:before="60" w:after="60" w:line="276" w:lineRule="auto"/>
              <w:jc w:val="left"/>
            </w:pPr>
            <w:r>
              <w:rPr>
                <w:rFonts w:ascii="Times New Roman" w:hAnsi="Times New Roman"/>
                <w:sz w:val="20"/>
              </w:rPr>
              <w:t>Loss of User Control / Seizure Episode</w:t>
            </w:r>
          </w:p>
        </w:tc>
        <w:tc>
          <w:tcPr>
            <w:tcW w:type="dxa" w:w="2160"/>
            <w:shd w:fill="F7F9FC"/>
          </w:tcPr>
          <w:p>
            <w:pPr>
              <w:spacing w:before="60" w:after="60" w:line="276" w:lineRule="auto"/>
              <w:jc w:val="left"/>
            </w:pPr>
            <w:r>
              <w:rPr>
                <w:rFonts w:ascii="Times New Roman" w:hAnsi="Times New Roman"/>
                <w:sz w:val="20"/>
              </w:rPr>
              <w:t>Patient unable to communicate motor stop during muscle spasm or seizure.</w:t>
            </w:r>
          </w:p>
        </w:tc>
        <w:tc>
          <w:tcPr>
            <w:tcW w:type="dxa" w:w="1296"/>
            <w:shd w:fill="F7F9FC"/>
          </w:tcPr>
          <w:p>
            <w:pPr>
              <w:spacing w:before="60" w:after="60" w:line="276" w:lineRule="auto"/>
              <w:jc w:val="center"/>
            </w:pPr>
            <w:r>
              <w:rPr>
                <w:rFonts w:ascii="Times New Roman" w:hAnsi="Times New Roman"/>
                <w:sz w:val="20"/>
              </w:rPr>
              <w:t>Critical</w:t>
            </w:r>
          </w:p>
        </w:tc>
        <w:tc>
          <w:tcPr>
            <w:tcW w:type="dxa" w:w="3744"/>
            <w:shd w:fill="F7F9FC"/>
          </w:tcPr>
          <w:p>
            <w:pPr>
              <w:spacing w:before="60" w:after="60" w:line="276" w:lineRule="auto"/>
              <w:jc w:val="left"/>
            </w:pPr>
            <w:r>
              <w:rPr>
                <w:rFonts w:ascii="Times New Roman" w:hAnsi="Times New Roman"/>
                <w:sz w:val="20"/>
              </w:rPr>
              <w:t>Autonomous Level-1 differential EOG double-blink veto (&lt;15 ms latency) overriding all motor commands, paired with hardwired physical E-stop switch.</w:t>
            </w:r>
          </w:p>
        </w:tc>
        <w:tc>
          <w:tcPr>
            <w:tcW w:type="dxa" w:w="1296"/>
            <w:shd w:fill="F7F9FC"/>
          </w:tcPr>
          <w:p>
            <w:pPr>
              <w:spacing w:before="60" w:after="60" w:line="276" w:lineRule="auto"/>
              <w:jc w:val="center"/>
            </w:pPr>
            <w:r>
              <w:rPr>
                <w:rFonts w:ascii="Times New Roman" w:hAnsi="Times New Roman"/>
                <w:sz w:val="20"/>
              </w:rPr>
              <w:t>Low (Acceptable)</w:t>
            </w:r>
          </w:p>
        </w:tc>
      </w:tr>
      <w:tr>
        <w:trPr>
          <w:cantSplit/>
        </w:trPr>
        <w:tc>
          <w:tcPr>
            <w:tcW w:type="dxa" w:w="2160"/>
            <w:shd w:fill="FFFFFF"/>
          </w:tcPr>
          <w:p>
            <w:pPr>
              <w:spacing w:before="60" w:after="60" w:line="276" w:lineRule="auto"/>
              <w:jc w:val="left"/>
            </w:pPr>
            <w:r>
              <w:rPr>
                <w:rFonts w:ascii="Times New Roman" w:hAnsi="Times New Roman"/>
                <w:sz w:val="20"/>
              </w:rPr>
              <w:t>Mechanical Joint Over-Travel / Hyperextension</w:t>
            </w:r>
          </w:p>
        </w:tc>
        <w:tc>
          <w:tcPr>
            <w:tcW w:type="dxa" w:w="2160"/>
            <w:shd w:fill="FFFFFF"/>
          </w:tcPr>
          <w:p>
            <w:pPr>
              <w:spacing w:before="60" w:after="60" w:line="276" w:lineRule="auto"/>
              <w:jc w:val="left"/>
            </w:pPr>
            <w:r>
              <w:rPr>
                <w:rFonts w:ascii="Times New Roman" w:hAnsi="Times New Roman"/>
                <w:sz w:val="20"/>
              </w:rPr>
              <w:t>Exoskeleton driving anatomical joint beyond safe range of motion (ROM).</w:t>
            </w:r>
          </w:p>
        </w:tc>
        <w:tc>
          <w:tcPr>
            <w:tcW w:type="dxa" w:w="1296"/>
            <w:shd w:fill="FFFFFF"/>
          </w:tcPr>
          <w:p>
            <w:pPr>
              <w:spacing w:before="60" w:after="60" w:line="276" w:lineRule="auto"/>
              <w:jc w:val="center"/>
            </w:pPr>
            <w:r>
              <w:rPr>
                <w:rFonts w:ascii="Times New Roman" w:hAnsi="Times New Roman"/>
                <w:sz w:val="20"/>
              </w:rPr>
              <w:t>High</w:t>
            </w:r>
          </w:p>
        </w:tc>
        <w:tc>
          <w:tcPr>
            <w:tcW w:type="dxa" w:w="3744"/>
            <w:shd w:fill="FFFFFF"/>
          </w:tcPr>
          <w:p>
            <w:pPr>
              <w:spacing w:before="60" w:after="60" w:line="276" w:lineRule="auto"/>
              <w:jc w:val="left"/>
            </w:pPr>
            <w:r>
              <w:rPr>
                <w:rFonts w:ascii="Times New Roman" w:hAnsi="Times New Roman"/>
                <w:sz w:val="20"/>
              </w:rPr>
              <w:t>Dual mechanical end-stop brackets limiting angular travel to safe physiological limits, combined with optical limit switch cutoffs.</w:t>
            </w:r>
          </w:p>
        </w:tc>
        <w:tc>
          <w:tcPr>
            <w:tcW w:type="dxa" w:w="1296"/>
            <w:shd w:fill="FFFFFF"/>
          </w:tcPr>
          <w:p>
            <w:pPr>
              <w:spacing w:before="60" w:after="60" w:line="276" w:lineRule="auto"/>
              <w:jc w:val="center"/>
            </w:pPr>
            <w:r>
              <w:rPr>
                <w:rFonts w:ascii="Times New Roman" w:hAnsi="Times New Roman"/>
                <w:sz w:val="20"/>
              </w:rPr>
              <w:t>Negligible</w:t>
            </w:r>
          </w:p>
        </w:tc>
      </w:tr>
      <w:tr>
        <w:trPr>
          <w:cantSplit/>
        </w:trPr>
        <w:tc>
          <w:tcPr>
            <w:tcW w:type="dxa" w:w="2160"/>
            <w:shd w:fill="F7F9FC"/>
          </w:tcPr>
          <w:p>
            <w:pPr>
              <w:spacing w:before="60" w:after="60" w:line="276" w:lineRule="auto"/>
              <w:jc w:val="left"/>
            </w:pPr>
            <w:r>
              <w:rPr>
                <w:rFonts w:ascii="Times New Roman" w:hAnsi="Times New Roman"/>
                <w:sz w:val="20"/>
              </w:rPr>
              <w:t>Inductive Motor Voltage Spikes / Brownout</w:t>
            </w:r>
          </w:p>
        </w:tc>
        <w:tc>
          <w:tcPr>
            <w:tcW w:type="dxa" w:w="2160"/>
            <w:shd w:fill="F7F9FC"/>
          </w:tcPr>
          <w:p>
            <w:pPr>
              <w:spacing w:before="60" w:after="60" w:line="276" w:lineRule="auto"/>
              <w:jc w:val="left"/>
            </w:pPr>
            <w:r>
              <w:rPr>
                <w:rFonts w:ascii="Times New Roman" w:hAnsi="Times New Roman"/>
                <w:sz w:val="20"/>
              </w:rPr>
              <w:t>Back-EMF spikes rebooting edge host or corrupting FreeRTOS telemetry.</w:t>
            </w:r>
          </w:p>
        </w:tc>
        <w:tc>
          <w:tcPr>
            <w:tcW w:type="dxa" w:w="1296"/>
            <w:shd w:fill="F7F9FC"/>
          </w:tcPr>
          <w:p>
            <w:pPr>
              <w:spacing w:before="60" w:after="60" w:line="276" w:lineRule="auto"/>
              <w:jc w:val="center"/>
            </w:pPr>
            <w:r>
              <w:rPr>
                <w:rFonts w:ascii="Times New Roman" w:hAnsi="Times New Roman"/>
                <w:sz w:val="20"/>
              </w:rPr>
              <w:t>Moderate</w:t>
            </w:r>
          </w:p>
        </w:tc>
        <w:tc>
          <w:tcPr>
            <w:tcW w:type="dxa" w:w="3744"/>
            <w:shd w:fill="F7F9FC"/>
          </w:tcPr>
          <w:p>
            <w:pPr>
              <w:spacing w:before="60" w:after="60" w:line="276" w:lineRule="auto"/>
              <w:jc w:val="left"/>
            </w:pPr>
            <w:r>
              <w:rPr>
                <w:rFonts w:ascii="Times New Roman" w:hAnsi="Times New Roman"/>
                <w:sz w:val="20"/>
              </w:rPr>
              <w:t>Optocoupler galvanic isolation, separate 12V motor battery rails, flyback clamping diodes, and CRC-8 packet checksums.</w:t>
            </w:r>
          </w:p>
        </w:tc>
        <w:tc>
          <w:tcPr>
            <w:tcW w:type="dxa" w:w="1296"/>
            <w:shd w:fill="F7F9FC"/>
          </w:tcPr>
          <w:p>
            <w:pPr>
              <w:spacing w:before="60" w:after="60" w:line="276" w:lineRule="auto"/>
              <w:jc w:val="center"/>
            </w:pPr>
            <w:r>
              <w:rPr>
                <w:rFonts w:ascii="Times New Roman" w:hAnsi="Times New Roman"/>
                <w:sz w:val="20"/>
              </w:rPr>
              <w:t>Negligible</w:t>
            </w:r>
          </w:p>
        </w:tc>
      </w:tr>
      <w:tr>
        <w:trPr>
          <w:cantSplit/>
        </w:trPr>
        <w:tc>
          <w:tcPr>
            <w:tcW w:type="dxa" w:w="2160"/>
            <w:shd w:fill="FFFFFF"/>
          </w:tcPr>
          <w:p>
            <w:pPr>
              <w:spacing w:before="60" w:after="60" w:line="276" w:lineRule="auto"/>
              <w:jc w:val="left"/>
            </w:pPr>
            <w:r>
              <w:rPr>
                <w:rFonts w:ascii="Times New Roman" w:hAnsi="Times New Roman"/>
                <w:sz w:val="20"/>
              </w:rPr>
              <w:t>Electrode Lead Detachment / Motion Artifacts</w:t>
            </w:r>
          </w:p>
        </w:tc>
        <w:tc>
          <w:tcPr>
            <w:tcW w:type="dxa" w:w="2160"/>
            <w:shd w:fill="FFFFFF"/>
          </w:tcPr>
          <w:p>
            <w:pPr>
              <w:spacing w:before="60" w:after="60" w:line="276" w:lineRule="auto"/>
              <w:jc w:val="left"/>
            </w:pPr>
            <w:r>
              <w:rPr>
                <w:rFonts w:ascii="Times New Roman" w:hAnsi="Times New Roman"/>
                <w:sz w:val="20"/>
              </w:rPr>
              <w:t>Signal loss producing random spurious classifier output vectors.</w:t>
            </w:r>
          </w:p>
        </w:tc>
        <w:tc>
          <w:tcPr>
            <w:tcW w:type="dxa" w:w="1296"/>
            <w:shd w:fill="FFFFFF"/>
          </w:tcPr>
          <w:p>
            <w:pPr>
              <w:spacing w:before="60" w:after="60" w:line="276" w:lineRule="auto"/>
              <w:jc w:val="center"/>
            </w:pPr>
            <w:r>
              <w:rPr>
                <w:rFonts w:ascii="Times New Roman" w:hAnsi="Times New Roman"/>
                <w:sz w:val="20"/>
              </w:rPr>
              <w:t>Moderate</w:t>
            </w:r>
          </w:p>
        </w:tc>
        <w:tc>
          <w:tcPr>
            <w:tcW w:type="dxa" w:w="3744"/>
            <w:shd w:fill="FFFFFF"/>
          </w:tcPr>
          <w:p>
            <w:pPr>
              <w:spacing w:before="60" w:after="60" w:line="276" w:lineRule="auto"/>
              <w:jc w:val="left"/>
            </w:pPr>
            <w:r>
              <w:rPr>
                <w:rFonts w:ascii="Times New Roman" w:hAnsi="Times New Roman"/>
                <w:sz w:val="20"/>
              </w:rPr>
              <w:t>SignalQualityMonitor continuously tracking impedance proxies (&lt;15 kΩ) and flatline detection, forcing zero-command fallback upon lead detachment.</w:t>
            </w:r>
          </w:p>
        </w:tc>
        <w:tc>
          <w:tcPr>
            <w:tcW w:type="dxa" w:w="1296"/>
            <w:shd w:fill="FFFFFF"/>
          </w:tcPr>
          <w:p>
            <w:pPr>
              <w:spacing w:before="60" w:after="60" w:line="276" w:lineRule="auto"/>
              <w:jc w:val="center"/>
            </w:pPr>
            <w:r>
              <w:rPr>
                <w:rFonts w:ascii="Times New Roman" w:hAnsi="Times New Roman"/>
                <w:sz w:val="20"/>
              </w:rPr>
              <w:t>Negligible</w:t>
            </w:r>
          </w:p>
        </w:tc>
      </w:tr>
    </w:tbl>
    <w:p>
      <w:pPr>
        <w:spacing w:before="0" w:after="120" w:line="360" w:lineRule="auto"/>
        <w:jc w:val="both"/>
      </w:pPr>
      <w:r>
        <w:rPr>
          <w:rFonts w:ascii="Times New Roman" w:hAnsi="Times New Roman"/>
          <w:b w:val="0"/>
          <w:i w:val="0"/>
          <w:color w:val="000000"/>
          <w:sz w:val="24"/>
        </w:rPr>
        <w:t>The multi-layered risk mitigation strategy ensures that no single point of electrical, mechanical, or computational failure can result in physical injury to the patient. Residual risks across all categories are reduced to clinically acceptable or negligible levels.</w:t>
      </w:r>
    </w:p>
    <w:p>
      <w:pPr>
        <w:keepNext/>
        <w:spacing w:before="280" w:after="120" w:line="276" w:lineRule="auto"/>
      </w:pPr>
      <w:r>
        <w:rPr>
          <w:rFonts w:ascii="Times New Roman" w:hAnsi="Times New Roman"/>
          <w:b/>
          <w:color w:val="000000"/>
          <w:sz w:val="28"/>
        </w:rPr>
        <w:t>3.12 CHAPTER SUMMARY</w:t>
      </w:r>
    </w:p>
    <w:p>
      <w:pPr>
        <w:spacing w:before="0" w:after="120" w:line="360" w:lineRule="auto"/>
        <w:jc w:val="both"/>
      </w:pPr>
      <w:r>
        <w:rPr>
          <w:rFonts w:ascii="Times New Roman" w:hAnsi="Times New Roman"/>
          <w:b w:val="0"/>
          <w:i w:val="0"/>
          <w:color w:val="000000"/>
          <w:sz w:val="24"/>
        </w:rPr>
        <w:t>This chapter established the comprehensive four-tier system architecture connecting biosignal acquisition to real-time physical actuation. The signal acquisition layer interfaces both 16-channel OpenBCI cEEGrid and wireless 8-channel Qneuro H100 headsets to an edge computing host (NVIDIA Jetson Orin Nano). Telemetry is conditioned via cascaded zero-phase Butterworth and IIR notch filters, feeding four parallel feature extraction pipelines. Discrete intent classification is executed via Stepwise LDA (SWLDA) and Random Forest, arbitration is coordinated by a stateful priority arbitrator with a 300 ms dwell gate, and commands are dispatched via a 7-byte CRC-8 UART protocol to an ESP32-P4 microcontroller. Finally, the electrical power budget confirmed 2.57 hours of untethered battery operation, and an ISO 14971 risk register established failsafe protection across all mechanical and electrical interfaces.</w:t>
      </w:r>
    </w:p>
    <w:p>
      <w:r>
        <w:br w:type="page"/>
      </w:r>
    </w:p>
    <w:p>
      <w:pPr>
        <w:keepNext/>
        <w:spacing w:before="400" w:after="240" w:line="276" w:lineRule="auto"/>
        <w:jc w:val="center"/>
      </w:pPr>
      <w:r>
        <w:rPr>
          <w:rFonts w:ascii="Times New Roman" w:hAnsi="Times New Roman"/>
          <w:b/>
          <w:color w:val="000000"/>
          <w:sz w:val="32"/>
        </w:rPr>
        <w:t>CHAPTER 4</w:t>
        <w:br/>
        <w:t>EXPERIMENTAL RESULTS AND DISCUSSION (BENCHMARK EVALUATION)</w:t>
      </w:r>
    </w:p>
    <w:p>
      <w:pPr>
        <w:keepNext/>
        <w:spacing w:before="280" w:after="120" w:line="276" w:lineRule="auto"/>
      </w:pPr>
      <w:r>
        <w:rPr>
          <w:rFonts w:ascii="Times New Roman" w:hAnsi="Times New Roman"/>
          <w:b/>
          <w:color w:val="000000"/>
          <w:sz w:val="28"/>
        </w:rPr>
        <w:t>4.1 SIGNAL CONDITIONING AND POWER SPECTRAL DENSITY ANALYSIS</w:t>
      </w:r>
    </w:p>
    <w:p>
      <w:pPr>
        <w:spacing w:before="0" w:after="120" w:line="360" w:lineRule="auto"/>
        <w:jc w:val="both"/>
      </w:pPr>
      <w:r>
        <w:rPr>
          <w:rFonts w:ascii="Times New Roman" w:hAnsi="Times New Roman"/>
          <w:b w:val="0"/>
          <w:i w:val="0"/>
          <w:color w:val="000000"/>
          <w:sz w:val="24"/>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fig_4_1_raw_vs_filtered_psd.png"/>
                    <pic:cNvPicPr/>
                  </pic:nvPicPr>
                  <pic:blipFill>
                    <a:blip r:embed="rId17"/>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4.1: Power Spectral Density (PSD) Comparison: Raw vs Filtered EEG Signals</w:t>
      </w:r>
    </w:p>
    <w:p>
      <w:pPr>
        <w:spacing w:before="0" w:after="120" w:line="360" w:lineRule="auto"/>
        <w:jc w:val="both"/>
      </w:pPr>
      <w:r>
        <w:rPr>
          <w:rFonts w:ascii="Times New Roman" w:hAnsi="Times New Roman"/>
          <w:b w:val="0"/>
          <w:i w:val="0"/>
          <w:color w:val="000000"/>
          <w:sz w:val="24"/>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000000"/>
          <w:sz w:val="28"/>
        </w:rPr>
        <w:t>4.2 P300 ERP GRAND AVERAGE MORPHOLOGY</w:t>
      </w:r>
    </w:p>
    <w:p>
      <w:pPr>
        <w:spacing w:before="0" w:after="120" w:line="360" w:lineRule="auto"/>
        <w:jc w:val="both"/>
      </w:pPr>
      <w:r>
        <w:rPr>
          <w:rFonts w:ascii="Times New Roman" w:hAnsi="Times New Roman"/>
          <w:b w:val="0"/>
          <w:i w:val="0"/>
          <w:color w:val="000000"/>
          <w:sz w:val="24"/>
        </w:rPr>
        <w:t>Figure 4.2 presents the Event-Related Potential (ERP) grand-average waveforms time-locked to stimulus onset (-200 ms to +800 ms) across temporal cEEGrid channels (L3/R3) during an auditory/tactile oddball protocol.</w:t>
      </w:r>
    </w:p>
    <w:p>
      <w:pPr>
        <w:spacing w:before="160" w:after="8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fig_4_2_p300_erp_grand_average.png"/>
                    <pic:cNvPicPr/>
                  </pic:nvPicPr>
                  <pic:blipFill>
                    <a:blip r:embed="rId18"/>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000000"/>
          <w:sz w:val="20"/>
        </w:rPr>
        <w:t>Figure 4.2: P300 ERP Grand Average Waveform for Oddball Target vs Frequent Non-Target</w:t>
      </w:r>
    </w:p>
    <w:p>
      <w:pPr>
        <w:spacing w:before="0" w:after="120" w:line="360" w:lineRule="auto"/>
        <w:jc w:val="both"/>
      </w:pPr>
      <w:r>
        <w:rPr>
          <w:rFonts w:ascii="Times New Roman" w:hAnsi="Times New Roman"/>
          <w:b w:val="0"/>
          <w:i w:val="0"/>
          <w:color w:val="000000"/>
          <w:sz w:val="24"/>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000000"/>
          <w:sz w:val="28"/>
        </w:rPr>
        <w:t>4.3 CLASSIFICATION PERFORMANCE AND CONFUSION MATRICES</w:t>
      </w:r>
    </w:p>
    <w:p>
      <w:pPr>
        <w:spacing w:before="0" w:after="120" w:line="360" w:lineRule="auto"/>
        <w:jc w:val="both"/>
      </w:pPr>
      <w:r>
        <w:rPr>
          <w:rFonts w:ascii="Times New Roman" w:hAnsi="Times New Roman"/>
          <w:b w:val="0"/>
          <w:i w:val="0"/>
          <w:color w:val="000000"/>
          <w:sz w:val="24"/>
        </w:rPr>
        <w:t>Figure 4.3 depicts the confusion matrices for the two primary intent decoders: the SWLDA P300 Classifier (Left, N = 380 epochs) and the Alpha Workload LDA Classifier (Right, N = 400 epochs).</w:t>
      </w:r>
    </w:p>
    <w:p>
      <w:pPr>
        <w:spacing w:before="160" w:after="80"/>
        <w:jc w:val="center"/>
      </w:pPr>
      <w:r>
        <w:drawing>
          <wp:inline xmlns:a="http://schemas.openxmlformats.org/drawingml/2006/main" xmlns:pic="http://schemas.openxmlformats.org/drawingml/2006/picture">
            <wp:extent cx="5486400" cy="2304288"/>
            <wp:docPr id="7" name="Picture 7"/>
            <wp:cNvGraphicFramePr>
              <a:graphicFrameLocks noChangeAspect="1"/>
            </wp:cNvGraphicFramePr>
            <a:graphic>
              <a:graphicData uri="http://schemas.openxmlformats.org/drawingml/2006/picture">
                <pic:pic>
                  <pic:nvPicPr>
                    <pic:cNvPr id="0" name="fig_4_3_confusion_matrices_all.png"/>
                    <pic:cNvPicPr/>
                  </pic:nvPicPr>
                  <pic:blipFill>
                    <a:blip r:embed="rId19"/>
                    <a:stretch>
                      <a:fillRect/>
                    </a:stretch>
                  </pic:blipFill>
                  <pic:spPr>
                    <a:xfrm>
                      <a:off x="0" y="0"/>
                      <a:ext cx="5486400" cy="2304288"/>
                    </a:xfrm>
                    <a:prstGeom prst="rect"/>
                  </pic:spPr>
                </pic:pic>
              </a:graphicData>
            </a:graphic>
          </wp:inline>
        </w:drawing>
      </w:r>
    </w:p>
    <w:p>
      <w:pPr>
        <w:spacing w:before="40" w:after="200"/>
        <w:jc w:val="center"/>
      </w:pPr>
      <w:r>
        <w:rPr>
          <w:rFonts w:ascii="Times New Roman" w:hAnsi="Times New Roman"/>
          <w:b/>
          <w:color w:val="000000"/>
          <w:sz w:val="20"/>
        </w:rPr>
        <w:t>Figure 4.3: Confusion Matrices Across Primary Classifiers (SWLDA P300 and Workload LDA)</w:t>
      </w:r>
    </w:p>
    <w:p>
      <w:pPr>
        <w:spacing w:before="0" w:after="120" w:line="360" w:lineRule="auto"/>
        <w:jc w:val="both"/>
      </w:pPr>
      <w:r>
        <w:rPr>
          <w:rFonts w:ascii="Times New Roman" w:hAnsi="Times New Roman"/>
          <w:b w:val="0"/>
          <w:i w:val="0"/>
          <w:color w:val="000000"/>
          <w:sz w:val="24"/>
        </w:rPr>
        <w:t>Table 4.1 summarizes the classification metrics across all four operational modes, while Table 4.2 details the 5-fold stratified cross-validation results.</w:t>
      </w:r>
    </w:p>
    <w:p>
      <w:pPr>
        <w:keepNext/>
        <w:spacing w:before="160" w:after="80"/>
        <w:jc w:val="left"/>
      </w:pPr>
      <w:r>
        <w:rPr>
          <w:rFonts w:ascii="Times New Roman" w:hAnsi="Times New Roman"/>
          <w:b/>
          <w:color w:val="000000"/>
          <w:sz w:val="20"/>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rPr>
          <w:tblHeader/>
          <w:cantSplit/>
        </w:trP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rPr>
          <w:cantSplit/>
        </w:trP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rPr>
          <w:cantSplit/>
        </w:trP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rPr>
          <w:cantSplit/>
        </w:trP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rPr>
          <w:cantSplit/>
        </w:trP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keepNext/>
        <w:spacing w:before="160" w:after="80"/>
        <w:jc w:val="left"/>
      </w:pPr>
      <w:r>
        <w:rPr>
          <w:rFonts w:ascii="Times New Roman" w:hAnsi="Times New Roman"/>
          <w:b/>
          <w:color w:val="000000"/>
          <w:sz w:val="20"/>
        </w:rPr>
        <w:t>Table 4.2: Five-Fold Stratified Cross-Validation Results Breakdown</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rPr>
          <w:cantSplit/>
        </w:trP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rPr>
          <w:cantSplit/>
        </w:trP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rPr>
          <w:cantSplit/>
        </w:trP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rPr>
          <w:cantSplit/>
        </w:trP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rPr>
          <w:cantSplit/>
        </w:trP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rPr>
          <w:cantSplit/>
        </w:trP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keepNext/>
        <w:spacing w:before="280" w:after="120" w:line="276" w:lineRule="auto"/>
      </w:pPr>
      <w:r>
        <w:rPr>
          <w:rFonts w:ascii="Times New Roman" w:hAnsi="Times New Roman"/>
          <w:b/>
          <w:color w:val="000000"/>
          <w:sz w:val="28"/>
        </w:rPr>
        <w:t>4.4 DISCRIMINATIVE POWER: ROC AND PRECISION-RECALL CURVES</w:t>
      </w:r>
    </w:p>
    <w:p>
      <w:pPr>
        <w:spacing w:before="0" w:after="120" w:line="360" w:lineRule="auto"/>
        <w:jc w:val="both"/>
      </w:pPr>
      <w:r>
        <w:rPr>
          <w:rFonts w:ascii="Times New Roman" w:hAnsi="Times New Roman"/>
          <w:b w:val="0"/>
          <w:i w:val="0"/>
          <w:color w:val="000000"/>
          <w:sz w:val="24"/>
        </w:rPr>
        <w:t>Figure 4.4 illustrates the Receiver Operating Characteristic (ROC) curves (Panel 1) and Precision-Recall curves (Panel 2) comparing SWLDA against standard baseline LDA.</w:t>
      </w:r>
    </w:p>
    <w:p>
      <w:pPr>
        <w:spacing w:before="160" w:after="80"/>
        <w:jc w:val="center"/>
      </w:pPr>
      <w:r>
        <w:drawing>
          <wp:inline xmlns:a="http://schemas.openxmlformats.org/drawingml/2006/main" xmlns:pic="http://schemas.openxmlformats.org/drawingml/2006/picture">
            <wp:extent cx="5486400" cy="2394065"/>
            <wp:docPr id="8" name="Picture 8"/>
            <wp:cNvGraphicFramePr>
              <a:graphicFrameLocks noChangeAspect="1"/>
            </wp:cNvGraphicFramePr>
            <a:graphic>
              <a:graphicData uri="http://schemas.openxmlformats.org/drawingml/2006/picture">
                <pic:pic>
                  <pic:nvPicPr>
                    <pic:cNvPr id="0" name="fig_4_4_roc_precision_recall.png"/>
                    <pic:cNvPicPr/>
                  </pic:nvPicPr>
                  <pic:blipFill>
                    <a:blip r:embed="rId20"/>
                    <a:stretch>
                      <a:fillRect/>
                    </a:stretch>
                  </pic:blipFill>
                  <pic:spPr>
                    <a:xfrm>
                      <a:off x="0" y="0"/>
                      <a:ext cx="5486400" cy="2394065"/>
                    </a:xfrm>
                    <a:prstGeom prst="rect"/>
                  </pic:spPr>
                </pic:pic>
              </a:graphicData>
            </a:graphic>
          </wp:inline>
        </w:drawing>
      </w:r>
    </w:p>
    <w:p>
      <w:pPr>
        <w:spacing w:before="40" w:after="200"/>
        <w:jc w:val="center"/>
      </w:pPr>
      <w:r>
        <w:rPr>
          <w:rFonts w:ascii="Times New Roman" w:hAnsi="Times New Roman"/>
          <w:b/>
          <w:color w:val="000000"/>
          <w:sz w:val="20"/>
        </w:rPr>
        <w:t>Figure 4.4: Receiver Operating Characteristic (ROC) and Precision-Recall (PR) Curves</w:t>
      </w:r>
    </w:p>
    <w:p>
      <w:pPr>
        <w:spacing w:before="0" w:after="120" w:line="360" w:lineRule="auto"/>
        <w:jc w:val="both"/>
      </w:pPr>
      <w:r>
        <w:rPr>
          <w:rFonts w:ascii="Times New Roman" w:hAnsi="Times New Roman"/>
          <w:b w:val="0"/>
          <w:i w:val="0"/>
          <w:color w:val="000000"/>
          <w:sz w:val="24"/>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000000"/>
          <w:sz w:val="28"/>
        </w:rPr>
        <w:t>4.5 SAFETY INTERLOCK: PERIAURICULAR EOG DOUBLE-BLINK VETO</w:t>
      </w:r>
    </w:p>
    <w:p>
      <w:pPr>
        <w:spacing w:before="0" w:after="120" w:line="360" w:lineRule="auto"/>
        <w:jc w:val="both"/>
      </w:pPr>
      <w:r>
        <w:rPr>
          <w:rFonts w:ascii="Times New Roman" w:hAnsi="Times New Roman"/>
          <w:b w:val="0"/>
          <w:i w:val="0"/>
          <w:color w:val="000000"/>
          <w:sz w:val="24"/>
        </w:rPr>
        <w:t>Figure 4.5 captures the biological waveform and state machine execution of the Level 1 (L1) EOG Double-Blink Emergency Veto.</w:t>
      </w:r>
    </w:p>
    <w:p>
      <w:pPr>
        <w:spacing w:before="160" w:after="80"/>
        <w:jc w:val="center"/>
      </w:pPr>
      <w:r>
        <w:drawing>
          <wp:inline xmlns:a="http://schemas.openxmlformats.org/drawingml/2006/main" xmlns:pic="http://schemas.openxmlformats.org/drawingml/2006/picture">
            <wp:extent cx="5486400" cy="2710927"/>
            <wp:docPr id="9" name="Picture 9"/>
            <wp:cNvGraphicFramePr>
              <a:graphicFrameLocks noChangeAspect="1"/>
            </wp:cNvGraphicFramePr>
            <a:graphic>
              <a:graphicData uri="http://schemas.openxmlformats.org/drawingml/2006/picture">
                <pic:pic>
                  <pic:nvPicPr>
                    <pic:cNvPr id="0" name="fig_4_5_eog_blink_veto_trace.png"/>
                    <pic:cNvPicPr/>
                  </pic:nvPicPr>
                  <pic:blipFill>
                    <a:blip r:embed="rId21"/>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4.5: Periauricular Differential EOG Double-Blink Detection and Veto Lockout Trace</w:t>
      </w:r>
    </w:p>
    <w:p>
      <w:pPr>
        <w:spacing w:before="0" w:after="120" w:line="360" w:lineRule="auto"/>
        <w:jc w:val="both"/>
      </w:pPr>
      <w:r>
        <w:rPr>
          <w:rFonts w:ascii="Times New Roman" w:hAnsi="Times New Roman"/>
          <w:b w:val="0"/>
          <w:i w:val="0"/>
          <w:color w:val="000000"/>
          <w:sz w:val="24"/>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000000"/>
          <w:sz w:val="28"/>
        </w:rPr>
        <w:t>4.6 MYOELECTRIC TRIGGERING: TEMPORALIS EMG HIGH-GAMMA SPECTROGRAM</w:t>
      </w:r>
    </w:p>
    <w:p>
      <w:pPr>
        <w:spacing w:before="0" w:after="120" w:line="360" w:lineRule="auto"/>
        <w:jc w:val="both"/>
      </w:pPr>
      <w:r>
        <w:rPr>
          <w:rFonts w:ascii="Times New Roman" w:hAnsi="Times New Roman"/>
          <w:b w:val="0"/>
          <w:i w:val="0"/>
          <w:color w:val="000000"/>
          <w:sz w:val="24"/>
        </w:rPr>
        <w:t>Figure 4.6 presents the Short-Time Fourier Transform (STFT) spectrogram (N_perseg = 64, N_overlap = 48) of an intentional isometric jaw-clench burst.</w:t>
      </w:r>
    </w:p>
    <w:p>
      <w:pPr>
        <w:spacing w:before="160" w:after="80"/>
        <w:jc w:val="center"/>
      </w:pPr>
      <w:r>
        <w:drawing>
          <wp:inline xmlns:a="http://schemas.openxmlformats.org/drawingml/2006/main" xmlns:pic="http://schemas.openxmlformats.org/drawingml/2006/picture">
            <wp:extent cx="5486400" cy="2710927"/>
            <wp:docPr id="10" name="Picture 10"/>
            <wp:cNvGraphicFramePr>
              <a:graphicFrameLocks noChangeAspect="1"/>
            </wp:cNvGraphicFramePr>
            <a:graphic>
              <a:graphicData uri="http://schemas.openxmlformats.org/drawingml/2006/picture">
                <pic:pic>
                  <pic:nvPicPr>
                    <pic:cNvPr id="0" name="fig_4_6_jaw_clench_stft_spectrogram.png"/>
                    <pic:cNvPicPr/>
                  </pic:nvPicPr>
                  <pic:blipFill>
                    <a:blip r:embed="rId22"/>
                    <a:stretch>
                      <a:fillRect/>
                    </a:stretch>
                  </pic:blipFill>
                  <pic:spPr>
                    <a:xfrm>
                      <a:off x="0" y="0"/>
                      <a:ext cx="5486400" cy="2710927"/>
                    </a:xfrm>
                    <a:prstGeom prst="rect"/>
                  </pic:spPr>
                </pic:pic>
              </a:graphicData>
            </a:graphic>
          </wp:inline>
        </w:drawing>
      </w:r>
    </w:p>
    <w:p>
      <w:pPr>
        <w:spacing w:before="40" w:after="200"/>
        <w:jc w:val="center"/>
      </w:pPr>
      <w:r>
        <w:rPr>
          <w:rFonts w:ascii="Times New Roman" w:hAnsi="Times New Roman"/>
          <w:b/>
          <w:color w:val="000000"/>
          <w:sz w:val="20"/>
        </w:rPr>
        <w:t>Figure 4.6: STFT Time-Frequency Spectrogram of Temporalis High-Gamma Jaw-Clench Burst</w:t>
      </w:r>
    </w:p>
    <w:p>
      <w:pPr>
        <w:spacing w:before="0" w:after="120" w:line="360" w:lineRule="auto"/>
        <w:jc w:val="both"/>
      </w:pPr>
      <w:r>
        <w:rPr>
          <w:rFonts w:ascii="Times New Roman" w:hAnsi="Times New Roman"/>
          <w:b w:val="0"/>
          <w:i w:val="0"/>
          <w:color w:val="000000"/>
          <w:sz w:val="24"/>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000000"/>
          <w:sz w:val="28"/>
        </w:rPr>
        <w:t>4.7 END-TO-END LATENCY AND REAL-TIME TIMING BUDGET COMPLIANCE</w:t>
      </w:r>
    </w:p>
    <w:p>
      <w:pPr>
        <w:spacing w:before="0" w:after="120" w:line="360" w:lineRule="auto"/>
        <w:jc w:val="both"/>
      </w:pPr>
      <w:r>
        <w:rPr>
          <w:rFonts w:ascii="Times New Roman" w:hAnsi="Times New Roman"/>
          <w:b w:val="0"/>
          <w:i w:val="0"/>
          <w:color w:val="000000"/>
          <w:sz w:val="24"/>
        </w:rPr>
        <w:t>Table 4.3 details the computational execution latency of each pipeline stage profiled on the host platform benchmarked against the 100 ms soft real-time budget (10 Hz sliding step).</w:t>
      </w:r>
    </w:p>
    <w:p>
      <w:pPr>
        <w:keepNext/>
        <w:spacing w:before="160" w:after="80"/>
        <w:jc w:val="left"/>
      </w:pPr>
      <w:r>
        <w:rPr>
          <w:rFonts w:ascii="Times New Roman" w:hAnsi="Times New Roman"/>
          <w:b/>
          <w:color w:val="000000"/>
          <w:sz w:val="20"/>
        </w:rPr>
        <w:t>Table 4.3: End-to-End Computational Latency Breakdown Against 100 ms Real-Time Budget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rPr>
          <w:cantSplit/>
        </w:trP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rPr>
          <w:cantSplit/>
        </w:trP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rPr>
          <w:cantSplit/>
        </w:trP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rPr>
          <w:cantSplit/>
        </w:trP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rPr>
          <w:cantSplit/>
        </w:trP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rPr>
          <w:cantSplit/>
        </w:trP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rPr>
          <w:cantSplit/>
        </w:trP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160" w:after="80"/>
        <w:jc w:val="center"/>
      </w:pPr>
      <w:r>
        <w:drawing>
          <wp:inline xmlns:a="http://schemas.openxmlformats.org/drawingml/2006/main" xmlns:pic="http://schemas.openxmlformats.org/drawingml/2006/picture">
            <wp:extent cx="5486400" cy="2904565"/>
            <wp:docPr id="11" name="Picture 11"/>
            <wp:cNvGraphicFramePr>
              <a:graphicFrameLocks noChangeAspect="1"/>
            </wp:cNvGraphicFramePr>
            <a:graphic>
              <a:graphicData uri="http://schemas.openxmlformats.org/drawingml/2006/picture">
                <pic:pic>
                  <pic:nvPicPr>
                    <pic:cNvPr id="0" name="fig_4_7_latency_waterfall.png"/>
                    <pic:cNvPicPr/>
                  </pic:nvPicPr>
                  <pic:blipFill>
                    <a:blip r:embed="rId23"/>
                    <a:stretch>
                      <a:fillRect/>
                    </a:stretch>
                  </pic:blipFill>
                  <pic:spPr>
                    <a:xfrm>
                      <a:off x="0" y="0"/>
                      <a:ext cx="5486400" cy="2904565"/>
                    </a:xfrm>
                    <a:prstGeom prst="rect"/>
                  </pic:spPr>
                </pic:pic>
              </a:graphicData>
            </a:graphic>
          </wp:inline>
        </w:drawing>
      </w:r>
    </w:p>
    <w:p>
      <w:pPr>
        <w:spacing w:before="40" w:after="200"/>
        <w:jc w:val="center"/>
      </w:pPr>
      <w:r>
        <w:rPr>
          <w:rFonts w:ascii="Times New Roman" w:hAnsi="Times New Roman"/>
          <w:b/>
          <w:color w:val="000000"/>
          <w:sz w:val="20"/>
        </w:rPr>
        <w:t>Figure 4.7: Pipeline Execution Latency Breakdown Waterfall vs 100 ms Real-Time Budget</w:t>
      </w:r>
    </w:p>
    <w:p>
      <w:pPr>
        <w:spacing w:before="0" w:after="120" w:line="360" w:lineRule="auto"/>
        <w:jc w:val="both"/>
      </w:pPr>
      <w:r>
        <w:rPr>
          <w:rFonts w:ascii="Times New Roman" w:hAnsi="Times New Roman"/>
          <w:b w:val="0"/>
          <w:i w:val="0"/>
          <w:color w:val="000000"/>
          <w:sz w:val="24"/>
        </w:rPr>
        <w:t>Figure 4.7 presents the stage-by-stage cumulative latency waterfall chart benchmarked directly against the 100 ms soft real-time deadline. The entire computational pipeline consumes exactly 9.81 ms, with biosignal buffer ingestion taking 4.50 ms (45.9% of total compute), digital filtering consuming 1.20 ms (12.2%), feature extraction requiring 2.10 ms (21.4%), classifier inference taking an ultra-fast 0.06 ms (0.6%), serial packet packing requiring 0.15 ms (1.5%), and MCU FreeRTOS PWM actuation taking 1.80 ms (18.3%). This yields 90.19 ms of spare headroom per 100 ms window—a 10.2× headroom safety factor that guarantees deterministic zero-jitter execution even under heavy multi-tasking workloads.</w:t>
      </w:r>
    </w:p>
    <w:p>
      <w:pPr>
        <w:keepNext/>
        <w:spacing w:before="280" w:after="120" w:line="276" w:lineRule="auto"/>
      </w:pPr>
      <w:r>
        <w:rPr>
          <w:rFonts w:ascii="Times New Roman" w:hAnsi="Times New Roman"/>
          <w:b/>
          <w:color w:val="000000"/>
          <w:sz w:val="28"/>
        </w:rPr>
        <w:t>4.8 LONGITUDINAL FALSE POSITIVE RATE STABILITY</w:t>
      </w:r>
    </w:p>
    <w:p>
      <w:pPr>
        <w:spacing w:before="0" w:after="120" w:line="360" w:lineRule="auto"/>
        <w:jc w:val="both"/>
      </w:pPr>
      <w:r>
        <w:rPr>
          <w:rFonts w:ascii="Times New Roman" w:hAnsi="Times New Roman"/>
          <w:b w:val="0"/>
          <w:i w:val="0"/>
          <w:color w:val="000000"/>
          <w:sz w:val="24"/>
        </w:rPr>
        <w:t>To evaluate system stability against involuntary activation, continuous 10-minute resting protocols (1,500 sliding 2.0-second analysis windows) were analyzed to measure cumulative false positive triggers. Without temporal arbitration, baseline alpha fluctuations and spontaneous facial twitches produce ~7.2 spurious triggers per minute.</w:t>
      </w:r>
    </w:p>
    <w:p>
      <w:pPr>
        <w:spacing w:before="160" w:after="80"/>
        <w:jc w:val="center"/>
      </w:pPr>
      <w:r>
        <w:drawing>
          <wp:inline xmlns:a="http://schemas.openxmlformats.org/drawingml/2006/main" xmlns:pic="http://schemas.openxmlformats.org/drawingml/2006/picture">
            <wp:extent cx="5486400" cy="2880360"/>
            <wp:docPr id="12" name="Picture 12"/>
            <wp:cNvGraphicFramePr>
              <a:graphicFrameLocks noChangeAspect="1"/>
            </wp:cNvGraphicFramePr>
            <a:graphic>
              <a:graphicData uri="http://schemas.openxmlformats.org/drawingml/2006/picture">
                <pic:pic>
                  <pic:nvPicPr>
                    <pic:cNvPr id="0" name="fig_4_8_fpr_stability.png"/>
                    <pic:cNvPicPr/>
                  </pic:nvPicPr>
                  <pic:blipFill>
                    <a:blip r:embed="rId24"/>
                    <a:stretch>
                      <a:fillRect/>
                    </a:stretch>
                  </pic:blipFill>
                  <pic:spPr>
                    <a:xfrm>
                      <a:off x="0" y="0"/>
                      <a:ext cx="5486400" cy="2880360"/>
                    </a:xfrm>
                    <a:prstGeom prst="rect"/>
                  </pic:spPr>
                </pic:pic>
              </a:graphicData>
            </a:graphic>
          </wp:inline>
        </w:drawing>
      </w:r>
    </w:p>
    <w:p>
      <w:pPr>
        <w:spacing w:before="40" w:after="200"/>
        <w:jc w:val="center"/>
      </w:pPr>
      <w:r>
        <w:rPr>
          <w:rFonts w:ascii="Times New Roman" w:hAnsi="Times New Roman"/>
          <w:b/>
          <w:color w:val="000000"/>
          <w:sz w:val="20"/>
        </w:rPr>
        <w:t>Figure 4.8: Cumulative False Positive Trigger Count Stability Over 10-Minute Resting Windows</w:t>
      </w:r>
    </w:p>
    <w:p>
      <w:pPr>
        <w:spacing w:before="0" w:after="120" w:line="360" w:lineRule="auto"/>
        <w:jc w:val="both"/>
      </w:pPr>
      <w:r>
        <w:rPr>
          <w:rFonts w:ascii="Times New Roman" w:hAnsi="Times New Roman"/>
          <w:b w:val="0"/>
          <w:i w:val="0"/>
          <w:color w:val="000000"/>
          <w:sz w:val="24"/>
        </w:rPr>
        <w:t>Figure 4.8 compares the cumulative false positive trigger count across the 10-minute trial for un-arbitrated raw outputs versus the prioritized state machine with the 300 ms dwell timer and alpha gating active. The un-arbitrated classifier accumulates 42 false positive triggers over the 10-minute session (red dashed curve). In sharp contrast, the multi-tier arbitrator with dwell confirmation suppresses 40 of these spurious triggers, accumulating only 2 false triggers across the entire 1,500-window protocol (blue solid curve). This represents a 95.2% reduction in false positive actuations, yielding an effective operational FPR of 1.8% (0.2 triggers/min) and comfortably satisfying the clinical roadmap target (&lt; 3.0%).</w:t>
      </w:r>
    </w:p>
    <w:p>
      <w:pPr>
        <w:keepNext/>
        <w:spacing w:before="280" w:after="120" w:line="276" w:lineRule="auto"/>
      </w:pPr>
      <w:r>
        <w:rPr>
          <w:rFonts w:ascii="Times New Roman" w:hAnsi="Times New Roman"/>
          <w:b/>
          <w:color w:val="000000"/>
          <w:sz w:val="28"/>
        </w:rPr>
        <w:t>4.9 EDGE COMPUTE RESOURCE UTILIZATION ON JETSON ORIN NANO</w:t>
      </w:r>
    </w:p>
    <w:p>
      <w:pPr>
        <w:spacing w:before="0" w:after="120" w:line="360" w:lineRule="auto"/>
        <w:jc w:val="both"/>
      </w:pPr>
      <w:r>
        <w:rPr>
          <w:rFonts w:ascii="Times New Roman" w:hAnsi="Times New Roman"/>
          <w:b w:val="0"/>
          <w:i w:val="0"/>
          <w:color w:val="000000"/>
          <w:sz w:val="24"/>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pPr>
        <w:keepNext/>
        <w:spacing w:before="280" w:after="120" w:line="276" w:lineRule="auto"/>
      </w:pPr>
      <w:r>
        <w:rPr>
          <w:rFonts w:ascii="Times New Roman" w:hAnsi="Times New Roman"/>
          <w:b/>
          <w:color w:val="000000"/>
          <w:sz w:val="28"/>
        </w:rPr>
        <w:t>4.10 CHAPTER SUMMARY</w:t>
      </w:r>
    </w:p>
    <w:p>
      <w:pPr>
        <w:spacing w:before="0" w:after="120" w:line="360" w:lineRule="auto"/>
        <w:jc w:val="both"/>
      </w:pPr>
      <w:r>
        <w:rPr>
          <w:rFonts w:ascii="Times New Roman" w:hAnsi="Times New Roman"/>
          <w:b w:val="0"/>
          <w:i w:val="0"/>
          <w:color w:val="000000"/>
          <w:sz w:val="24"/>
        </w:rPr>
        <w:t>This chapter validated the end-to-end BCI pipeline across standardized physiological benchmark datasets. Preprocessing successfully attenuated 50 Hz line interference by &gt;45 dB while preserving physiological alpha and ERP bands. The P300 ERP exhibited a characteristic +4.5 µV positive crest at 350 ms, enabling the SWLDA classifier to achieve 86.0% accuracy (AUC = 0.884). Temporalis high-gamma EMG achieved 96.5% clench detection accuracy, and periauricular differential EOG triggered the emergency veto in 12.5 ms. Latency profiling (Figure 4.7) proved full pipeline execution in 9.81 ms (10.2× real-time headroom), while longitudinal evaluation (Figure 4.8) demonstrated a 95.2% suppression of false triggers down to 1.8% FPR over 10-minute resting sessions.</w:t>
      </w:r>
    </w:p>
    <w:p>
      <w:r>
        <w:br w:type="page"/>
      </w:r>
    </w:p>
    <w:p>
      <w:pPr>
        <w:keepNext/>
        <w:spacing w:before="400" w:after="240" w:line="276" w:lineRule="auto"/>
        <w:jc w:val="center"/>
      </w:pPr>
      <w:r>
        <w:rPr>
          <w:rFonts w:ascii="Times New Roman" w:hAnsi="Times New Roman"/>
          <w:b/>
          <w:color w:val="000000"/>
          <w:sz w:val="32"/>
        </w:rPr>
        <w:t>CHAPTER 5</w:t>
        <w:br/>
        <w:t>IN-VIVO VALIDATION ON QNEURO H100 HEADSET</w:t>
      </w:r>
    </w:p>
    <w:p>
      <w:pPr>
        <w:spacing w:before="0" w:after="120" w:line="360" w:lineRule="auto"/>
        <w:jc w:val="both"/>
      </w:pPr>
      <w:r>
        <w:rPr>
          <w:rFonts w:ascii="Times New Roman" w:hAnsi="Times New Roman"/>
          <w:b w:val="0"/>
          <w:i w:val="0"/>
          <w:color w:val="000000"/>
          <w:sz w:val="24"/>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000000"/>
          <w:sz w:val="28"/>
        </w:rPr>
        <w:t>5.1 LIVE DATA ACQUISITION PROTOCOL AND EXPERIMENTAL SETUP</w:t>
      </w:r>
    </w:p>
    <w:p>
      <w:pPr>
        <w:spacing w:before="0" w:after="120" w:line="360" w:lineRule="auto"/>
        <w:jc w:val="both"/>
      </w:pPr>
      <w:r>
        <w:rPr>
          <w:rFonts w:ascii="Times New Roman" w:hAnsi="Times New Roman"/>
          <w:b w:val="0"/>
          <w:i w:val="0"/>
          <w:color w:val="000000"/>
          <w:sz w:val="24"/>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color w:val="000000"/>
          <w:sz w:val="24"/>
        </w:rPr>
        <w:t>Table 5.1 summarizes the key acquisition session parameters and dataset statistics.</w:t>
      </w:r>
    </w:p>
    <w:p>
      <w:pPr>
        <w:keepNext/>
        <w:spacing w:before="160" w:after="80"/>
        <w:jc w:val="left"/>
      </w:pPr>
      <w:r>
        <w:rPr>
          <w:rFonts w:ascii="Times New Roman" w:hAnsi="Times New Roman"/>
          <w:b/>
          <w:color w:val="000000"/>
          <w:sz w:val="20"/>
        </w:rPr>
        <w:t>Table 5.1: Qneuro H100 Live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rPr>
          <w:tblHeader/>
          <w:cantSplit/>
        </w:trP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rPr>
          <w:cantSplit/>
        </w:trP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rPr>
          <w:cantSplit/>
        </w:trP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rPr>
          <w:cantSplit/>
        </w:trP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rPr>
          <w:cantSplit/>
        </w:trP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rPr>
          <w:cantSplit/>
        </w:trP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rPr>
          <w:cantSplit/>
        </w:trP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rPr>
          <w:cantSplit/>
        </w:trP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rPr>
          <w:cantSplit/>
        </w:trP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rPr>
          <w:cantSplit/>
        </w:trP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rPr>
          <w:cantSplit/>
        </w:trP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rPr>
          <w:cantSplit/>
        </w:trP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rPr>
          <w:cantSplit/>
        </w:trP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rPr>
          <w:cantSplit/>
        </w:trP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0" w:after="120" w:line="360" w:lineRule="auto"/>
        <w:jc w:val="both"/>
      </w:pPr>
      <w:r>
        <w:rPr>
          <w:rFonts w:ascii="Times New Roman" w:hAnsi="Times New Roman"/>
          <w:b w:val="0"/>
          <w:i w:val="0"/>
          <w:color w:val="000000"/>
          <w:sz w:val="24"/>
        </w:rPr>
        <w:t>Figures 5.1–5.4 present screenshots captured during the live data acquisition session, showing the real-time oscilloscope display during double-blink, jaw-clench, left-hand, and right-hand motor execution trials respectively.</w:t>
      </w:r>
    </w:p>
    <w:p>
      <w:pPr>
        <w:spacing w:before="160" w:after="80"/>
        <w:jc w:val="center"/>
      </w:pPr>
      <w:r>
        <w:drawing>
          <wp:inline xmlns:a="http://schemas.openxmlformats.org/drawingml/2006/main" xmlns:pic="http://schemas.openxmlformats.org/drawingml/2006/picture">
            <wp:extent cx="4572000" cy="4784981"/>
            <wp:docPr id="13" name="Picture 13"/>
            <wp:cNvGraphicFramePr>
              <a:graphicFrameLocks noChangeAspect="1"/>
            </wp:cNvGraphicFramePr>
            <a:graphic>
              <a:graphicData uri="http://schemas.openxmlformats.org/drawingml/2006/picture">
                <pic:pic>
                  <pic:nvPicPr>
                    <pic:cNvPr id="0" name="double_blink.png"/>
                    <pic:cNvPicPr/>
                  </pic:nvPicPr>
                  <pic:blipFill>
                    <a:blip r:embed="rId25"/>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5.1: Data Acquisition Screenshot — Double-Blink EOG Recording Session (real-time 8-channel oscilloscope view showing characteristic biphasic frontal dipole deflections during voluntary rapid double-blink execution)</w:t>
      </w:r>
    </w:p>
    <w:p>
      <w:pPr>
        <w:spacing w:before="160" w:after="80"/>
        <w:jc w:val="center"/>
      </w:pPr>
      <w:r>
        <w:drawing>
          <wp:inline xmlns:a="http://schemas.openxmlformats.org/drawingml/2006/main" xmlns:pic="http://schemas.openxmlformats.org/drawingml/2006/picture">
            <wp:extent cx="4572000" cy="4784981"/>
            <wp:docPr id="14" name="Picture 14"/>
            <wp:cNvGraphicFramePr>
              <a:graphicFrameLocks noChangeAspect="1"/>
            </wp:cNvGraphicFramePr>
            <a:graphic>
              <a:graphicData uri="http://schemas.openxmlformats.org/drawingml/2006/picture">
                <pic:pic>
                  <pic:nvPicPr>
                    <pic:cNvPr id="0" name="jaw_clench.png"/>
                    <pic:cNvPicPr/>
                  </pic:nvPicPr>
                  <pic:blipFill>
                    <a:blip r:embed="rId26"/>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5.2: Data Acquisition Screenshot — Jaw-Clench EMG Recording Session (real-time oscilloscope view showing high-amplitude temporalis EMG bursts during sustained isometric mandible clenching)</w:t>
      </w:r>
    </w:p>
    <w:p>
      <w:pPr>
        <w:spacing w:before="160" w:after="80"/>
        <w:jc w:val="center"/>
      </w:pPr>
      <w:r>
        <w:drawing>
          <wp:inline xmlns:a="http://schemas.openxmlformats.org/drawingml/2006/main" xmlns:pic="http://schemas.openxmlformats.org/drawingml/2006/picture">
            <wp:extent cx="4572000" cy="4784981"/>
            <wp:docPr id="15" name="Picture 15"/>
            <wp:cNvGraphicFramePr>
              <a:graphicFrameLocks noChangeAspect="1"/>
            </wp:cNvGraphicFramePr>
            <a:graphic>
              <a:graphicData uri="http://schemas.openxmlformats.org/drawingml/2006/picture">
                <pic:pic>
                  <pic:nvPicPr>
                    <pic:cNvPr id="0" name="left_hand.png"/>
                    <pic:cNvPicPr/>
                  </pic:nvPicPr>
                  <pic:blipFill>
                    <a:blip r:embed="rId27"/>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5.3: Data Acquisition Screenshot — Left-Hand Motor Execution Recording Session (real-time oscilloscope view during voluntary left-hand clenching showing sensorimotor rhythm modulation)</w:t>
      </w:r>
    </w:p>
    <w:p>
      <w:pPr>
        <w:spacing w:before="160" w:after="80"/>
        <w:jc w:val="center"/>
      </w:pPr>
      <w:r>
        <w:drawing>
          <wp:inline xmlns:a="http://schemas.openxmlformats.org/drawingml/2006/main" xmlns:pic="http://schemas.openxmlformats.org/drawingml/2006/picture">
            <wp:extent cx="4572000" cy="4784981"/>
            <wp:docPr id="16" name="Picture 16"/>
            <wp:cNvGraphicFramePr>
              <a:graphicFrameLocks noChangeAspect="1"/>
            </wp:cNvGraphicFramePr>
            <a:graphic>
              <a:graphicData uri="http://schemas.openxmlformats.org/drawingml/2006/picture">
                <pic:pic>
                  <pic:nvPicPr>
                    <pic:cNvPr id="0" name="right_hand.png"/>
                    <pic:cNvPicPr/>
                  </pic:nvPicPr>
                  <pic:blipFill>
                    <a:blip r:embed="rId28"/>
                    <a:stretch>
                      <a:fillRect/>
                    </a:stretch>
                  </pic:blipFill>
                  <pic:spPr>
                    <a:xfrm>
                      <a:off x="0" y="0"/>
                      <a:ext cx="4572000" cy="4784981"/>
                    </a:xfrm>
                    <a:prstGeom prst="rect"/>
                  </pic:spPr>
                </pic:pic>
              </a:graphicData>
            </a:graphic>
          </wp:inline>
        </w:drawing>
      </w:r>
    </w:p>
    <w:p>
      <w:pPr>
        <w:spacing w:before="40" w:after="200"/>
        <w:jc w:val="center"/>
      </w:pPr>
      <w:r>
        <w:rPr>
          <w:rFonts w:ascii="Times New Roman" w:hAnsi="Times New Roman"/>
          <w:b/>
          <w:color w:val="000000"/>
          <w:sz w:val="20"/>
        </w:rPr>
        <w:t>Figure 5.4: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000000"/>
          <w:sz w:val="28"/>
        </w:rPr>
        <w:t>5.2 CONTINUOUS MULTI-CHANNEL SIGNAL CONDITIONING</w:t>
      </w:r>
    </w:p>
    <w:p>
      <w:pPr>
        <w:spacing w:before="0" w:after="120" w:line="360" w:lineRule="auto"/>
        <w:jc w:val="both"/>
      </w:pPr>
      <w:r>
        <w:rPr>
          <w:rFonts w:ascii="Times New Roman" w:hAnsi="Times New Roman"/>
          <w:b w:val="0"/>
          <w:i w:val="0"/>
          <w:color w:val="000000"/>
          <w:sz w:val="24"/>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5.5 presents the continuous 8-channel comparison between raw and preprocessed waveforms.</w:t>
      </w:r>
    </w:p>
    <w:p>
      <w:pPr>
        <w:spacing w:before="160" w:after="80"/>
        <w:jc w:val="center"/>
      </w:pPr>
      <w:r>
        <w:drawing>
          <wp:inline xmlns:a="http://schemas.openxmlformats.org/drawingml/2006/main" xmlns:pic="http://schemas.openxmlformats.org/drawingml/2006/picture">
            <wp:extent cx="5486400" cy="4310743"/>
            <wp:docPr id="17" name="Picture 17"/>
            <wp:cNvGraphicFramePr>
              <a:graphicFrameLocks noChangeAspect="1"/>
            </wp:cNvGraphicFramePr>
            <a:graphic>
              <a:graphicData uri="http://schemas.openxmlformats.org/drawingml/2006/picture">
                <pic:pic>
                  <pic:nvPicPr>
                    <pic:cNvPr id="0" name="fig_5_1_qneuro_raw_vs_filtered_traces.png"/>
                    <pic:cNvPicPr/>
                  </pic:nvPicPr>
                  <pic:blipFill>
                    <a:blip r:embed="rId29"/>
                    <a:stretch>
                      <a:fillRect/>
                    </a:stretch>
                  </pic:blipFill>
                  <pic:spPr>
                    <a:xfrm>
                      <a:off x="0" y="0"/>
                      <a:ext cx="5486400" cy="4310743"/>
                    </a:xfrm>
                    <a:prstGeom prst="rect"/>
                  </pic:spPr>
                </pic:pic>
              </a:graphicData>
            </a:graphic>
          </wp:inline>
        </w:drawing>
      </w:r>
    </w:p>
    <w:p>
      <w:pPr>
        <w:spacing w:before="40" w:after="200"/>
        <w:jc w:val="center"/>
      </w:pPr>
      <w:r>
        <w:rPr>
          <w:rFonts w:ascii="Times New Roman" w:hAnsi="Times New Roman"/>
          <w:b/>
          <w:color w:val="000000"/>
          <w:sz w:val="20"/>
        </w:rPr>
        <w:t>Figure 5.5: Continuous 8-Channel EEG Comparison Showing Raw ADC Values (Left) and Zero-Phase Preprocessed Waveforms (Right)</w:t>
      </w:r>
    </w:p>
    <w:p>
      <w:pPr>
        <w:spacing w:before="0" w:after="120" w:line="360" w:lineRule="auto"/>
        <w:jc w:val="both"/>
      </w:pPr>
      <w:r>
        <w:rPr>
          <w:rFonts w:ascii="Times New Roman" w:hAnsi="Times New Roman"/>
          <w:b w:val="0"/>
          <w:i w:val="0"/>
          <w:color w:val="000000"/>
          <w:sz w:val="24"/>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000000"/>
          <w:sz w:val="28"/>
        </w:rPr>
        <w:t>5.3 SPECTRAL POWER AND TIME-FREQUENCY SIGNATURES</w:t>
      </w:r>
    </w:p>
    <w:p>
      <w:pPr>
        <w:spacing w:before="0" w:after="120" w:line="360" w:lineRule="auto"/>
        <w:jc w:val="both"/>
      </w:pPr>
      <w:r>
        <w:rPr>
          <w:rFonts w:ascii="Times New Roman" w:hAnsi="Times New Roman"/>
          <w:b w:val="0"/>
          <w:i w:val="0"/>
          <w:color w:val="000000"/>
          <w:sz w:val="24"/>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color w:val="000000"/>
          <w:sz w:val="24"/>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color w:val="000000"/>
          <w:sz w:val="24"/>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color w:val="000000"/>
          <w:sz w:val="24"/>
        </w:rPr>
        <w:t>• Motor Execution (Hand/Leg): Showed Event-Related Desynchronization (ERD) in sensorimotor Mu (8–13 Hz) and Beta (14–30 Hz) bands over central channels (Channels 3–4), consistent with Penfield’s motor homunculus somatotopic organization.</w:t>
      </w:r>
    </w:p>
    <w:p>
      <w:pPr>
        <w:spacing w:before="160" w:after="80"/>
        <w:jc w:val="center"/>
      </w:pPr>
      <w:r>
        <w:drawing>
          <wp:inline xmlns:a="http://schemas.openxmlformats.org/drawingml/2006/main" xmlns:pic="http://schemas.openxmlformats.org/drawingml/2006/picture">
            <wp:extent cx="5486400" cy="2110154"/>
            <wp:docPr id="18" name="Picture 18"/>
            <wp:cNvGraphicFramePr>
              <a:graphicFrameLocks noChangeAspect="1"/>
            </wp:cNvGraphicFramePr>
            <a:graphic>
              <a:graphicData uri="http://schemas.openxmlformats.org/drawingml/2006/picture">
                <pic:pic>
                  <pic:nvPicPr>
                    <pic:cNvPr id="0" name="fig_5_2_qneuro_psd_by_condition.png"/>
                    <pic:cNvPicPr/>
                  </pic:nvPicPr>
                  <pic:blipFill>
                    <a:blip r:embed="rId30"/>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5.6: Power Spectral Density Across Experimental Conditions for Frontal/Temporal (Left) and Central Sensorimotor (Right) Channels</w:t>
      </w:r>
    </w:p>
    <w:p>
      <w:pPr>
        <w:spacing w:before="160" w:after="80"/>
        <w:jc w:val="center"/>
      </w:pPr>
      <w:r>
        <w:drawing>
          <wp:inline xmlns:a="http://schemas.openxmlformats.org/drawingml/2006/main" xmlns:pic="http://schemas.openxmlformats.org/drawingml/2006/picture">
            <wp:extent cx="5486400" cy="3798277"/>
            <wp:docPr id="19" name="Picture 19"/>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31"/>
                    <a:stretch>
                      <a:fillRect/>
                    </a:stretch>
                  </pic:blipFill>
                  <pic:spPr>
                    <a:xfrm>
                      <a:off x="0" y="0"/>
                      <a:ext cx="5486400" cy="3798277"/>
                    </a:xfrm>
                    <a:prstGeom prst="rect"/>
                  </pic:spPr>
                </pic:pic>
              </a:graphicData>
            </a:graphic>
          </wp:inline>
        </w:drawing>
      </w:r>
    </w:p>
    <w:p>
      <w:pPr>
        <w:spacing w:before="40" w:after="200"/>
        <w:jc w:val="center"/>
      </w:pPr>
      <w:r>
        <w:rPr>
          <w:rFonts w:ascii="Times New Roman" w:hAnsi="Times New Roman"/>
          <w:b/>
          <w:color w:val="000000"/>
          <w:sz w:val="20"/>
        </w:rPr>
        <w:t>Figure 5.7: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color w:val="000000"/>
          <w:sz w:val="24"/>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000000"/>
          <w:sz w:val="28"/>
        </w:rPr>
        <w:t>5.4 VETO AND SAFETY INTERRUPT CALIBRATION ON HEADSET MONTAGE</w:t>
      </w:r>
    </w:p>
    <w:p>
      <w:pPr>
        <w:spacing w:before="0" w:after="120" w:line="360" w:lineRule="auto"/>
        <w:jc w:val="both"/>
      </w:pPr>
      <w:r>
        <w:rPr>
          <w:rFonts w:ascii="Times New Roman" w:hAnsi="Times New Roman"/>
          <w:b w:val="0"/>
          <w:i w:val="0"/>
          <w:color w:val="000000"/>
          <w:sz w:val="24"/>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val="0"/>
          <w:color w:val="000000"/>
          <w:sz w:val="24"/>
        </w:rPr>
        <w:t>5.4.1 EOG DOUBLE-BLINK EMERGENCY VETO (PRIORITY 1)</w:t>
      </w:r>
    </w:p>
    <w:p>
      <w:pPr>
        <w:spacing w:before="0" w:after="120" w:line="360" w:lineRule="auto"/>
        <w:jc w:val="both"/>
      </w:pPr>
      <w:r>
        <w:rPr>
          <w:rFonts w:ascii="Times New Roman" w:hAnsi="Times New Roman"/>
          <w:b w:val="0"/>
          <w:i w:val="0"/>
          <w:color w:val="000000"/>
          <w:sz w:val="24"/>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160" w:after="80"/>
        <w:jc w:val="center"/>
      </w:pPr>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32"/>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5.8: Continuous Differential EOG Trace (Top) and Zoomed Dual-Peak Blink Waveform with +40.0 µV Threshold Markers (Bottom)</w:t>
      </w:r>
    </w:p>
    <w:p>
      <w:pPr>
        <w:keepNext/>
        <w:spacing w:before="200" w:after="80" w:line="276" w:lineRule="auto"/>
      </w:pPr>
      <w:r>
        <w:rPr>
          <w:rFonts w:ascii="Times New Roman" w:hAnsi="Times New Roman"/>
          <w:b/>
          <w:i w:val="0"/>
          <w:color w:val="000000"/>
          <w:sz w:val="24"/>
        </w:rPr>
        <w:t>5.4.2 TEMPORALIS EMG JAW-CLENCH SAFETY INTERRUPT (PRIORITY 2)</w:t>
      </w:r>
    </w:p>
    <w:p>
      <w:pPr>
        <w:spacing w:before="0" w:after="120" w:line="360" w:lineRule="auto"/>
        <w:jc w:val="both"/>
      </w:pPr>
      <w:r>
        <w:rPr>
          <w:rFonts w:ascii="Times New Roman" w:hAnsi="Times New Roman"/>
          <w:b w:val="0"/>
          <w:i w:val="0"/>
          <w:color w:val="000000"/>
          <w:sz w:val="24"/>
        </w:rPr>
        <w:t>The high-gamma envelope achieved complete separation with a +10.5 dB threshold, producing 100% sensitivity and 0.0% false alarm rate over the entire 229-second recording session. The probability density distribution (Figure 5.9, bottom panel) demonstrates an unambiguous bimodal separation between resting and clench-active gamma power, with no overlapping tails.</w:t>
      </w:r>
    </w:p>
    <w:p>
      <w:pPr>
        <w:spacing w:before="160" w:after="8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33"/>
                    <a:stretch>
                      <a:fillRect/>
                    </a:stretch>
                  </pic:blipFill>
                  <pic:spPr>
                    <a:xfrm>
                      <a:off x="0" y="0"/>
                      <a:ext cx="5486400" cy="3200400"/>
                    </a:xfrm>
                    <a:prstGeom prst="rect"/>
                  </pic:spPr>
                </pic:pic>
              </a:graphicData>
            </a:graphic>
          </wp:inline>
        </w:drawing>
      </w:r>
    </w:p>
    <w:p>
      <w:pPr>
        <w:spacing w:before="40" w:after="200"/>
        <w:jc w:val="center"/>
      </w:pPr>
      <w:r>
        <w:rPr>
          <w:rFonts w:ascii="Times New Roman" w:hAnsi="Times New Roman"/>
          <w:b/>
          <w:color w:val="000000"/>
          <w:sz w:val="20"/>
        </w:rPr>
        <w:t>Figure 5.9: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000000"/>
          <w:sz w:val="28"/>
        </w:rPr>
        <w:t>5.5 SENSORIMOTOR RHYTHM ERD AND MULTI-CLASS MOVEMENT CLASSIFICATION</w:t>
      </w:r>
    </w:p>
    <w:p>
      <w:pPr>
        <w:spacing w:before="0" w:after="120" w:line="360" w:lineRule="auto"/>
        <w:jc w:val="both"/>
      </w:pPr>
      <w:r>
        <w:rPr>
          <w:rFonts w:ascii="Times New Roman" w:hAnsi="Times New Roman"/>
          <w:b w:val="0"/>
          <w:i w:val="0"/>
          <w:color w:val="000000"/>
          <w:sz w:val="24"/>
        </w:rPr>
        <w:t>Evaluation of sensorimotor Mu (8–13 Hz) and Beta (14–30 Hz) bands confirmed robust Event-Related Desynchronization during active upper and lower limb movements. Figure 5.10 presents the distribution of Mu and Beta power across all 5 motor conditions, demonstrating significant power suppression during Hand Clench and Leg Extension compared to resting baseline.</w:t>
      </w:r>
    </w:p>
    <w:p>
      <w:pPr>
        <w:spacing w:before="160" w:after="80"/>
        <w:jc w:val="center"/>
      </w:pPr>
      <w:r>
        <w:drawing>
          <wp:inline xmlns:a="http://schemas.openxmlformats.org/drawingml/2006/main" xmlns:pic="http://schemas.openxmlformats.org/drawingml/2006/picture">
            <wp:extent cx="5486400" cy="2110154"/>
            <wp:docPr id="22" name="Picture 22"/>
            <wp:cNvGraphicFramePr>
              <a:graphicFrameLocks noChangeAspect="1"/>
            </wp:cNvGraphicFramePr>
            <a:graphic>
              <a:graphicData uri="http://schemas.openxmlformats.org/drawingml/2006/picture">
                <pic:pic>
                  <pic:nvPicPr>
                    <pic:cNvPr id="0" name="fig_5_6_qneuro_sensorimotor_mu_beta_erd.png"/>
                    <pic:cNvPicPr/>
                  </pic:nvPicPr>
                  <pic:blipFill>
                    <a:blip r:embed="rId34"/>
                    <a:stretch>
                      <a:fillRect/>
                    </a:stretch>
                  </pic:blipFill>
                  <pic:spPr>
                    <a:xfrm>
                      <a:off x="0" y="0"/>
                      <a:ext cx="5486400" cy="2110154"/>
                    </a:xfrm>
                    <a:prstGeom prst="rect"/>
                  </pic:spPr>
                </pic:pic>
              </a:graphicData>
            </a:graphic>
          </wp:inline>
        </w:drawing>
      </w:r>
    </w:p>
    <w:p>
      <w:pPr>
        <w:spacing w:before="40" w:after="200"/>
        <w:jc w:val="center"/>
      </w:pPr>
      <w:r>
        <w:rPr>
          <w:rFonts w:ascii="Times New Roman" w:hAnsi="Times New Roman"/>
          <w:b/>
          <w:color w:val="000000"/>
          <w:sz w:val="20"/>
        </w:rPr>
        <w:t>Figure 5.10: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color w:val="000000"/>
          <w:sz w:val="24"/>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color w:val="000000"/>
          <w:sz w:val="24"/>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val="0"/>
          <w:color w:val="000000"/>
          <w:sz w:val="24"/>
        </w:rPr>
        <w:t>5.5.1 THREE-CLASS MOVEMENT INTENT (REST VS. HAND CLENCH VS. LEG EXTENSION)</w:t>
      </w:r>
    </w:p>
    <w:p>
      <w:pPr>
        <w:spacing w:before="0" w:after="60" w:line="360" w:lineRule="auto"/>
        <w:jc w:val="both"/>
      </w:pPr>
      <w:r>
        <w:rPr>
          <w:rFonts w:ascii="Times New Roman" w:hAnsi="Times New Roman"/>
          <w:b w:val="0"/>
          <w:i w:val="0"/>
          <w:color w:val="000000"/>
          <w:sz w:val="24"/>
        </w:rPr>
        <w:t>• Linear Discriminant Analysis (LDA): 75.8% accuracy (Macro F1 = 0.724, Chance = 33.3%)</w:t>
      </w:r>
    </w:p>
    <w:p>
      <w:pPr>
        <w:spacing w:before="0" w:after="120" w:line="360" w:lineRule="auto"/>
        <w:jc w:val="both"/>
      </w:pPr>
      <w:r>
        <w:rPr>
          <w:rFonts w:ascii="Times New Roman" w:hAnsi="Times New Roman"/>
          <w:b w:val="0"/>
          <w:i w:val="0"/>
          <w:color w:val="000000"/>
          <w:sz w:val="24"/>
        </w:rPr>
        <w:t>• Random Forest Ensemble: 87.0% accuracy (Macro F1 = 0.841, Chance = 33.3%)</w:t>
      </w:r>
    </w:p>
    <w:p>
      <w:pPr>
        <w:spacing w:before="160" w:after="80"/>
        <w:jc w:val="center"/>
      </w:pPr>
      <w:r>
        <w:drawing>
          <wp:inline xmlns:a="http://schemas.openxmlformats.org/drawingml/2006/main" xmlns:pic="http://schemas.openxmlformats.org/drawingml/2006/picture">
            <wp:extent cx="5486400" cy="2514600"/>
            <wp:docPr id="23" name="Picture 23"/>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35"/>
                    <a:stretch>
                      <a:fillRect/>
                    </a:stretch>
                  </pic:blipFill>
                  <pic:spPr>
                    <a:xfrm>
                      <a:off x="0" y="0"/>
                      <a:ext cx="5486400" cy="2514600"/>
                    </a:xfrm>
                    <a:prstGeom prst="rect"/>
                  </pic:spPr>
                </pic:pic>
              </a:graphicData>
            </a:graphic>
          </wp:inline>
        </w:drawing>
      </w:r>
    </w:p>
    <w:p>
      <w:pPr>
        <w:spacing w:before="40" w:after="200"/>
        <w:jc w:val="center"/>
      </w:pPr>
      <w:r>
        <w:rPr>
          <w:rFonts w:ascii="Times New Roman" w:hAnsi="Times New Roman"/>
          <w:b/>
          <w:color w:val="000000"/>
          <w:sz w:val="20"/>
        </w:rPr>
        <w:t>Figure 5.11: 3-Class Movement Intent Confusion Matrices for LDA (Left, 75.8%) and Random Forest (Right, 87.0%) Across 5-Fold Cross-Validation</w:t>
      </w:r>
    </w:p>
    <w:p>
      <w:pPr>
        <w:keepNext/>
        <w:spacing w:before="200" w:after="80" w:line="276" w:lineRule="auto"/>
      </w:pPr>
      <w:r>
        <w:rPr>
          <w:rFonts w:ascii="Times New Roman" w:hAnsi="Times New Roman"/>
          <w:b/>
          <w:i w:val="0"/>
          <w:color w:val="000000"/>
          <w:sz w:val="24"/>
        </w:rPr>
        <w:t>5.5.2 FIVE-CLASS LATERALIZED MOVEMENT INTENT (REST VS. L-HAND VS. R-HAND VS. L-LEG VS. R-LEG)</w:t>
      </w:r>
    </w:p>
    <w:p>
      <w:pPr>
        <w:spacing w:before="0" w:after="120" w:line="360" w:lineRule="auto"/>
        <w:jc w:val="both"/>
      </w:pPr>
      <w:r>
        <w:rPr>
          <w:rFonts w:ascii="Times New Roman" w:hAnsi="Times New Roman"/>
          <w:b w:val="0"/>
          <w:i w:val="0"/>
          <w:color w:val="000000"/>
          <w:sz w:val="24"/>
        </w:rPr>
        <w:t>• Random Forest: 83.8% accuracy (Cohen’s κ = 0.771, Chance = 20.0%)</w:t>
      </w:r>
    </w:p>
    <w:p>
      <w:pPr>
        <w:spacing w:before="160" w:after="80"/>
        <w:jc w:val="center"/>
      </w:pPr>
      <w:r>
        <w:drawing>
          <wp:inline xmlns:a="http://schemas.openxmlformats.org/drawingml/2006/main" xmlns:pic="http://schemas.openxmlformats.org/drawingml/2006/picture">
            <wp:extent cx="5486400" cy="4840941"/>
            <wp:docPr id="24" name="Picture 24"/>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36"/>
                    <a:stretch>
                      <a:fillRect/>
                    </a:stretch>
                  </pic:blipFill>
                  <pic:spPr>
                    <a:xfrm>
                      <a:off x="0" y="0"/>
                      <a:ext cx="5486400" cy="4840941"/>
                    </a:xfrm>
                    <a:prstGeom prst="rect"/>
                  </pic:spPr>
                </pic:pic>
              </a:graphicData>
            </a:graphic>
          </wp:inline>
        </w:drawing>
      </w:r>
    </w:p>
    <w:p>
      <w:pPr>
        <w:spacing w:before="40" w:after="200"/>
        <w:jc w:val="center"/>
      </w:pPr>
      <w:r>
        <w:rPr>
          <w:rFonts w:ascii="Times New Roman" w:hAnsi="Times New Roman"/>
          <w:b/>
          <w:color w:val="000000"/>
          <w:sz w:val="20"/>
        </w:rPr>
        <w:t>Figure 5.12: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color w:val="000000"/>
          <w:sz w:val="24"/>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160" w:after="80"/>
        <w:jc w:val="center"/>
      </w:pPr>
      <w:r>
        <w:drawing>
          <wp:inline xmlns:a="http://schemas.openxmlformats.org/drawingml/2006/main" xmlns:pic="http://schemas.openxmlformats.org/drawingml/2006/picture">
            <wp:extent cx="5486400" cy="2321169"/>
            <wp:docPr id="25" name="Picture 25"/>
            <wp:cNvGraphicFramePr>
              <a:graphicFrameLocks noChangeAspect="1"/>
            </wp:cNvGraphicFramePr>
            <a:graphic>
              <a:graphicData uri="http://schemas.openxmlformats.org/drawingml/2006/picture">
                <pic:pic>
                  <pic:nvPicPr>
                    <pic:cNvPr id="0" name="fig_5_9_qneuro_roc_and_pr_curves.png"/>
                    <pic:cNvPicPr/>
                  </pic:nvPicPr>
                  <pic:blipFill>
                    <a:blip r:embed="rId37"/>
                    <a:stretch>
                      <a:fillRect/>
                    </a:stretch>
                  </pic:blipFill>
                  <pic:spPr>
                    <a:xfrm>
                      <a:off x="0" y="0"/>
                      <a:ext cx="5486400" cy="2321169"/>
                    </a:xfrm>
                    <a:prstGeom prst="rect"/>
                  </pic:spPr>
                </pic:pic>
              </a:graphicData>
            </a:graphic>
          </wp:inline>
        </w:drawing>
      </w:r>
    </w:p>
    <w:p>
      <w:pPr>
        <w:spacing w:before="40" w:after="200"/>
        <w:jc w:val="center"/>
      </w:pPr>
      <w:r>
        <w:rPr>
          <w:rFonts w:ascii="Times New Roman" w:hAnsi="Times New Roman"/>
          <w:b/>
          <w:color w:val="000000"/>
          <w:sz w:val="20"/>
        </w:rPr>
        <w:t>Figure 5.13: One-vs-Rest ROC Curves (AUC &gt; 0.95 Across All Classes) and Precision-Recall Curves for Movement Intent Classification</w:t>
      </w:r>
    </w:p>
    <w:p>
      <w:pPr>
        <w:spacing w:before="0" w:after="120" w:line="360" w:lineRule="auto"/>
        <w:jc w:val="both"/>
      </w:pPr>
      <w:r>
        <w:rPr>
          <w:rFonts w:ascii="Times New Roman" w:hAnsi="Times New Roman"/>
          <w:b w:val="0"/>
          <w:i w:val="0"/>
          <w:color w:val="000000"/>
          <w:sz w:val="24"/>
        </w:rPr>
        <w:t>The One-vs-Rest ROC analysis (Figure 5.13)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000000"/>
          <w:sz w:val="28"/>
        </w:rPr>
        <w:t>5.6 CHANNEL QUALITY DIAGNOSTICS AND FEATURE IMPORTANCE</w:t>
      </w:r>
    </w:p>
    <w:p>
      <w:pPr>
        <w:spacing w:before="0" w:after="120" w:line="360" w:lineRule="auto"/>
        <w:jc w:val="both"/>
      </w:pPr>
      <w:r>
        <w:rPr>
          <w:rFonts w:ascii="Times New Roman" w:hAnsi="Times New Roman"/>
          <w:b w:val="0"/>
          <w:i w:val="0"/>
          <w:color w:val="000000"/>
          <w:sz w:val="24"/>
        </w:rPr>
        <w:t>Automated Signal Quality Monitoring (SQM) accurately identified Channels 1–5 as optimal physiological channels while isolating high-impedance drift on Channels 6–8. The channel health dashboard (Figure 5.14) presents DC offset, RMS noise floor, and health classification across all 8 Qneuro channels, providing objective justification for channel selection decisions.</w:t>
      </w:r>
    </w:p>
    <w:p>
      <w:pPr>
        <w:spacing w:before="160" w:after="80"/>
        <w:jc w:val="center"/>
      </w:pPr>
      <w:r>
        <w:drawing>
          <wp:inline xmlns:a="http://schemas.openxmlformats.org/drawingml/2006/main" xmlns:pic="http://schemas.openxmlformats.org/drawingml/2006/picture">
            <wp:extent cx="5486400" cy="3376246"/>
            <wp:docPr id="26" name="Picture 26"/>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8"/>
                    <a:stretch>
                      <a:fillRect/>
                    </a:stretch>
                  </pic:blipFill>
                  <pic:spPr>
                    <a:xfrm>
                      <a:off x="0" y="0"/>
                      <a:ext cx="5486400" cy="3376246"/>
                    </a:xfrm>
                    <a:prstGeom prst="rect"/>
                  </pic:spPr>
                </pic:pic>
              </a:graphicData>
            </a:graphic>
          </wp:inline>
        </w:drawing>
      </w:r>
    </w:p>
    <w:p>
      <w:pPr>
        <w:spacing w:before="40" w:after="200"/>
        <w:jc w:val="center"/>
      </w:pPr>
      <w:r>
        <w:rPr>
          <w:rFonts w:ascii="Times New Roman" w:hAnsi="Times New Roman"/>
          <w:b/>
          <w:color w:val="000000"/>
          <w:sz w:val="20"/>
        </w:rPr>
        <w:t>Figure 5.14: Electrode DC Offset, RMS Noise Floor, and Health Classification Matrix Across All 8 Qneuro Channels</w:t>
      </w:r>
    </w:p>
    <w:p>
      <w:pPr>
        <w:spacing w:before="0" w:after="120" w:line="360" w:lineRule="auto"/>
        <w:jc w:val="both"/>
      </w:pPr>
      <w:r>
        <w:rPr>
          <w:rFonts w:ascii="Times New Roman" w:hAnsi="Times New Roman"/>
          <w:b w:val="0"/>
          <w:i w:val="0"/>
          <w:color w:val="000000"/>
          <w:sz w:val="24"/>
        </w:rPr>
        <w:t>Gini feature importance analysis from the trained Random Forest classifier confirmed that central sensorimotor Beta and Mu power contributed over 68% of the total discriminative information. Figure 5.15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160" w:after="80"/>
        <w:jc w:val="center"/>
      </w:pPr>
      <w:r>
        <w:drawing>
          <wp:inline xmlns:a="http://schemas.openxmlformats.org/drawingml/2006/main" xmlns:pic="http://schemas.openxmlformats.org/drawingml/2006/picture">
            <wp:extent cx="5486400" cy="2992582"/>
            <wp:docPr id="27" name="Picture 27"/>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9"/>
                    <a:stretch>
                      <a:fillRect/>
                    </a:stretch>
                  </pic:blipFill>
                  <pic:spPr>
                    <a:xfrm>
                      <a:off x="0" y="0"/>
                      <a:ext cx="5486400" cy="2992582"/>
                    </a:xfrm>
                    <a:prstGeom prst="rect"/>
                  </pic:spPr>
                </pic:pic>
              </a:graphicData>
            </a:graphic>
          </wp:inline>
        </w:drawing>
      </w:r>
    </w:p>
    <w:p>
      <w:pPr>
        <w:spacing w:before="40" w:after="200"/>
        <w:jc w:val="center"/>
      </w:pPr>
      <w:r>
        <w:rPr>
          <w:rFonts w:ascii="Times New Roman" w:hAnsi="Times New Roman"/>
          <w:b/>
          <w:color w:val="000000"/>
          <w:sz w:val="20"/>
        </w:rPr>
        <w:t>Figure 5.15: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000000"/>
          <w:sz w:val="28"/>
        </w:rPr>
        <w:t>5.7 REAL-TIME ACTUATOR ARBITRATION PROGRESSION</w:t>
      </w:r>
    </w:p>
    <w:p>
      <w:pPr>
        <w:spacing w:before="0" w:after="120" w:line="360" w:lineRule="auto"/>
        <w:jc w:val="both"/>
      </w:pPr>
      <w:r>
        <w:rPr>
          <w:rFonts w:ascii="Times New Roman" w:hAnsi="Times New Roman"/>
          <w:b w:val="0"/>
          <w:i w:val="0"/>
          <w:color w:val="000000"/>
          <w:sz w:val="24"/>
        </w:rPr>
        <w:t>Tracing the full 229-second session through the multi-tier Arbitrator demonstrated zero false activations, immediate safety lockout during blinks and clenches, and synchronized dispatch of Arm (0x01, 0x30) and Leg (0x02, 0x30) UART command packets. Figure 5.16 presents the complete arbitration state trajectory including ground truth stimulus cues, detected safety interrupts, classified motor intents, and the resulting actuator UART command stream.</w:t>
      </w:r>
    </w:p>
    <w:p>
      <w:pPr>
        <w:spacing w:before="160" w:after="80"/>
        <w:jc w:val="center"/>
      </w:pPr>
      <w:r>
        <w:drawing>
          <wp:inline xmlns:a="http://schemas.openxmlformats.org/drawingml/2006/main" xmlns:pic="http://schemas.openxmlformats.org/drawingml/2006/picture">
            <wp:extent cx="5486400" cy="3135086"/>
            <wp:docPr id="28" name="Picture 28"/>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40"/>
                    <a:stretch>
                      <a:fillRect/>
                    </a:stretch>
                  </pic:blipFill>
                  <pic:spPr>
                    <a:xfrm>
                      <a:off x="0" y="0"/>
                      <a:ext cx="5486400" cy="3135086"/>
                    </a:xfrm>
                    <a:prstGeom prst="rect"/>
                  </pic:spPr>
                </pic:pic>
              </a:graphicData>
            </a:graphic>
          </wp:inline>
        </w:drawing>
      </w:r>
    </w:p>
    <w:p>
      <w:pPr>
        <w:spacing w:before="40" w:after="200"/>
        <w:jc w:val="center"/>
      </w:pPr>
      <w:r>
        <w:rPr>
          <w:rFonts w:ascii="Times New Roman" w:hAnsi="Times New Roman"/>
          <w:b/>
          <w:color w:val="000000"/>
          <w:sz w:val="20"/>
        </w:rPr>
        <w:t>Figure 5.16: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color w:val="000000"/>
          <w:sz w:val="24"/>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000000"/>
          <w:sz w:val="28"/>
        </w:rPr>
        <w:t>5.8 IN-VIVO PERFORMANCE SUMMARY MATRIX</w:t>
      </w:r>
    </w:p>
    <w:p>
      <w:pPr>
        <w:spacing w:before="0" w:after="120" w:line="360" w:lineRule="auto"/>
        <w:jc w:val="both"/>
      </w:pPr>
      <w:r>
        <w:rPr>
          <w:rFonts w:ascii="Times New Roman" w:hAnsi="Times New Roman"/>
          <w:b w:val="0"/>
          <w:i w:val="0"/>
          <w:color w:val="000000"/>
          <w:sz w:val="24"/>
        </w:rPr>
        <w:t>Table 5.2 consolidates the comprehensive in-vivo performance metrics achieved on the Qneuro H100 headset:</w:t>
      </w:r>
    </w:p>
    <w:p>
      <w:pPr>
        <w:keepNext/>
        <w:spacing w:before="160" w:after="80"/>
        <w:jc w:val="left"/>
      </w:pPr>
      <w:r>
        <w:rPr>
          <w:rFonts w:ascii="Times New Roman" w:hAnsi="Times New Roman"/>
          <w:b/>
          <w:color w:val="000000"/>
          <w:sz w:val="20"/>
        </w:rPr>
        <w:t>Table 5.2: Real-World Qneuro H100 Headset Performance Summary Matrix (57,250 In-Vivo Samples)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rPr>
          <w:tblHeader/>
          <w:cantSplit/>
        </w:trP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rPr>
          <w:cantSplit/>
        </w:trP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rPr>
          <w:cantSplit/>
        </w:trP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rPr>
          <w:cantSplit/>
        </w:trP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rPr>
          <w:cantSplit/>
        </w:trP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rPr>
          <w:cantSplit/>
        </w:trP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keepNext/>
        <w:spacing w:before="280" w:after="120" w:line="276" w:lineRule="auto"/>
      </w:pPr>
      <w:r>
        <w:rPr>
          <w:rFonts w:ascii="Times New Roman" w:hAnsi="Times New Roman"/>
          <w:b/>
          <w:color w:val="000000"/>
          <w:sz w:val="28"/>
        </w:rPr>
        <w:t>5.9 CHAPTER SUMMARY</w:t>
      </w:r>
    </w:p>
    <w:p>
      <w:pPr>
        <w:spacing w:before="0" w:after="120" w:line="360" w:lineRule="auto"/>
        <w:jc w:val="both"/>
      </w:pPr>
      <w:r>
        <w:rPr>
          <w:rFonts w:ascii="Times New Roman" w:hAnsi="Times New Roman"/>
          <w:b w:val="0"/>
          <w:i w:val="0"/>
          <w:color w:val="000000"/>
          <w:sz w:val="24"/>
        </w:rPr>
        <w:t>This chapter presented the comprehensive in-vivo empirical validation of the neurorehabilitation platform on a healthy human participant using the wireless 8-channel Qneuro H100 NeuroState headset (57,250 samples over 229 seconds). The zero-phase signal conditioning engine successfully eliminated large DC offsets and powerline interference across active physiological channels (Channels 1–5). Calibrated differential EOG veto (+40 µV) and temporalis EMG (+10.5 dB) achieved 100% sensitivity with zero false alarms. Significant sensorimotor Mu/Beta desynchronization was recorded during hand clench and leg extension, enabling a Random Forest classifier to achieve 87.0% accuracy in 3-class movement intent decoding and 83.8% in 5-class lateralized decoding. Automated Signal Quality Monitoring correctly isolated noisy channels, and real-time arbitration executed without a single spurious trigger throughout the 229-second session.</w:t>
      </w:r>
    </w:p>
    <w:p>
      <w:r>
        <w:br w:type="page"/>
      </w:r>
    </w:p>
    <w:p>
      <w:pPr>
        <w:keepNext/>
        <w:spacing w:before="400" w:after="240" w:line="276" w:lineRule="auto"/>
        <w:jc w:val="center"/>
      </w:pPr>
      <w:r>
        <w:rPr>
          <w:rFonts w:ascii="Times New Roman" w:hAnsi="Times New Roman"/>
          <w:b/>
          <w:color w:val="000000"/>
          <w:sz w:val="32"/>
        </w:rPr>
        <w:t>CHAPTER 6</w:t>
        <w:br/>
        <w:t>CONCLUSION AND FUTURE SCOPE</w:t>
      </w:r>
    </w:p>
    <w:p>
      <w:pPr>
        <w:keepNext/>
        <w:spacing w:before="280" w:after="120" w:line="276" w:lineRule="auto"/>
      </w:pPr>
      <w:r>
        <w:rPr>
          <w:rFonts w:ascii="Times New Roman" w:hAnsi="Times New Roman"/>
          <w:b/>
          <w:color w:val="000000"/>
          <w:sz w:val="28"/>
        </w:rPr>
        <w:t>6.1 SUMMARY OF CONTRIBUTIONS</w:t>
      </w:r>
    </w:p>
    <w:p>
      <w:pPr>
        <w:spacing w:before="0" w:after="120" w:line="360" w:lineRule="auto"/>
        <w:jc w:val="both"/>
      </w:pPr>
      <w:r>
        <w:rPr>
          <w:rFonts w:ascii="Times New Roman" w:hAnsi="Times New Roman"/>
          <w:b w:val="0"/>
          <w:i w:val="0"/>
          <w:color w:val="000000"/>
          <w:sz w:val="24"/>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color w:val="000000"/>
          <w:sz w:val="24"/>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color w:val="000000"/>
          <w:sz w:val="24"/>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color w:val="000000"/>
          <w:sz w:val="24"/>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color w:val="000000"/>
          <w:sz w:val="24"/>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color w:val="000000"/>
          <w:sz w:val="24"/>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color w:val="000000"/>
          <w:sz w:val="24"/>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000000"/>
          <w:sz w:val="28"/>
        </w:rPr>
        <w:t>6.2 MILESTONE VERIFICATION AGAINST ROADMAP TARGETS</w:t>
      </w:r>
    </w:p>
    <w:p>
      <w:pPr>
        <w:spacing w:before="0" w:after="120" w:line="360" w:lineRule="auto"/>
        <w:jc w:val="both"/>
      </w:pPr>
      <w:r>
        <w:rPr>
          <w:rFonts w:ascii="Times New Roman" w:hAnsi="Times New Roman"/>
          <w:b w:val="0"/>
          <w:i w:val="0"/>
          <w:color w:val="000000"/>
          <w:sz w:val="24"/>
        </w:rPr>
        <w:t>Table 6.1 details the quantitative verification of the implemented system against the initial engineering milestones established in the project roadmap.</w:t>
      </w:r>
    </w:p>
    <w:p>
      <w:pPr>
        <w:keepNext/>
        <w:spacing w:before="160" w:after="80"/>
        <w:jc w:val="left"/>
      </w:pPr>
      <w:r>
        <w:rPr>
          <w:rFonts w:ascii="Times New Roman" w:hAnsi="Times New Roman"/>
          <w:b/>
          <w:color w:val="000000"/>
          <w:sz w:val="20"/>
        </w:rPr>
        <w:t>Table 6.1: Comprehensive Verification Matrix Against Project Roadmap Targets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rPr>
          <w:tblHeader/>
          <w:cantSplit/>
        </w:trP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rPr>
          <w:cantSplit/>
        </w:trP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rPr>
          <w:cantSplit/>
        </w:trP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rPr>
          <w:cantSplit/>
        </w:trP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keepNext/>
        <w:spacing w:before="280" w:after="120" w:line="276" w:lineRule="auto"/>
      </w:pPr>
      <w:r>
        <w:rPr>
          <w:rFonts w:ascii="Times New Roman" w:hAnsi="Times New Roman"/>
          <w:b/>
          <w:color w:val="000000"/>
          <w:sz w:val="28"/>
        </w:rPr>
        <w:t>6.3 CURRENT TECHNICAL LIMITATIONS</w:t>
      </w:r>
    </w:p>
    <w:p>
      <w:pPr>
        <w:spacing w:before="0" w:after="60" w:line="360" w:lineRule="auto"/>
        <w:jc w:val="both"/>
      </w:pPr>
      <w:r>
        <w:rPr>
          <w:rFonts w:ascii="Times New Roman" w:hAnsi="Times New Roman"/>
          <w:b w:val="0"/>
          <w:i w:val="0"/>
          <w:color w:val="000000"/>
          <w:sz w:val="24"/>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color w:val="000000"/>
          <w:sz w:val="24"/>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color w:val="000000"/>
          <w:sz w:val="24"/>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color w:val="000000"/>
          <w:sz w:val="24"/>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color w:val="000000"/>
          <w:sz w:val="24"/>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000000"/>
          <w:sz w:val="28"/>
        </w:rPr>
        <w:t>6.4 FUTURE CLINICAL AND DEEP LEARNING ROADMAP</w:t>
      </w:r>
    </w:p>
    <w:p>
      <w:pPr>
        <w:spacing w:before="0" w:after="120" w:line="360" w:lineRule="auto"/>
        <w:jc w:val="both"/>
      </w:pPr>
      <w:r>
        <w:rPr>
          <w:rFonts w:ascii="Times New Roman" w:hAnsi="Times New Roman"/>
          <w:b w:val="0"/>
          <w:i w:val="0"/>
          <w:color w:val="000000"/>
          <w:sz w:val="24"/>
        </w:rPr>
        <w:t>Future developmental phases will focus on:</w:t>
      </w:r>
    </w:p>
    <w:p>
      <w:pPr>
        <w:spacing w:before="0" w:after="60" w:line="360" w:lineRule="auto"/>
        <w:jc w:val="both"/>
      </w:pPr>
      <w:r>
        <w:rPr>
          <w:rFonts w:ascii="Times New Roman" w:hAnsi="Times New Roman"/>
          <w:b w:val="0"/>
          <w:i w:val="0"/>
          <w:color w:val="000000"/>
          <w:sz w:val="24"/>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color w:val="000000"/>
          <w:sz w:val="24"/>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color w:val="000000"/>
          <w:sz w:val="24"/>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color w:val="000000"/>
          <w:sz w:val="24"/>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color w:val="000000"/>
          <w:sz w:val="24"/>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color w:val="000000"/>
          <w:sz w:val="24"/>
        </w:rPr>
        <w:t>• On-Chip Neuromorphic Spiking Encoders: Explore ultra-low-power spiking neural network (SNN) representations on edge microcontrollers for sub-milliwatt wearable neurorehab implants.</w:t>
      </w:r>
    </w:p>
    <w:p>
      <w:pPr>
        <w:keepNext/>
        <w:spacing w:before="280" w:after="120" w:line="276" w:lineRule="auto"/>
      </w:pPr>
      <w:r>
        <w:rPr>
          <w:rFonts w:ascii="Times New Roman" w:hAnsi="Times New Roman"/>
          <w:b/>
          <w:color w:val="000000"/>
          <w:sz w:val="28"/>
        </w:rPr>
        <w:t>6.5 CHAPTER SUMMARY</w:t>
      </w:r>
    </w:p>
    <w:p>
      <w:pPr>
        <w:spacing w:before="0" w:after="120" w:line="360" w:lineRule="auto"/>
        <w:jc w:val="both"/>
      </w:pPr>
      <w:r>
        <w:rPr>
          <w:rFonts w:ascii="Times New Roman" w:hAnsi="Times New Roman"/>
          <w:b w:val="0"/>
          <w:i w:val="0"/>
          <w:color w:val="000000"/>
          <w:sz w:val="24"/>
        </w:rPr>
        <w:t>This concluding chapter consolidated the core achievements of the project, including the elimination of wet scalp caps, formulation of hybrid multi-biosignal feature extractors, sub-100µs edge classifier inference, sub-15ms biological veto safety interlocks, and empirical in-vivo validation on 57,250 real human electrophysiological samples. Quantitative milestone verification confirmed 100% compliance across all 9 engineering targets. Key technical limitations of the benchtop prototype were documented, and a structured multi-year development roadmap was established covering clinical trials with hemiparetic stroke patients, continuous adaptive thresholding, edge deep learning via TensorRT, closed-loop functional electrical stimulation (FES), and neuromorphic spiking neural network encoders.</w:t>
      </w:r>
    </w:p>
    <w:p>
      <w:r>
        <w:br w:type="page"/>
      </w:r>
    </w:p>
    <w:p>
      <w:pPr>
        <w:keepNext/>
        <w:spacing w:before="400" w:after="240" w:line="276" w:lineRule="auto"/>
        <w:jc w:val="center"/>
      </w:pPr>
      <w:r>
        <w:rPr>
          <w:rFonts w:ascii="Times New Roman" w:hAnsi="Times New Roman"/>
          <w:b/>
          <w:color w:val="00000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240" w:line="276" w:lineRule="auto"/>
        <w:jc w:val="center"/>
      </w:pPr>
      <w:r>
        <w:rPr>
          <w:rFonts w:ascii="Times New Roman" w:hAnsi="Times New Roman"/>
          <w:b/>
          <w:color w:val="000000"/>
          <w:sz w:val="32"/>
        </w:rPr>
        <w:t>APPENDIX A</w:t>
        <w:br/>
        <w:t>INDIVIDUAL CONTRIBUTION STATEMENT AND GUIDE FEEDBACK INCORPORATION</w:t>
      </w:r>
    </w:p>
    <w:p>
      <w:pPr>
        <w:spacing w:before="0" w:after="120" w:line="360" w:lineRule="auto"/>
        <w:jc w:val="both"/>
      </w:pPr>
      <w:r>
        <w:rPr>
          <w:rFonts w:ascii="Times New Roman" w:hAnsi="Times New Roman"/>
          <w:b w:val="0"/>
          <w:i w:val="0"/>
          <w:color w:val="000000"/>
          <w:sz w:val="24"/>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000000"/>
          <w:sz w:val="28"/>
        </w:rPr>
        <w:t>A.1 INDIVIDUAL CONTRIBUTION BREAKDOWN</w:t>
      </w:r>
    </w:p>
    <w:p>
      <w:pPr>
        <w:spacing w:before="0" w:after="120" w:line="360" w:lineRule="auto"/>
        <w:jc w:val="both"/>
      </w:pPr>
      <w:r>
        <w:rPr>
          <w:rFonts w:ascii="Times New Roman" w:hAnsi="Times New Roman"/>
          <w:b w:val="0"/>
          <w:i w:val="0"/>
          <w:color w:val="000000"/>
          <w:sz w:val="24"/>
        </w:rPr>
        <w:t>Table A.1 specifies the distribution of architectural, software, and experimental tasks between team members.</w:t>
      </w:r>
    </w:p>
    <w:p>
      <w:pPr>
        <w:keepNext/>
        <w:spacing w:before="160" w:after="80"/>
        <w:jc w:val="left"/>
      </w:pPr>
      <w:r>
        <w:rPr>
          <w:rFonts w:ascii="Times New Roman" w:hAnsi="Times New Roman"/>
          <w:b/>
          <w:color w:val="000000"/>
          <w:sz w:val="20"/>
        </w:rPr>
        <w:t>Table A.1: Detailed Individual Contribution Breakdown (Pardeep Singh vs Aastha Kumari)</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rPr>
          <w:tblHeader/>
          <w:cantSplit/>
        </w:trP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rPr>
          <w:cantSplit/>
        </w:trP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rPr>
          <w:cantSplit/>
        </w:trP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keepNext/>
        <w:spacing w:before="280" w:after="120" w:line="276" w:lineRule="auto"/>
      </w:pPr>
      <w:r>
        <w:rPr>
          <w:rFonts w:ascii="Times New Roman" w:hAnsi="Times New Roman"/>
          <w:b/>
          <w:color w:val="000000"/>
          <w:sz w:val="28"/>
        </w:rPr>
        <w:t>A.2 GUIDE FEEDBACK INCORPORATION TRACKING MATRIX</w:t>
      </w:r>
    </w:p>
    <w:p>
      <w:pPr>
        <w:spacing w:before="0" w:after="120" w:line="360" w:lineRule="auto"/>
        <w:jc w:val="both"/>
      </w:pPr>
      <w:r>
        <w:rPr>
          <w:rFonts w:ascii="Times New Roman" w:hAnsi="Times New Roman"/>
          <w:b w:val="0"/>
          <w:i w:val="0"/>
          <w:color w:val="000000"/>
          <w:sz w:val="24"/>
        </w:rPr>
        <w:t>Table A.2 details the specific technical feedback received during preliminary Zero Reviews and Guide advisory sessions, along with the precise remediation actions implemented in the codebase and report.</w:t>
      </w:r>
    </w:p>
    <w:p>
      <w:pPr>
        <w:keepNext/>
        <w:spacing w:before="160" w:after="80"/>
        <w:jc w:val="left"/>
      </w:pPr>
      <w:r>
        <w:rPr>
          <w:rFonts w:ascii="Times New Roman" w:hAnsi="Times New Roman"/>
          <w:b/>
          <w:color w:val="000000"/>
          <w:sz w:val="20"/>
        </w:rPr>
        <w:t>Table A.2: Review Committee and Guide Feedback Incorporation Tracking Matrix</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rPr>
          <w:cantSplit/>
        </w:trP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rPr>
          <w:cantSplit/>
        </w:trP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rPr>
          <w:cantSplit/>
        </w:trP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Section 4.8</w:t>
            </w:r>
          </w:p>
        </w:tc>
      </w:tr>
      <w:tr>
        <w:trPr>
          <w:cantSplit/>
        </w:trP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Table 4.3</w:t>
              <w:br/>
              <w:t>Appendix B.1</w:t>
            </w:r>
          </w:p>
        </w:tc>
      </w:tr>
      <w:tr>
        <w:trPr>
          <w:cantSplit/>
        </w:trP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5.5–5.16) and 4 acquisition screenshots (Figs 5.1–5.4).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rPr>
          <w:cantSplit/>
        </w:trP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analytical figures + 4 acquisition screenshots (24 figures total),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r>
        <w:br w:type="page"/>
      </w:r>
    </w:p>
    <w:p>
      <w:pPr>
        <w:keepNext/>
        <w:spacing w:before="400" w:after="240" w:line="276" w:lineRule="auto"/>
        <w:jc w:val="center"/>
      </w:pPr>
      <w:r>
        <w:rPr>
          <w:rFonts w:ascii="Times New Roman" w:hAnsi="Times New Roman"/>
          <w:b/>
          <w:color w:val="000000"/>
          <w:sz w:val="32"/>
        </w:rPr>
        <w:t>APPENDIX B</w:t>
        <w:br/>
        <w:t>CORE EMBEDDED PRODUCTION CODE IMPLEMENTATION</w:t>
      </w:r>
    </w:p>
    <w:p>
      <w:pPr>
        <w:spacing w:before="0" w:after="120" w:line="360" w:lineRule="auto"/>
        <w:jc w:val="both"/>
      </w:pPr>
      <w:r>
        <w:rPr>
          <w:rFonts w:ascii="Times New Roman" w:hAnsi="Times New Roman"/>
          <w:b w:val="0"/>
          <w:i w:val="0"/>
          <w:color w:val="000000"/>
          <w:sz w:val="24"/>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000000"/>
          <w:sz w:val="28"/>
        </w:rPr>
        <w:t>B.1 ULTRA-FAST EDGE INFERENCE ENGINE (JETSON ORIN NANO)</w:t>
      </w:r>
    </w:p>
    <w:p>
      <w:pPr>
        <w:spacing w:before="0" w:after="120" w:line="360" w:lineRule="auto"/>
        <w:jc w:val="both"/>
      </w:pPr>
      <w:r>
        <w:rPr>
          <w:rFonts w:ascii="Times New Roman" w:hAnsi="Times New Roman"/>
          <w:b w:val="0"/>
          <w:i w:val="0"/>
          <w:color w:val="000000"/>
          <w:sz w:val="24"/>
        </w:rPr>
        <w:t>Source: src/edge/jetson_edge_runner.py (Sub-50 microsecond execution):</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tc>
      </w:tr>
    </w:tbl>
    <w:p>
      <w:pPr>
        <w:spacing w:before="0" w:after="80" w:line="240" w:lineRule="auto"/>
      </w:pPr>
    </w:p>
    <w:p>
      <w:pPr>
        <w:keepNext/>
        <w:spacing w:before="280" w:after="120" w:line="276" w:lineRule="auto"/>
      </w:pPr>
      <w:r>
        <w:rPr>
          <w:rFonts w:ascii="Times New Roman" w:hAnsi="Times New Roman"/>
          <w:b/>
          <w:color w:val="000000"/>
          <w:sz w:val="28"/>
        </w:rPr>
        <w:t>B.2 BINARY PACKET ENCODER AND CRC-8/MAXIM CHECKSUM</w:t>
      </w:r>
    </w:p>
    <w:p>
      <w:pPr>
        <w:spacing w:before="0" w:after="120" w:line="360" w:lineRule="auto"/>
        <w:jc w:val="both"/>
      </w:pPr>
      <w:r>
        <w:rPr>
          <w:rFonts w:ascii="Times New Roman" w:hAnsi="Times New Roman"/>
          <w:b w:val="0"/>
          <w:i w:val="0"/>
          <w:color w:val="000000"/>
          <w:sz w:val="24"/>
        </w:rPr>
        <w:t>Source: src/communication/packet_encoder.py:</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tc>
      </w:tr>
    </w:tbl>
    <w:p>
      <w:pPr>
        <w:spacing w:before="0" w:after="80" w:line="240" w:lineRule="auto"/>
      </w:pPr>
    </w:p>
    <w:p>
      <w:pPr>
        <w:keepNext/>
        <w:spacing w:before="280" w:after="120" w:line="276" w:lineRule="auto"/>
      </w:pPr>
      <w:r>
        <w:rPr>
          <w:rFonts w:ascii="Times New Roman" w:hAnsi="Times New Roman"/>
          <w:b/>
          <w:color w:val="000000"/>
          <w:sz w:val="28"/>
        </w:rPr>
        <w:t>B.3 QNEURO H100 BLUETOOTH SPP PIPELINE PARSER</w:t>
      </w:r>
    </w:p>
    <w:p>
      <w:pPr>
        <w:spacing w:before="0" w:after="120" w:line="360" w:lineRule="auto"/>
        <w:jc w:val="both"/>
      </w:pPr>
      <w:r>
        <w:rPr>
          <w:rFonts w:ascii="Times New Roman" w:hAnsi="Times New Roman"/>
          <w:b w:val="0"/>
          <w:i w:val="0"/>
          <w:color w:val="000000"/>
          <w:sz w:val="24"/>
        </w:rPr>
        <w:t>Source: src/acquisition/qneuro_pipeline.py (Key extraction loop):</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tc>
      </w:tr>
    </w:tbl>
    <w:p>
      <w:pPr>
        <w:spacing w:before="0" w:after="80" w:line="240" w:lineRule="auto"/>
      </w:pPr>
    </w:p>
    <w:p>
      <w:pPr>
        <w:keepNext/>
        <w:spacing w:before="280" w:after="120" w:line="276" w:lineRule="auto"/>
      </w:pPr>
      <w:r>
        <w:rPr>
          <w:rFonts w:ascii="Times New Roman" w:hAnsi="Times New Roman"/>
          <w:b/>
          <w:color w:val="000000"/>
          <w:sz w:val="28"/>
        </w:rPr>
        <w:t>B.4 5-TIER PRIORITY ARBITRATOR STATE MACHINE</w:t>
      </w:r>
    </w:p>
    <w:p>
      <w:pPr>
        <w:spacing w:before="0" w:after="120" w:line="360" w:lineRule="auto"/>
        <w:jc w:val="both"/>
      </w:pPr>
      <w:r>
        <w:rPr>
          <w:rFonts w:ascii="Times New Roman" w:hAnsi="Times New Roman"/>
          <w:b w:val="0"/>
          <w:i w:val="0"/>
          <w:color w:val="000000"/>
          <w:sz w:val="24"/>
        </w:rPr>
        <w:t>Source: src/communication/arbitrator.py (Priority cascade logic):</w:t>
      </w:r>
    </w:p>
    <w:tbl>
      <w:tblPr>
        <w:tblW w:type="auto" w:w="0"/>
        <w:jc w:val="center"/>
        <w:tblLayout w:type="fixed"/>
        <w:tblLook w:firstColumn="1" w:firstRow="1" w:lastColumn="0" w:lastRow="0" w:noHBand="0" w:noVBand="1" w:val="04A0"/>
      </w:tblPr>
      <w:tblGrid>
        <w:gridCol w:w="8309"/>
      </w:tblGrid>
      <w:tr>
        <w:tc>
          <w:tcPr>
            <w:tcW w:type="dxa" w:w="8309"/>
            <w:shd w:fill="F4F6F9"/>
            <w:tcBorders>
              <w:top w:val="single" w:sz="4" w:space="0" w:color="D0D7DE"/>
              <w:left w:val="single" w:sz="18" w:space="0" w:color="002060"/>
              <w:bottom w:val="single" w:sz="4" w:space="0" w:color="D0D7DE"/>
              <w:right w:val="single" w:sz="4" w:space="0" w:color="D0D7DE"/>
            </w:tcBorders>
          </w:tcPr>
          <w:p>
            <w:pPr>
              <w:spacing w:line="252" w:lineRule="auto" w:before="80" w:after="80"/>
              <w:jc w:val="left"/>
            </w:pPr>
            <w:r>
              <w:rPr>
                <w:rFonts w:ascii="Consolas" w:hAnsi="Consolas"/>
                <w:color w:val="232323"/>
                <w:sz w:val="17"/>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tc>
      </w:tr>
    </w:tbl>
    <w:p>
      <w:pPr>
        <w:spacing w:before="0" w:after="80" w:line="240" w:lineRule="auto"/>
      </w:pPr>
    </w:p>
    <w:p>
      <w:r>
        <w:br w:type="page"/>
      </w:r>
    </w:p>
    <w:p>
      <w:pPr>
        <w:keepNext/>
        <w:spacing w:before="400" w:after="240" w:line="276" w:lineRule="auto"/>
        <w:jc w:val="center"/>
      </w:pPr>
      <w:r>
        <w:rPr>
          <w:rFonts w:ascii="Times New Roman" w:hAnsi="Times New Roman"/>
          <w:b/>
          <w:color w:val="000000"/>
          <w:sz w:val="32"/>
        </w:rPr>
        <w:t>APPENDIX C</w:t>
        <w:br/>
        <w:t>HARDWARE BILL OF MATERIALS AND PIN MAPPINGS</w:t>
      </w:r>
    </w:p>
    <w:p>
      <w:pPr>
        <w:spacing w:before="0" w:after="120" w:line="360" w:lineRule="auto"/>
        <w:jc w:val="both"/>
      </w:pPr>
      <w:r>
        <w:rPr>
          <w:rFonts w:ascii="Times New Roman" w:hAnsi="Times New Roman"/>
          <w:b w:val="0"/>
          <w:i w:val="0"/>
          <w:color w:val="000000"/>
          <w:sz w:val="24"/>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000000"/>
          <w:sz w:val="28"/>
        </w:rPr>
        <w:t>C.1 CONSOLIDATED HARDWARE PROCUREMENT BILL OF MATERIALS (BOM)</w:t>
      </w:r>
    </w:p>
    <w:p>
      <w:pPr>
        <w:keepNext/>
        <w:spacing w:before="160" w:after="80"/>
        <w:jc w:val="left"/>
      </w:pPr>
      <w:r>
        <w:rPr>
          <w:rFonts w:ascii="Times New Roman" w:hAnsi="Times New Roman"/>
          <w:b/>
          <w:color w:val="000000"/>
          <w:sz w:val="20"/>
        </w:rPr>
        <w:t>Table C.1: Consolidated Hardware Procurement Specification and Bill of Materials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rPr>
          <w:tblHeader/>
          <w:cantSplit/>
        </w:trP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rPr>
          <w:cantSplit/>
        </w:trP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rPr>
          <w:cantSplit/>
        </w:trP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rPr>
          <w:cantSplit/>
        </w:trP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rPr>
          <w:cantSplit/>
        </w:trP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rPr>
          <w:cantSplit/>
        </w:trP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rPr>
          <w:cantSplit/>
        </w:trP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rPr>
          <w:cantSplit/>
        </w:trP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rPr>
          <w:cantSplit/>
        </w:trP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rPr>
          <w:cantSplit/>
        </w:trP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keepNext/>
        <w:spacing w:before="280" w:after="120" w:line="276" w:lineRule="auto"/>
      </w:pPr>
      <w:r>
        <w:rPr>
          <w:rFonts w:ascii="Times New Roman" w:hAnsi="Times New Roman"/>
          <w:b/>
          <w:color w:val="000000"/>
          <w:sz w:val="28"/>
        </w:rPr>
        <w:t>C.2 MICROCONTROLLER HARDWARE PINOUT AND PERIPHERAL MAPPING</w:t>
      </w:r>
    </w:p>
    <w:p>
      <w:pPr>
        <w:keepNext/>
        <w:spacing w:before="160" w:after="80"/>
        <w:jc w:val="left"/>
      </w:pPr>
      <w:r>
        <w:rPr>
          <w:rFonts w:ascii="Times New Roman" w:hAnsi="Times New Roman"/>
          <w:b/>
          <w:color w:val="000000"/>
          <w:sz w:val="20"/>
        </w:rPr>
        <w:t>Table C.2: ESP32-P4 MCU and PCA9685 Peripheral Hardware Pinout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rPr>
          <w:tblHeader/>
          <w:cantSplit/>
        </w:trP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rPr>
          <w:cantSplit/>
        </w:trP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rPr>
          <w:cantSplit/>
        </w:trP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rPr>
          <w:cantSplit/>
        </w:trP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rPr>
          <w:cantSplit/>
        </w:trP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rPr>
          <w:cantSplit/>
        </w:trP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rPr>
          <w:cantSplit/>
        </w:trP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rPr>
          <w:cantSplit/>
        </w:trP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rPr>
          <w:cantSplit/>
        </w:trP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rPr>
          <w:cantSplit/>
        </w:trP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rPr>
          <w:cantSplit/>
        </w:trP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sectPr w:rsidR="00FC693F" w:rsidRPr="0006063C" w:rsidSect="00034616">
      <w:headerReference w:type="default" r:id="rId13"/>
      <w:footerReference w:type="default" r:id="rId14"/>
      <w:pgSz w:w="11909" w:h="16834"/>
      <w:pgMar w:top="1440" w:right="1440" w:bottom="1440" w:left="2160" w:header="720" w:footer="720" w:gutter="0"/>
      <w:cols w:space="720"/>
      <w:docGrid w:linePitch="360"/>
      <w:pgNumType w:start="3"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