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1F4E78"/>
          <w:sz w:val="44"/>
        </w:rPr>
        <w:t>Unified Embedded BCI Architecture for Cross-Limb Neurorehabilitation</w:t>
      </w:r>
    </w:p>
    <w:p>
      <w:pPr>
        <w:spacing w:before="0" w:after="80"/>
        <w:jc w:val="center"/>
      </w:pPr>
      <w:r>
        <w:rPr>
          <w:rFonts w:ascii="Calibri" w:hAnsi="Calibri"/>
          <w:i/>
          <w:color w:val="2E75B6"/>
          <w:sz w:val="26"/>
        </w:rPr>
        <w:t>A Dual-Module EEG-Controlled Testbed</w:t>
      </w:r>
    </w:p>
    <w:p>
      <w:pPr>
        <w:spacing w:before="0" w:after="80"/>
        <w:jc w:val="center"/>
      </w:pPr>
      <w:r>
        <w:rPr>
          <w:rFonts w:ascii="Calibri" w:hAnsi="Calibri"/>
          <w:i/>
          <w:color w:val="2E75B6"/>
          <w:sz w:val="26"/>
        </w:rPr>
        <w:t>(Working Title: EEG-Based Exoskeleton Control for Upper- and Lower-Limb Neurorehabilitation)</w:t>
      </w:r>
    </w:p>
    <w:p>
      <w:pPr>
        <w:spacing w:before="40" w:after="80"/>
        <w:jc w:val="center"/>
      </w:pPr>
      <w:r>
        <w:rPr>
          <w:rFonts w:ascii="Calibri" w:hAnsi="Calibri"/>
          <w:color w:val="646464"/>
          <w:sz w:val="20"/>
        </w:rPr>
        <w:t>A Literature Review and Comprehensive Project Feasibility Analysis</w:t>
      </w:r>
    </w:p>
    <w:p>
      <w:pPr>
        <w:spacing w:before="40" w:after="80"/>
        <w:jc w:val="center"/>
      </w:pPr>
      <w:r>
        <w:rPr>
          <w:rFonts w:ascii="Calibri" w:hAnsi="Calibri"/>
          <w:color w:val="646464"/>
          <w:sz w:val="20"/>
        </w:rPr>
        <w:t>Enhanced Publication-Grade Revision (With Complete System Architecture, Wiring Diagrams, Power Budget, &amp; Software Stack)</w:t>
      </w:r>
    </w:p>
    <w:p>
      <w:pPr>
        <w:spacing w:before="40" w:after="80"/>
        <w:jc w:val="center"/>
      </w:pPr>
      <w:r>
        <w:rPr>
          <w:rFonts w:ascii="Calibri" w:hAnsi="Calibri"/>
          <w:color w:val="646464"/>
          <w:sz w:val="20"/>
        </w:rPr>
        <w:t>Hardware Configuration: OpenBCI Open-cEEGrid (16-Channel Around-the-Ear EEG) + NVIDIA Jetson Orin + ESP32 MCU + Synthetic Hand/Leg Testbed</w:t>
      </w:r>
    </w:p>
    <w:p>
      <w:pPr>
        <w:spacing w:before="40" w:after="80"/>
        <w:jc w:val="center"/>
      </w:pPr>
      <w:r>
        <w:rPr>
          <w:rFonts w:ascii="Calibri" w:hAnsi="Calibri"/>
          <w:color w:val="646464"/>
          <w:sz w:val="20"/>
        </w:rPr>
        <w:t>Prepared to support research-paper drafting, patent prior-art / feasibility assessment, and prototype implementation</w:t>
      </w:r>
    </w:p>
    <w:p>
      <w:pPr>
        <w:spacing w:before="40" w:after="80"/>
        <w:jc w:val="center"/>
      </w:pPr>
      <w:r>
        <w:rPr>
          <w:rFonts w:ascii="Calibri" w:hAnsi="Calibri"/>
          <w:color w:val="646464"/>
          <w:sz w:val="20"/>
        </w:rPr>
        <w:t>OpenBCI Open-cEEGrid Headset → Signal Conditioning → BrainFlow → Jetson Orin Host → ESP32 MCU → Motor Drivers → Exoskeleton Actuation</w:t>
      </w:r>
    </w:p>
    <w:p>
      <w:pPr>
        <w:spacing w:before="40" w:after="80"/>
        <w:jc w:val="center"/>
      </w:pPr>
      <w:r>
        <w:rPr>
          <w:rFonts w:ascii="Calibri" w:hAnsi="Calibri"/>
          <w:color w:val="646464"/>
          <w:sz w:val="20"/>
        </w:rPr>
        <w:t>Consolidated Master Revision / August 2026</w:t>
      </w:r>
    </w:p>
    <w:p>
      <w:pPr>
        <w:spacing w:after="240"/>
      </w:pPr>
    </w:p>
    <w:p>
      <w:pPr>
        <w:keepNext/>
        <w:spacing w:before="360" w:after="120"/>
      </w:pPr>
      <w:r>
        <w:rPr>
          <w:rFonts w:ascii="Calibri" w:hAnsi="Calibri"/>
          <w:b/>
          <w:color w:val="1F4E78"/>
          <w:sz w:val="32"/>
        </w:rPr>
        <w:t>Table of Contents</w:t>
      </w:r>
    </w:p>
    <w:p>
      <w:pPr>
        <w:spacing w:before="0" w:after="40"/>
      </w:pPr>
      <w:r>
        <w:rPr>
          <w:rFonts w:ascii="Calibri" w:hAnsi="Calibri"/>
          <w:color w:val="505050"/>
          <w:sz w:val="20"/>
        </w:rPr>
        <w:t>1. Abstract</w:t>
      </w:r>
    </w:p>
    <w:p>
      <w:pPr>
        <w:spacing w:before="0" w:after="40"/>
      </w:pPr>
      <w:r>
        <w:rPr>
          <w:rFonts w:ascii="Calibri" w:hAnsi="Calibri"/>
          <w:color w:val="505050"/>
          <w:sz w:val="20"/>
        </w:rPr>
        <w:t xml:space="preserve">  1.1 Direct Answer: Does the Hardware Choice Change the Feasibility Picture?</w:t>
      </w:r>
    </w:p>
    <w:p>
      <w:pPr>
        <w:spacing w:before="0" w:after="40"/>
      </w:pPr>
      <w:r>
        <w:rPr>
          <w:rFonts w:ascii="Calibri" w:hAnsi="Calibri"/>
          <w:color w:val="505050"/>
          <w:sz w:val="20"/>
        </w:rPr>
        <w:t>2. Introduction and Objectives</w:t>
      </w:r>
    </w:p>
    <w:p>
      <w:pPr>
        <w:spacing w:before="0" w:after="40"/>
      </w:pPr>
      <w:r>
        <w:rPr>
          <w:rFonts w:ascii="Calibri" w:hAnsi="Calibri"/>
          <w:color w:val="505050"/>
          <w:sz w:val="20"/>
        </w:rPr>
        <w:t>3. System Concept Overview</w:t>
      </w:r>
    </w:p>
    <w:p>
      <w:pPr>
        <w:spacing w:before="0" w:after="40"/>
      </w:pPr>
      <w:r>
        <w:rPr>
          <w:rFonts w:ascii="Calibri" w:hAnsi="Calibri"/>
          <w:color w:val="505050"/>
          <w:sz w:val="20"/>
        </w:rPr>
        <w:t xml:space="preserve">  3.1 What Changes With OpenBCI Open-cEEGrid + Synthetic Models</w:t>
      </w:r>
    </w:p>
    <w:p>
      <w:pPr>
        <w:spacing w:before="0" w:after="40"/>
      </w:pPr>
      <w:r>
        <w:rPr>
          <w:rFonts w:ascii="Calibri" w:hAnsi="Calibri"/>
          <w:color w:val="505050"/>
          <w:sz w:val="20"/>
        </w:rPr>
        <w:t xml:space="preserve">  3.2 End-to-End System Architecture &amp; Signal Pipeline</w:t>
      </w:r>
    </w:p>
    <w:p>
      <w:pPr>
        <w:spacing w:before="0" w:after="40"/>
      </w:pPr>
      <w:r>
        <w:rPr>
          <w:rFonts w:ascii="Calibri" w:hAnsi="Calibri"/>
          <w:color w:val="505050"/>
          <w:sz w:val="20"/>
        </w:rPr>
        <w:t>4. Literature Review</w:t>
      </w:r>
    </w:p>
    <w:p>
      <w:pPr>
        <w:spacing w:before="0" w:after="40"/>
      </w:pPr>
      <w:r>
        <w:rPr>
          <w:rFonts w:ascii="Calibri" w:hAnsi="Calibri"/>
          <w:color w:val="505050"/>
          <w:sz w:val="20"/>
        </w:rPr>
        <w:t xml:space="preserve">  4.1 EEG Signal Paradigms Used for Exoskeleton Control</w:t>
      </w:r>
    </w:p>
    <w:p>
      <w:pPr>
        <w:spacing w:before="0" w:after="40"/>
      </w:pPr>
      <w:r>
        <w:rPr>
          <w:rFonts w:ascii="Calibri" w:hAnsi="Calibri"/>
          <w:color w:val="505050"/>
          <w:sz w:val="20"/>
        </w:rPr>
        <w:t xml:space="preserve">  4.2 EEG-Controlled Hand / Upper-Limb Exoskeletons</w:t>
      </w:r>
    </w:p>
    <w:p>
      <w:pPr>
        <w:spacing w:before="0" w:after="40"/>
      </w:pPr>
      <w:r>
        <w:rPr>
          <w:rFonts w:ascii="Calibri" w:hAnsi="Calibri"/>
          <w:color w:val="505050"/>
          <w:sz w:val="20"/>
        </w:rPr>
        <w:t xml:space="preserve">  4.3 EEG-Controlled Leg / Lower-Limb Exoskeletons</w:t>
      </w:r>
    </w:p>
    <w:p>
      <w:pPr>
        <w:spacing w:before="0" w:after="40"/>
      </w:pPr>
      <w:r>
        <w:rPr>
          <w:rFonts w:ascii="Calibri" w:hAnsi="Calibri"/>
          <w:color w:val="505050"/>
          <w:sz w:val="20"/>
        </w:rPr>
        <w:t xml:space="preserve">  4.4 Classification Algorithms for Real-Time Decoding</w:t>
      </w:r>
    </w:p>
    <w:p>
      <w:pPr>
        <w:spacing w:before="0" w:after="40"/>
      </w:pPr>
      <w:r>
        <w:rPr>
          <w:rFonts w:ascii="Calibri" w:hAnsi="Calibri"/>
          <w:color w:val="505050"/>
          <w:sz w:val="20"/>
        </w:rPr>
        <w:t xml:space="preserve">  4.5 Embedded / Microcontroller Control Architectures &amp; Edge-AI Compute Rationale</w:t>
      </w:r>
    </w:p>
    <w:p>
      <w:pPr>
        <w:spacing w:before="0" w:after="40"/>
      </w:pPr>
      <w:r>
        <w:rPr>
          <w:rFonts w:ascii="Calibri" w:hAnsi="Calibri"/>
          <w:color w:val="505050"/>
          <w:sz w:val="20"/>
        </w:rPr>
        <w:t xml:space="preserve">    4.5.1 ESP32-P4 Specifically</w:t>
      </w:r>
    </w:p>
    <w:p>
      <w:pPr>
        <w:spacing w:before="0" w:after="40"/>
      </w:pPr>
      <w:r>
        <w:rPr>
          <w:rFonts w:ascii="Calibri" w:hAnsi="Calibri"/>
          <w:color w:val="505050"/>
          <w:sz w:val="20"/>
        </w:rPr>
        <w:t xml:space="preserve">    4.5.2 Correcting the Classifier Choice &amp; Justifying Jetson Orin Edge-AI Compute</w:t>
      </w:r>
    </w:p>
    <w:p>
      <w:pPr>
        <w:spacing w:before="0" w:after="40"/>
      </w:pPr>
      <w:r>
        <w:rPr>
          <w:rFonts w:ascii="Calibri" w:hAnsi="Calibri"/>
          <w:color w:val="505050"/>
          <w:sz w:val="20"/>
        </w:rPr>
        <w:t xml:space="preserve">  4.6 Hybrid Multimodal Safety Approaches</w:t>
      </w:r>
    </w:p>
    <w:p>
      <w:pPr>
        <w:spacing w:before="0" w:after="40"/>
      </w:pPr>
      <w:r>
        <w:rPr>
          <w:rFonts w:ascii="Calibri" w:hAnsi="Calibri"/>
          <w:color w:val="505050"/>
          <w:sz w:val="20"/>
        </w:rPr>
        <w:t xml:space="preserve">    4.6.1 Verifying the Blink-Veto / “Time to Stop” Claim</w:t>
      </w:r>
    </w:p>
    <w:p>
      <w:pPr>
        <w:spacing w:before="0" w:after="40"/>
      </w:pPr>
      <w:r>
        <w:rPr>
          <w:rFonts w:ascii="Calibri" w:hAnsi="Calibri"/>
          <w:color w:val="505050"/>
          <w:sz w:val="20"/>
        </w:rPr>
        <w:t xml:space="preserve">  4.7 Benchtop / Synthetic-Model Validation as a Development Stage</w:t>
      </w:r>
    </w:p>
    <w:p>
      <w:pPr>
        <w:spacing w:before="0" w:after="40"/>
      </w:pPr>
      <w:r>
        <w:rPr>
          <w:rFonts w:ascii="Calibri" w:hAnsi="Calibri"/>
          <w:color w:val="505050"/>
          <w:sz w:val="20"/>
        </w:rPr>
        <w:t xml:space="preserve">  4.8 Verifying the Sequential Hand-Then-Leg Rehabilitation Rationale</w:t>
      </w:r>
    </w:p>
    <w:p>
      <w:pPr>
        <w:spacing w:before="0" w:after="40"/>
      </w:pPr>
      <w:r>
        <w:rPr>
          <w:rFonts w:ascii="Calibri" w:hAnsi="Calibri"/>
          <w:color w:val="505050"/>
          <w:sz w:val="20"/>
        </w:rPr>
        <w:t xml:space="preserve">  4.9 Fact-Check Summary of Project Claims</w:t>
      </w:r>
    </w:p>
    <w:p>
      <w:pPr>
        <w:spacing w:before="0" w:after="40"/>
      </w:pPr>
      <w:r>
        <w:rPr>
          <w:rFonts w:ascii="Calibri" w:hAnsi="Calibri"/>
          <w:color w:val="505050"/>
          <w:sz w:val="20"/>
        </w:rPr>
        <w:t>5. Patent Landscape Analysis</w:t>
      </w:r>
    </w:p>
    <w:p>
      <w:pPr>
        <w:spacing w:before="0" w:after="40"/>
      </w:pPr>
      <w:r>
        <w:rPr>
          <w:rFonts w:ascii="Calibri" w:hAnsi="Calibri"/>
          <w:color w:val="505050"/>
          <w:sz w:val="20"/>
        </w:rPr>
        <w:t xml:space="preserve">  5.1 Where Residual Novelty Is Most Plausible</w:t>
      </w:r>
    </w:p>
    <w:p>
      <w:pPr>
        <w:spacing w:before="0" w:after="40"/>
      </w:pPr>
      <w:r>
        <w:rPr>
          <w:rFonts w:ascii="Calibri" w:hAnsi="Calibri"/>
          <w:color w:val="505050"/>
          <w:sz w:val="20"/>
        </w:rPr>
        <w:t>6. Research Gap Synthesis</w:t>
      </w:r>
    </w:p>
    <w:p>
      <w:pPr>
        <w:spacing w:before="0" w:after="40"/>
      </w:pPr>
      <w:r>
        <w:rPr>
          <w:rFonts w:ascii="Calibri" w:hAnsi="Calibri"/>
          <w:color w:val="505050"/>
          <w:sz w:val="20"/>
        </w:rPr>
        <w:t>7. Feasibility Analysis</w:t>
      </w:r>
    </w:p>
    <w:p>
      <w:pPr>
        <w:spacing w:before="0" w:after="40"/>
      </w:pPr>
      <w:r>
        <w:rPr>
          <w:rFonts w:ascii="Calibri" w:hAnsi="Calibri"/>
          <w:color w:val="505050"/>
          <w:sz w:val="20"/>
        </w:rPr>
        <w:t xml:space="preserve">  7.1 Technical Feasibility</w:t>
      </w:r>
    </w:p>
    <w:p>
      <w:pPr>
        <w:spacing w:before="0" w:after="40"/>
      </w:pPr>
      <w:r>
        <w:rPr>
          <w:rFonts w:ascii="Calibri" w:hAnsi="Calibri"/>
          <w:color w:val="505050"/>
          <w:sz w:val="20"/>
        </w:rPr>
        <w:t xml:space="preserve">  7.2 Comparative Feasibility: Hand Module vs. Leg Module</w:t>
      </w:r>
    </w:p>
    <w:p>
      <w:pPr>
        <w:spacing w:before="0" w:after="40"/>
      </w:pPr>
      <w:r>
        <w:rPr>
          <w:rFonts w:ascii="Calibri" w:hAnsi="Calibri"/>
          <w:color w:val="505050"/>
          <w:sz w:val="20"/>
        </w:rPr>
        <w:t xml:space="preserve">  7.3 Cost and Hardware Feasibility</w:t>
      </w:r>
    </w:p>
    <w:p>
      <w:pPr>
        <w:spacing w:before="0" w:after="40"/>
      </w:pPr>
      <w:r>
        <w:rPr>
          <w:rFonts w:ascii="Calibri" w:hAnsi="Calibri"/>
          <w:color w:val="505050"/>
          <w:sz w:val="20"/>
        </w:rPr>
        <w:t xml:space="preserve">  7.4 Clinical and Regulatory Feasibility</w:t>
      </w:r>
    </w:p>
    <w:p>
      <w:pPr>
        <w:spacing w:before="0" w:after="40"/>
      </w:pPr>
      <w:r>
        <w:rPr>
          <w:rFonts w:ascii="Calibri" w:hAnsi="Calibri"/>
          <w:color w:val="505050"/>
          <w:sz w:val="20"/>
        </w:rPr>
        <w:t xml:space="preserve">  7.5 Risk Register</w:t>
      </w:r>
    </w:p>
    <w:p>
      <w:pPr>
        <w:spacing w:before="0" w:after="40"/>
      </w:pPr>
      <w:r>
        <w:rPr>
          <w:rFonts w:ascii="Calibri" w:hAnsi="Calibri"/>
          <w:color w:val="505050"/>
          <w:sz w:val="20"/>
        </w:rPr>
        <w:t xml:space="preserve">  7.6 Measurable Performance Targets &amp; Verification Matrix</w:t>
      </w:r>
    </w:p>
    <w:p>
      <w:pPr>
        <w:spacing w:before="0" w:after="40"/>
      </w:pPr>
      <w:r>
        <w:rPr>
          <w:rFonts w:ascii="Calibri" w:hAnsi="Calibri"/>
          <w:color w:val="505050"/>
          <w:sz w:val="20"/>
        </w:rPr>
        <w:t>8. Novelty Positioning: Research Paper vs. Patent Strategy</w:t>
      </w:r>
    </w:p>
    <w:p>
      <w:pPr>
        <w:spacing w:before="0" w:after="40"/>
      </w:pPr>
      <w:r>
        <w:rPr>
          <w:rFonts w:ascii="Calibri" w:hAnsi="Calibri"/>
          <w:color w:val="505050"/>
          <w:sz w:val="20"/>
        </w:rPr>
        <w:t xml:space="preserve">  8.1 For a Research Paper</w:t>
      </w:r>
    </w:p>
    <w:p>
      <w:pPr>
        <w:spacing w:before="0" w:after="40"/>
      </w:pPr>
      <w:r>
        <w:rPr>
          <w:rFonts w:ascii="Calibri" w:hAnsi="Calibri"/>
          <w:color w:val="505050"/>
          <w:sz w:val="20"/>
        </w:rPr>
        <w:t xml:space="preserve">  8.2 For a Patent</w:t>
      </w:r>
    </w:p>
    <w:p>
      <w:pPr>
        <w:spacing w:before="0" w:after="40"/>
      </w:pPr>
      <w:r>
        <w:rPr>
          <w:rFonts w:ascii="Calibri" w:hAnsi="Calibri"/>
          <w:color w:val="505050"/>
          <w:sz w:val="20"/>
        </w:rPr>
        <w:t>9. Recommended Development Roadmap</w:t>
      </w:r>
    </w:p>
    <w:p>
      <w:pPr>
        <w:spacing w:before="0" w:after="40"/>
      </w:pPr>
      <w:r>
        <w:rPr>
          <w:rFonts w:ascii="Calibri" w:hAnsi="Calibri"/>
          <w:color w:val="505050"/>
          <w:sz w:val="20"/>
        </w:rPr>
        <w:t>10. Hardware Requirements, System Architecture &amp; Sourcing Analysis</w:t>
      </w:r>
    </w:p>
    <w:p>
      <w:pPr>
        <w:spacing w:before="0" w:after="40"/>
      </w:pPr>
      <w:r>
        <w:rPr>
          <w:rFonts w:ascii="Calibri" w:hAnsi="Calibri"/>
          <w:color w:val="505050"/>
          <w:sz w:val="20"/>
        </w:rPr>
        <w:t xml:space="preserve">  10.1 EEG Acquisition Hardware (OpenBCI Open-cEEGrid)</w:t>
      </w:r>
    </w:p>
    <w:p>
      <w:pPr>
        <w:spacing w:before="0" w:after="40"/>
      </w:pPr>
      <w:r>
        <w:rPr>
          <w:rFonts w:ascii="Calibri" w:hAnsi="Calibri"/>
          <w:color w:val="505050"/>
          <w:sz w:val="20"/>
        </w:rPr>
        <w:t xml:space="preserve">  10.2 Edge AI / Classifier Compute (NVIDIA Jetson Orin)</w:t>
      </w:r>
    </w:p>
    <w:p>
      <w:pPr>
        <w:spacing w:before="0" w:after="40"/>
      </w:pPr>
      <w:r>
        <w:rPr>
          <w:rFonts w:ascii="Calibri" w:hAnsi="Calibri"/>
          <w:color w:val="505050"/>
          <w:sz w:val="20"/>
        </w:rPr>
        <w:t xml:space="preserve">  10.3 Real-Time Actuation Microcontroller &amp; Logic Interlock</w:t>
      </w:r>
    </w:p>
    <w:p>
      <w:pPr>
        <w:spacing w:before="0" w:after="40"/>
      </w:pPr>
      <w:r>
        <w:rPr>
          <w:rFonts w:ascii="Calibri" w:hAnsi="Calibri"/>
          <w:color w:val="505050"/>
          <w:sz w:val="20"/>
        </w:rPr>
        <w:t xml:space="preserve">  10.4 Actuator Hardware &amp; Drive Mechanisms</w:t>
      </w:r>
    </w:p>
    <w:p>
      <w:pPr>
        <w:spacing w:before="0" w:after="40"/>
      </w:pPr>
      <w:r>
        <w:rPr>
          <w:rFonts w:ascii="Calibri" w:hAnsi="Calibri"/>
          <w:color w:val="505050"/>
          <w:sz w:val="20"/>
        </w:rPr>
        <w:t xml:space="preserve">  10.5 Synthetic Hand and Leg Models</w:t>
      </w:r>
    </w:p>
    <w:p>
      <w:pPr>
        <w:spacing w:before="0" w:after="40"/>
      </w:pPr>
      <w:r>
        <w:rPr>
          <w:rFonts w:ascii="Calibri" w:hAnsi="Calibri"/>
          <w:color w:val="505050"/>
          <w:sz w:val="20"/>
        </w:rPr>
        <w:t xml:space="preserve">  10.6 Electrical Interconnect &amp; Hardware Wiring Schematics</w:t>
      </w:r>
    </w:p>
    <w:p>
      <w:pPr>
        <w:spacing w:before="0" w:after="40"/>
      </w:pPr>
      <w:r>
        <w:rPr>
          <w:rFonts w:ascii="Calibri" w:hAnsi="Calibri"/>
          <w:color w:val="505050"/>
          <w:sz w:val="20"/>
        </w:rPr>
        <w:t xml:space="preserve">  10.7 Power Architecture, Power Budget, &amp; Operating Duration</w:t>
      </w:r>
    </w:p>
    <w:p>
      <w:pPr>
        <w:spacing w:before="0" w:after="40"/>
      </w:pPr>
      <w:r>
        <w:rPr>
          <w:rFonts w:ascii="Calibri" w:hAnsi="Calibri"/>
          <w:color w:val="505050"/>
          <w:sz w:val="20"/>
        </w:rPr>
        <w:t xml:space="preserve">  10.8 End-to-End Software Architecture &amp; Firmware Stack</w:t>
      </w:r>
    </w:p>
    <w:p>
      <w:pPr>
        <w:spacing w:before="0" w:after="40"/>
      </w:pPr>
      <w:r>
        <w:rPr>
          <w:rFonts w:ascii="Calibri" w:hAnsi="Calibri"/>
          <w:color w:val="505050"/>
          <w:sz w:val="20"/>
        </w:rPr>
        <w:t xml:space="preserve">  10.9 Safety Interlock and Auxiliary Hardware</w:t>
      </w:r>
    </w:p>
    <w:p>
      <w:pPr>
        <w:spacing w:before="0" w:after="40"/>
      </w:pPr>
      <w:r>
        <w:rPr>
          <w:rFonts w:ascii="Calibri" w:hAnsi="Calibri"/>
          <w:color w:val="505050"/>
          <w:sz w:val="20"/>
        </w:rPr>
        <w:t xml:space="preserve">  10.10 Setup Peripherals, Bench Tools, and Consumables</w:t>
      </w:r>
    </w:p>
    <w:p>
      <w:pPr>
        <w:spacing w:before="0" w:after="40"/>
      </w:pPr>
      <w:r>
        <w:rPr>
          <w:rFonts w:ascii="Calibri" w:hAnsi="Calibri"/>
          <w:color w:val="505050"/>
          <w:sz w:val="20"/>
        </w:rPr>
        <w:t xml:space="preserve">  10.11 Enhanced Itemized Bill of Materials (BOM) [Practical Procurement Table]</w:t>
      </w:r>
    </w:p>
    <w:p>
      <w:pPr>
        <w:spacing w:before="0" w:after="40"/>
      </w:pPr>
      <w:r>
        <w:rPr>
          <w:rFonts w:ascii="Calibri" w:hAnsi="Calibri"/>
          <w:color w:val="505050"/>
          <w:sz w:val="20"/>
        </w:rPr>
        <w:t xml:space="preserve">  10.12 Budget Analysis &amp; Cost Breakdown</w:t>
      </w:r>
    </w:p>
    <w:p>
      <w:pPr>
        <w:spacing w:before="0" w:after="40"/>
      </w:pPr>
      <w:r>
        <w:rPr>
          <w:rFonts w:ascii="Calibri" w:hAnsi="Calibri"/>
          <w:color w:val="505050"/>
          <w:sz w:val="20"/>
        </w:rPr>
        <w:t xml:space="preserve">  10.13 India Availability and Sourcing Analysis</w:t>
      </w:r>
    </w:p>
    <w:p>
      <w:pPr>
        <w:spacing w:before="0" w:after="40"/>
      </w:pPr>
      <w:r>
        <w:rPr>
          <w:rFonts w:ascii="Calibri" w:hAnsi="Calibri"/>
          <w:color w:val="505050"/>
          <w:sz w:val="20"/>
        </w:rPr>
        <w:t>11. Conclusion</w:t>
      </w:r>
    </w:p>
    <w:p>
      <w:pPr>
        <w:spacing w:before="0" w:after="40"/>
      </w:pPr>
      <w:r>
        <w:rPr>
          <w:rFonts w:ascii="Calibri" w:hAnsi="Calibri"/>
          <w:color w:val="505050"/>
          <w:sz w:val="20"/>
        </w:rPr>
        <w:t>References</w:t>
      </w:r>
    </w:p>
    <w:p>
      <w:pPr>
        <w:spacing w:after="240"/>
      </w:pPr>
    </w:p>
    <w:p>
      <w:pPr>
        <w:keepNext/>
        <w:spacing w:before="360" w:after="120"/>
      </w:pPr>
      <w:r>
        <w:rPr>
          <w:rFonts w:ascii="Calibri" w:hAnsi="Calibri"/>
          <w:b/>
          <w:color w:val="1F4E78"/>
          <w:sz w:val="32"/>
        </w:rPr>
        <w:t>1. Abstract</w:t>
      </w:r>
    </w:p>
    <w:p>
      <w:pPr>
        <w:spacing w:before="0" w:after="120" w:line="276" w:lineRule="auto"/>
      </w:pPr>
      <w:r>
        <w:rPr>
          <w:rFonts w:ascii="Calibri" w:hAnsi="Calibri"/>
          <w:color w:val="333333"/>
          <w:sz w:val="22"/>
        </w:rPr>
        <w:t>This report consolidates current literature on electroencephalography (EEG)-driven brain-computer interface (BCI) systems that actuate exoskeletons for neurorehabilitation, and evaluates the technical, clinical, and regulatory feasibility of a proposed dual-module testbed: an OpenBCI Open-cEEGrid system (a 16-channel Cyton+Daisy acquisition board paired with flexible, around-the-ear cEEGrid electrode arrays, with full open access to raw EEG via the OpenBCI GUI) that streams signals through a microcontroller-based decoding pipeline to drive either (a) a synthetic (mechanical/benchtop) hand model or (b) a synthetic leg model, as a precursor validation stage toward eventual patient-worn hand and leg exoskeletons for stroke, spinal cord injury (SCI), and other motor-impairment rehabilitation.</w:t>
      </w:r>
    </w:p>
    <w:p>
      <w:pPr>
        <w:spacing w:before="0" w:after="120" w:line="276" w:lineRule="auto"/>
      </w:pPr>
      <w:r>
        <w:rPr>
          <w:rFonts w:ascii="Calibri" w:hAnsi="Calibri"/>
          <w:color w:val="333333"/>
          <w:sz w:val="22"/>
        </w:rPr>
        <w:t>Because the cEEGrid electrode array is positioned around the ear (periauricular) rather than over central motor cortex, and because the actuation targets are synthetic models rather than human limbs, this configuration is best framed as an engineering feasibility and control-architecture demonstrator rather than a clinical device at this stage. Around-the-ear placement does not provide coverage of the C3/Cz/C4 sensorimotor sites needed for classical motor-imagery decoding, but it is independently validated in the peer-reviewed literature for several other signal types that are directly useful for a discrete-trigger control scheme, including tactile and auditory P300 event-related potentials, jaw-clench events, cognitive-workload/flow-state monitoring, sleep-stage classification, and eye-movement/blink detection through periauricular electro-oculography (EOG). The review below covers signal acquisition modalities, classification algorithms, embedded control architectures, and the existing patent landscape, and closes with a gap analysis and phased feasibility roadmap intended to support either a research-paper submission or a narrowly scoped patent application (utility/design) for the proposed system.</w:t>
      </w:r>
    </w:p>
    <w:p>
      <w:pPr>
        <w:keepNext/>
        <w:spacing w:before="280" w:after="80"/>
      </w:pPr>
      <w:r>
        <w:rPr>
          <w:rFonts w:ascii="Calibri" w:hAnsi="Calibri"/>
          <w:b/>
          <w:color w:val="2E75B6"/>
          <w:sz w:val="26"/>
        </w:rPr>
        <w:t>1.1 Direct Answer: Does the Hardware Choice Change the Feasibility Picture?</w:t>
      </w:r>
    </w:p>
    <w:p>
      <w:pPr>
        <w:spacing w:before="0" w:after="120" w:line="276" w:lineRule="auto"/>
      </w:pPr>
      <w:r>
        <w:rPr>
          <w:rFonts w:ascii="Calibri" w:hAnsi="Calibri"/>
          <w:color w:val="333333"/>
          <w:sz w:val="22"/>
        </w:rPr>
        <w:t>Yes, in specific and important ways, while the overall pipeline shape (EEG → conditioning → microcontroller → classifier → actuator) stays the same. Five things change:</w:t>
      </w:r>
    </w:p>
    <w:p>
      <w:pPr>
        <w:pStyle w:val="ListParagraph"/>
        <w:spacing w:before="0" w:after="60" w:line="276" w:lineRule="auto"/>
      </w:pPr>
      <w:r>
        <w:rPr>
          <w:rFonts w:ascii="Calibri" w:hAnsi="Calibri"/>
          <w:color w:val="333333"/>
          <w:sz w:val="22"/>
        </w:rPr>
        <w:t>Control paradigm and realistic signal targets: true motor-imagery ERD/ERS decoding still is not supported, since around-the-ear electrodes are, if anything, farther from motor cortex (C3/Cz/C4) than a frontal montage would be. What changes is which discrete-trigger paradigms are actually literature-validated for this exact hardware class: tactile/auditory P300 detection, deliberate jaw-clench events, and cognitive-workload/flow-state band-power changes are all published, peer-reviewed use cases for cEEGrid — a materially stronger evidence base than a single vendor-defined “attention/engagement” score.</w:t>
      </w:r>
    </w:p>
    <w:p>
      <w:pPr>
        <w:pStyle w:val="ListParagraph"/>
        <w:spacing w:before="0" w:after="60" w:line="276" w:lineRule="auto"/>
      </w:pPr>
      <w:r>
        <w:rPr>
          <w:rFonts w:ascii="Calibri" w:hAnsi="Calibri"/>
          <w:color w:val="333333"/>
          <w:sz w:val="22"/>
        </w:rPr>
        <w:t>Data access and rigor improve substantially: the Open-cEEGrid bundle provides 16 real EEG channels with free, open access to raw data through the OpenBCI GUI and BrainFlow, rather than a proprietary, closed attention index. This is a meaningful upgrade for both the credibility of any published classifier work and the legitimacy of a patent's technical description, since claims can be grounded in actual signal features rather than a vendor's undocumented internal algorithm.</w:t>
      </w:r>
    </w:p>
    <w:p>
      <w:pPr>
        <w:pStyle w:val="ListParagraph"/>
        <w:spacing w:before="0" w:after="60" w:line="276" w:lineRule="auto"/>
      </w:pPr>
      <w:r>
        <w:rPr>
          <w:rFonts w:ascii="Calibri" w:hAnsi="Calibri"/>
          <w:color w:val="333333"/>
          <w:sz w:val="22"/>
        </w:rPr>
        <w:t>Cost rises substantially: the Open-cEEGrid Around-the-Ear EEG Bundle (Cyton+Daisy board, electrodes, and accessories) lists at $3,299.99, roughly 15–30× higher than the tens-to-low-hundreds-of-dollars assumed for a basic consumer headset. This changes the project budget and should be reflected explicitly in any funding or resourcing plan, even though it remains far cheaper than a patient-rated, load-bearing exoskeleton and a clinical trial.</w:t>
      </w:r>
    </w:p>
    <w:p>
      <w:pPr>
        <w:pStyle w:val="ListParagraph"/>
        <w:spacing w:before="0" w:after="60" w:line="276" w:lineRule="auto"/>
      </w:pPr>
      <w:r>
        <w:rPr>
          <w:rFonts w:ascii="Calibri" w:hAnsi="Calibri"/>
          <w:color w:val="333333"/>
          <w:sz w:val="22"/>
        </w:rPr>
        <w:t>The EOG-based safety interlock design gains direct hardware-specific support: a 2025 study (King et al., Nature) specifically validates periauricular electrodes of this type for eye-tracking and blink detection, so the blink-veto safety concept is now grounded in literature written about this exact electrode placement, rather than resting only on general hybrid EEG/EOG precedent from unrelated headset types.</w:t>
      </w:r>
    </w:p>
    <w:p>
      <w:pPr>
        <w:pStyle w:val="ListParagraph"/>
        <w:spacing w:before="0" w:after="60" w:line="276" w:lineRule="auto"/>
      </w:pPr>
      <w:r>
        <w:rPr>
          <w:rFonts w:ascii="Calibri" w:hAnsi="Calibri"/>
          <w:color w:val="333333"/>
          <w:sz w:val="22"/>
        </w:rPr>
        <w:t>Novelty and claim framing narrows in the same direction as before: the strongest paper/patent contribution remains the control-architecture and dual-limb-testbed demonstration itself, not a clinical rehabilitation outcome, since no patient is in the loop until a later phase.</w:t>
      </w:r>
    </w:p>
    <w:p>
      <w:pPr>
        <w:keepNext/>
        <w:spacing w:before="360" w:after="120"/>
      </w:pPr>
      <w:r>
        <w:rPr>
          <w:rFonts w:ascii="Calibri" w:hAnsi="Calibri"/>
          <w:b/>
          <w:color w:val="1F4E78"/>
          <w:sz w:val="32"/>
        </w:rPr>
        <w:t>2. Introduction and Objectives</w:t>
      </w:r>
    </w:p>
    <w:p>
      <w:pPr>
        <w:spacing w:before="0" w:after="120" w:line="276" w:lineRule="auto"/>
      </w:pPr>
      <w:r>
        <w:rPr>
          <w:rFonts w:ascii="Calibri" w:hAnsi="Calibri"/>
          <w:color w:val="333333"/>
          <w:sz w:val="22"/>
        </w:rPr>
        <w:t>Motor impairment following stroke, spinal cord injury, or traumatic brain injury frequently disrupts the corticospinal pathways that translate movement intention into muscle action, while often leaving the intention itself — detectable as EEG activity over sensorimotor cortex — partially intact. EEG-driven exoskeletons attempt to close this loop: they decode the intention (typically via motor imagery, attention, or movement-related cortical potentials) and use it to trigger an external actuator that performs or assists the intended movement, reinforcing activity-dependent neuroplasticity that is considered central to recovery.</w:t>
      </w:r>
    </w:p>
    <w:p>
      <w:pPr>
        <w:spacing w:before="0" w:after="120" w:line="276" w:lineRule="auto"/>
      </w:pPr>
      <w:r>
        <w:rPr>
          <w:rFonts w:ascii="Calibri" w:hAnsi="Calibri"/>
          <w:color w:val="333333"/>
          <w:sz w:val="22"/>
        </w:rPr>
        <w:t>The proposed project extends this established approach into a single architecture that can address both upper-limb (hand/finger flexion-extension) and lower-limb (gait/joint) rehabilitation, using a common EEG-acquisition-to-microcontroller pipeline with a swappable actuator module (glove or leg exoskeleton). The objectives of this report are to:</w:t>
      </w:r>
    </w:p>
    <w:p>
      <w:pPr>
        <w:pStyle w:val="ListParagraph"/>
        <w:spacing w:before="0" w:after="60" w:line="276" w:lineRule="auto"/>
      </w:pPr>
      <w:r>
        <w:rPr>
          <w:rFonts w:ascii="Calibri" w:hAnsi="Calibri"/>
          <w:color w:val="333333"/>
          <w:sz w:val="22"/>
        </w:rPr>
        <w:t>Summarize the state of the art in EEG-controlled hand exoskeletons and EEG-controlled leg/gait exoskeletons separately, since the two branches differ in signal paradigms, safety requirements, and mechanical design.</w:t>
      </w:r>
    </w:p>
    <w:p>
      <w:pPr>
        <w:pStyle w:val="ListParagraph"/>
        <w:spacing w:before="0" w:after="60" w:line="276" w:lineRule="auto"/>
      </w:pPr>
      <w:r>
        <w:rPr>
          <w:rFonts w:ascii="Calibri" w:hAnsi="Calibri"/>
          <w:color w:val="333333"/>
          <w:sz w:val="22"/>
        </w:rPr>
        <w:t>Identify the classification algorithms and embedded hardware choices that are currently viable for real-time, low-cost, wearable deployment.</w:t>
      </w:r>
    </w:p>
    <w:p>
      <w:pPr>
        <w:pStyle w:val="ListParagraph"/>
        <w:spacing w:before="0" w:after="60" w:line="276" w:lineRule="auto"/>
      </w:pPr>
      <w:r>
        <w:rPr>
          <w:rFonts w:ascii="Calibri" w:hAnsi="Calibri"/>
          <w:color w:val="333333"/>
          <w:sz w:val="22"/>
        </w:rPr>
        <w:t>Map the existing patent landscape to identify freedom-to-operate risks and residual novelty.</w:t>
      </w:r>
    </w:p>
    <w:p>
      <w:pPr>
        <w:pStyle w:val="ListParagraph"/>
        <w:spacing w:before="0" w:after="60" w:line="276" w:lineRule="auto"/>
      </w:pPr>
      <w:r>
        <w:rPr>
          <w:rFonts w:ascii="Calibri" w:hAnsi="Calibri"/>
          <w:color w:val="333333"/>
          <w:sz w:val="22"/>
        </w:rPr>
        <w:t>Assess technical, cost, clinical, and regulatory feasibility for both modules, and propose a phased development roadmap.</w:t>
      </w:r>
    </w:p>
    <w:p>
      <w:pPr>
        <w:keepNext/>
        <w:spacing w:before="360" w:after="120"/>
      </w:pPr>
      <w:r>
        <w:rPr>
          <w:rFonts w:ascii="Calibri" w:hAnsi="Calibri"/>
          <w:b/>
          <w:color w:val="1F4E78"/>
          <w:sz w:val="32"/>
        </w:rPr>
        <w:t>3. System Concept Overview</w:t>
      </w:r>
    </w:p>
    <w:p>
      <w:pPr>
        <w:spacing w:before="0" w:after="120" w:line="276" w:lineRule="auto"/>
      </w:pPr>
      <w:r>
        <w:rPr>
          <w:rFonts w:ascii="Calibri" w:hAnsi="Calibri"/>
          <w:color w:val="333333"/>
          <w:sz w:val="22"/>
        </w:rPr>
        <w:t>The envisioned pipeline is common to both branches of the project, with the OpenBCI Open-cEEGrid system and synthetic actuation targets specified below:</w:t>
      </w:r>
    </w:p>
    <w:p>
      <w:pPr>
        <w:pStyle w:val="ListParagraph"/>
        <w:spacing w:before="0" w:after="60" w:line="276" w:lineRule="auto"/>
      </w:pPr>
      <w:r>
        <w:rPr>
          <w:rFonts w:ascii="Calibri" w:hAnsi="Calibri"/>
          <w:color w:val="333333"/>
          <w:sz w:val="22"/>
        </w:rPr>
        <w:t>EEG Acquisition — the OpenBCI Open-cEEGrid system: a 16-channel Cyton+Daisy acquisition board paired with flexible cEEGrid electrode arrays worn around each ear (periauricular placement), rather than a research-grade cap with direct motor-cortex coverage or a proprietary single-index consumer device. It provides full, free access to raw multichannel EEG through the open-source OpenBCI GUI and the BrainFlow API, rather than a closed vendor-defined score.</w:t>
      </w:r>
    </w:p>
    <w:p>
      <w:pPr>
        <w:pStyle w:val="ListParagraph"/>
        <w:spacing w:before="0" w:after="60" w:line="276" w:lineRule="auto"/>
      </w:pPr>
      <w:r>
        <w:rPr>
          <w:rFonts w:ascii="Calibri" w:hAnsi="Calibri"/>
          <w:color w:val="333333"/>
          <w:sz w:val="22"/>
        </w:rPr>
        <w:t>Signal Conditioning — analog front-end filtering (band-pass approximately 0.5–45 Hz, notch filtering for mains interference, and artifact rejection). Around-the-ear sites are comparatively less prone to frontalis-muscle contamination than a forehead montage, but are close to the temporalis muscle and jaw, which is precisely why deliberate jaw-clench events are both a documented artifact source and, used intentionally, a validated discrete command signal for this electrode placement.</w:t>
      </w:r>
    </w:p>
    <w:p>
      <w:pPr>
        <w:pStyle w:val="ListParagraph"/>
        <w:spacing w:before="0" w:after="60" w:line="276" w:lineRule="auto"/>
      </w:pPr>
      <w:r>
        <w:rPr>
          <w:rFonts w:ascii="Calibri" w:hAnsi="Calibri"/>
          <w:color w:val="333333"/>
          <w:sz w:val="22"/>
        </w:rPr>
        <w:t>Feature Extraction &amp; Classification — given the around-the-ear-only montage, the realistic decoding targets are the paradigms independently validated for cEEGrid: tactile or auditory P300 event-related potentials, jaw-clench detection, and cognitive-workload/flow-state band-power changes (notably temporal alpha power) — not a full CSP/EEGNet motor-imagery pipeline, which assumes C3/Cz/C4 coverage this electrode placement does not provide.</w:t>
      </w:r>
    </w:p>
    <w:p>
      <w:pPr>
        <w:pStyle w:val="ListParagraph"/>
        <w:spacing w:before="0" w:after="60" w:line="276" w:lineRule="auto"/>
      </w:pPr>
      <w:r>
        <w:rPr>
          <w:rFonts w:ascii="Calibri" w:hAnsi="Calibri"/>
          <w:color w:val="333333"/>
          <w:sz w:val="22"/>
        </w:rPr>
        <w:t>Embedded Decision Layer — a microcontroller (e.g., Arduino/ESP32-class MCU) receives the classifier output and issues an actuation command; a secondary confirmation signal, such as periauricular EOG-based blink detection (now independently validated for this electrode class), a manual switch, or a timing window, can serve as a safety interlock.</w:t>
      </w:r>
    </w:p>
    <w:p>
      <w:pPr>
        <w:pStyle w:val="ListParagraph"/>
        <w:spacing w:before="0" w:after="60" w:line="276" w:lineRule="auto"/>
      </w:pPr>
      <w:r>
        <w:rPr>
          <w:rFonts w:ascii="Calibri" w:hAnsi="Calibri"/>
          <w:color w:val="333333"/>
          <w:sz w:val="22"/>
        </w:rPr>
        <w:t>Actuation on Synthetic Models — rather than a patient-worn glove or load-bearing leg exoskeleton, the initial actuation targets are synthetic (3D-printed or mechanical mannequin-style) hand and leg models: servo- or Bowden-cable-driven finger linkages on a benchtop hand model, and motor-driven joint linkages on a benchtop leg/gait model, allowing full-speed iteration and testing without any patient-safety constraint.</w:t>
      </w:r>
    </w:p>
    <w:p>
      <w:pPr>
        <w:spacing w:before="0" w:after="120" w:line="276" w:lineRule="auto"/>
      </w:pPr>
      <w:r>
        <w:rPr>
          <w:rFonts w:ascii="Calibri" w:hAnsi="Calibri"/>
          <w:color w:val="333333"/>
          <w:sz w:val="22"/>
        </w:rPr>
        <w:t>Because the hand and leg branches diverge sharply in existing literature, they are reviewed separately below before being compared on a common feasibility basis; the following subsection addresses the Open-cEEGrid and synthetic-model implications directly.</w:t>
      </w:r>
    </w:p>
    <w:p>
      <w:pPr>
        <w:keepNext/>
        <w:spacing w:before="280" w:after="80"/>
      </w:pPr>
      <w:r>
        <w:rPr>
          <w:rFonts w:ascii="Calibri" w:hAnsi="Calibri"/>
          <w:b/>
          <w:color w:val="2E75B6"/>
          <w:sz w:val="26"/>
        </w:rPr>
        <w:t>3.1 What Changes With OpenBCI Open-cEEGrid + Synthetic Models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rPr>
          <w:tblHeader/>
        </w:trPr>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Aspect</w:t>
            </w:r>
          </w:p>
        </w:tc>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Original Assumption (research-grade EEG, patient-worn device)</w:t>
            </w:r>
          </w:p>
        </w:tc>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With OpenBCI Open-cEEGrid + Synthetic Models</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EEG montage</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8–32 channels incl. C3/Cz/C4 motor cortex</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16 channels, around-the-ear (periauricular); no direct motor-cortex coverage</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Decodable control signal</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Motor-imagery ERD/ERS, MRCP; supports multi-class, some continuous control</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Tactile/auditory P300, jaw-clench events, workload/flow band-power, EOG blink/eye-movement; realistically binary/discrete triggers</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Data access</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Depends on system; research systems typically expose raw data</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Fully open raw EEG via the OpenBCI GUI / BrainFlow — not a vendor black box</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Classifier complexity needed</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CSP/SVM up to EEGNet/CNN-LSTM/Transformer</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Lightweight LDA/SWLDA (standard for P300) or simple threshold logic; heavy CNNs remain unnecessary and largely unsupported by the paradigms this montage can access</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Actuation target</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Patient-worn glove / load-bearing leg exoskeleton</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Synthetic/mechanical benchtop hand and leg models</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Safety risk profile</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Real tissue/fall risk → IRB, device-class scrutiny</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Minimal — bench validation, no patient in the loop yet</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Cost</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Higher (research headset + patient-rated hardware + trials)</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EEG hardware alone is $3,299.99 (Open-cEEGrid bundle); still far lower overall than patient-rated hardware and clinical trials, but higher than a low-cost consumer headset</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Best-fit output</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Clinical feasibility paper / clinical-device patent</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Control-architecture feasibility paper / testbed-apparatus patent</w:t>
            </w:r>
          </w:p>
        </w:tc>
      </w:tr>
    </w:tbl>
    <w:p>
      <w:pPr>
        <w:spacing w:after="120"/>
      </w:pPr>
    </w:p>
    <w:p>
      <w:pPr>
        <w:keepNext/>
        <w:spacing w:before="280" w:after="80"/>
      </w:pPr>
      <w:r>
        <w:rPr>
          <w:rFonts w:ascii="Calibri" w:hAnsi="Calibri"/>
          <w:b/>
          <w:color w:val="2E75B6"/>
          <w:sz w:val="26"/>
        </w:rPr>
        <w:t>3.2 End-to-End System Architecture &amp; Signal Pipeline</w:t>
      </w:r>
    </w:p>
    <w:p>
      <w:pPr>
        <w:spacing w:before="0" w:after="120" w:line="276" w:lineRule="auto"/>
      </w:pPr>
      <w:r>
        <w:rPr>
          <w:rFonts w:ascii="Calibri" w:hAnsi="Calibri"/>
          <w:color w:val="333333"/>
          <w:sz w:val="22"/>
        </w:rPr>
        <w:t>The overall system architecture integrates biosignal acquisition, edge-AI feature decoding, dual-tier deterministic motor control, and physical synthetic actuators into a closed loop. Below is the end-to-end system block diagram:</w:t>
      </w:r>
    </w:p>
    <w:p>
      <w:pPr>
        <w:spacing w:before="80" w:after="160" w:line="240" w:lineRule="auto"/>
        <w:pBdr>
          <w:left w:val="single" w:sz="24" w:space="12" w:color="1F4E78"/>
        </w:pBdr>
      </w:pPr>
      <w:r>
        <w:rPr>
          <w:rFonts w:ascii="Courier New" w:hAnsi="Courier New"/>
          <w:color w:val="1E1E1E"/>
          <w:sz w:val="19"/>
        </w:rPr>
        <w:t>┌───────────────────────────────────────────────────────────────────────────┐</w:t>
        <w:br/>
        <w:t>│                     EEG BIOSIGNAL ACQUISITION TIER                        │</w:t>
        <w:br/>
        <w:t>│  OpenBCI Open-cEEGrid Headset (16-Ch Around-the-Ear Flex Electrodes)      │</w:t>
        <w:br/>
        <w:t>│  Cyton + Daisy Biosensing Board (250 Hz Sampling, 24-bit ADC)             │</w:t>
        <w:br/>
        <w:t>└────────────────────────────────────┬──────────────────────────────────────┘</w:t>
        <w:br/>
        <w:t xml:space="preserve">                                     │ (Bluetooth LE / USB Serial)</w:t>
        <w:br/>
        <w:t xml:space="preserve">                                     ▼</w:t>
        <w:br/>
        <w:t>┌───────────────────────────────────────────────────────────────────────────┐</w:t>
        <w:br/>
        <w:t>│                    EDGE COMPUTE &amp; SIGNAL PROCESSING TIER                  │</w:t>
        <w:br/>
        <w:t>│                          NVIDIA Jetson Orin Host                          │</w:t>
        <w:br/>
        <w:t>│  ┌───────────────────┐  ┌───────────────────────┐  ┌───────────────────┐  │</w:t>
        <w:br/>
        <w:t>│  │  BrainFlow Data   │  │   Bandpass Filter     │  │ EOG Blink-Veto    │  │</w:t>
        <w:br/>
        <w:t>│  │  Stream Ingestion │─►│   (0.5–30 Hz) + CAR   │─►│ Threshold Detector│  │</w:t>
        <w:br/>
        <w:t>│  └───────────────────┘  └──────────┬────────────┘  └─────────┬─────────┘  │</w:t>
        <w:br/>
        <w:t>│                                    │                         │            │</w:t>
        <w:br/>
        <w:t>│                         ┌──────────▼────────────┐            │ (Override) │</w:t>
        <w:br/>
        <w:t>│                         │ Feature Extraction &amp;  │            │            │</w:t>
        <w:br/>
        <w:t>│                         │ LDA / SWLDA Decoder   │            │            │</w:t>
        <w:br/>
        <w:t>│                         └──────────┬────────────┘            │            │</w:t>
        <w:br/>
        <w:t>│                                    │ (Command Trigger)       │            │</w:t>
        <w:br/>
        <w:t>│                                    ▼                         ▼            │</w:t>
        <w:br/>
        <w:t>│                         ┌──────────────────────────────────────┐          │</w:t>
        <w:br/>
        <w:t>│                         │ Arbitrator &amp; Safety Interlock Engine │          │</w:t>
        <w:br/>
        <w:t>│                         └──────────────────┬───────────────────┘          │</w:t>
        <w:br/>
        <w:t>└────────────────────────────────────────────┼──────────────────────────────┘</w:t>
        <w:br/>
        <w:t xml:space="preserve">                                             │ (UART 115200 Baud Packet)</w:t>
        <w:br/>
        <w:t xml:space="preserve">                                             ▼</w:t>
        <w:br/>
        <w:t>┌───────────────────────────────────────────────────────────────────────────┐</w:t>
        <w:br/>
        <w:t>│                   REAL-TIME ACTUATION &amp; CONTROL TIER                      │</w:t>
        <w:br/>
        <w:t>│                        ESP32 Microcontroller Unit                         │</w:t>
        <w:br/>
        <w:t>│  ┌───────────────────┐  ┌───────────────────────┐  ┌───────────────────┐  │</w:t>
        <w:br/>
        <w:t>│  │ Packet Parser &amp;   │  │  Joint Limit &amp; State  │  │ Hardwired E-Stop  │  │</w:t>
        <w:br/>
        <w:t>│  │ Checksum Validator│  │   Machine Controller  │  │ Physical Switch   │  │</w:t>
        <w:br/>
        <w:t>│  └─────────┬─────────┘  └──────────┬────────────┘  └─────────┬─────────┘  │</w:t>
        <w:br/>
        <w:t>│            │                       │                         │ (Disable)  │</w:t>
        <w:br/>
        <w:t>│            └───────────────────────┼─────────────────────────┘            │</w:t>
        <w:br/>
        <w:t>│                                    ▼                                      │</w:t>
        <w:br/>
        <w:t>│                     PWM Motor Drivers (L298N / Servos)                    │</w:t>
        <w:br/>
        <w:t>└────────────────────────────────────┬──────────────────────────────────────┘</w:t>
        <w:br/>
        <w:t xml:space="preserve">                                     │ (High-Current Isolated Drive)</w:t>
        <w:br/>
        <w:t xml:space="preserve">                                     ▼</w:t>
        <w:br/>
        <w:t>┌───────────────────────────────────────────────────────────────────────────┐</w:t>
        <w:br/>
        <w:t>│                      PHYSICAL TESTBED ACTUATORS                           │</w:t>
        <w:br/>
        <w:t>│  Hand Module: 3D-Printed Synthetic Hand (Servo / Bowden-Cable Tendons)    │</w:t>
        <w:br/>
        <w:t>│  Leg Module: 3D-Printed Synthetic Leg (DC Gear Motor + Limit Switches)    │</w:t>
        <w:br/>
        <w:t>└───────────────────────────────────────────────────────────────────────────┘</w:t>
      </w:r>
    </w:p>
    <w:p>
      <w:pPr>
        <w:spacing w:before="0" w:after="120" w:line="276" w:lineRule="auto"/>
      </w:pPr>
      <w:r>
        <w:rPr>
          <w:rFonts w:ascii="Calibri" w:hAnsi="Calibri"/>
          <w:color w:val="333333"/>
          <w:sz w:val="22"/>
        </w:rPr>
        <w:t>In short: the pipeline concept is unchanged, but the achievable control fidelity is still capped at discrete, event-based triggering rather than fine motor-imagery decoding; data quality and openness improve markedly; cost rises relative to a consumer-headset assumption; and the near-term risk and regulatory burden remain low because no patient is in the loop yet. The most honest framing for both a paper and a patent remains a feasibility/testbed contribution rather than a clinical-outcome claim.</w:t>
      </w:r>
    </w:p>
    <w:p>
      <w:pPr>
        <w:keepNext/>
        <w:spacing w:before="360" w:after="120"/>
      </w:pPr>
      <w:r>
        <w:rPr>
          <w:rFonts w:ascii="Calibri" w:hAnsi="Calibri"/>
          <w:b/>
          <w:color w:val="1F4E78"/>
          <w:sz w:val="32"/>
        </w:rPr>
        <w:t>4. Literature Review</w:t>
      </w:r>
    </w:p>
    <w:p>
      <w:pPr>
        <w:keepNext/>
        <w:spacing w:before="280" w:after="80"/>
      </w:pPr>
      <w:r>
        <w:rPr>
          <w:rFonts w:ascii="Calibri" w:hAnsi="Calibri"/>
          <w:b/>
          <w:color w:val="2E75B6"/>
          <w:sz w:val="26"/>
        </w:rPr>
        <w:t>4.1 EEG Signal Paradigms Used for Exoskeleton Control</w:t>
      </w:r>
    </w:p>
    <w:p>
      <w:pPr>
        <w:spacing w:before="0" w:after="120" w:line="276" w:lineRule="auto"/>
      </w:pPr>
      <w:r>
        <w:rPr>
          <w:rFonts w:ascii="Calibri" w:hAnsi="Calibri"/>
          <w:color w:val="333333"/>
          <w:sz w:val="22"/>
        </w:rPr>
        <w:t>Three EEG feature families dominate the exoskeleton-control literature: (1) sensorimotor rhythm modulation during motor imagery, detected as event-related desynchronization/synchronization (ERD/ERS) in the mu (8–13 Hz) and beta (13–30 Hz) bands — this requires electrodes over motor cortex (C3/Cz/C4) and is not accessible from an around-the-ear montage; (2) movement-related cortical potentials (MRCP), slow negative-going potentials preceding real or attempted movement, also typically recorded over central/parietal sites; and (3) event-related potentials and band-power features that are accessible from other scalp regions, including P300 responses and workload-related alpha-power changes. The OpenBCI Open-cEEGrid system, with electrodes placed around the ear, falls into category (3): the peer-reviewed literature on cEEGrid specifically demonstrates recordable tactile and auditory P300 potentials (though at reduced amplitude and classification accuracy relative to a full scalp cap), reliable jaw-clench detection, cognitive-workload and flow-state discrimination via temporal alpha power, sleep-stage classification, and periauricular EOG for eye-movement and blink detection. Its realistic contribution to an exoskeleton-control pipeline is therefore a discrete, event-based trigger built on one or more of these validated paradigms, not a motor-imagery decoder.</w:t>
      </w:r>
    </w:p>
    <w:p>
      <w:pPr>
        <w:keepNext/>
        <w:spacing w:before="280" w:after="80"/>
      </w:pPr>
      <w:r>
        <w:rPr>
          <w:rFonts w:ascii="Calibri" w:hAnsi="Calibri"/>
          <w:b/>
          <w:color w:val="2E75B6"/>
          <w:sz w:val="26"/>
        </w:rPr>
        <w:t>4.2 EEG-Controlled Hand / Upper-Limb Exoskeletons</w:t>
      </w:r>
    </w:p>
    <w:p>
      <w:pPr>
        <w:spacing w:before="0" w:after="120" w:line="276" w:lineRule="auto"/>
      </w:pPr>
      <w:r>
        <w:rPr>
          <w:rFonts w:ascii="Calibri" w:hAnsi="Calibri"/>
          <w:color w:val="333333"/>
          <w:sz w:val="22"/>
        </w:rPr>
        <w:t>A substantial and maturing body of work targets hand and finger rehabilitation. Representative systems include low-cost, 3D-printed actuated gloves driven by open-source BCI stacks and Arduino-class microcontrollers, attention-threshold controlled multi-segment mechanisms using consumer EEG modules, and more recent deep-learning-decoded soft robotic gloves using transformer architectures on research-grade dry-electrode caps. This body of literature is independent of the choice between a consumer headset and an around-the-ear research platform, and is summarized below for context.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1872"/>
            <w:tcMar>
              <w:top w:w="120" w:type="dxa"/>
              <w:bottom w:w="120" w:type="dxa"/>
              <w:left w:w="150" w:type="dxa"/>
              <w:right w:w="150" w:type="dxa"/>
            </w:tcMar>
            <w:shd w:fill="1F4E78"/>
          </w:tcPr>
          <w:p>
            <w:pPr>
              <w:spacing w:before="60" w:after="60" w:line="276" w:lineRule="auto"/>
            </w:pPr>
            <w:r>
              <w:rPr>
                <w:rFonts w:ascii="Calibri" w:hAnsi="Calibri"/>
                <w:b/>
                <w:color w:val="FFFFFF"/>
                <w:sz w:val="19"/>
              </w:rPr>
              <w:t>Study / System</w:t>
            </w:r>
          </w:p>
        </w:tc>
        <w:tc>
          <w:tcPr>
            <w:tcW w:type="dxa" w:w="1872"/>
            <w:tcMar>
              <w:top w:w="120" w:type="dxa"/>
              <w:bottom w:w="120" w:type="dxa"/>
              <w:left w:w="150" w:type="dxa"/>
              <w:right w:w="150" w:type="dxa"/>
            </w:tcMar>
            <w:shd w:fill="1F4E78"/>
          </w:tcPr>
          <w:p>
            <w:pPr>
              <w:spacing w:before="60" w:after="60" w:line="276" w:lineRule="auto"/>
            </w:pPr>
            <w:r>
              <w:rPr>
                <w:rFonts w:ascii="Calibri" w:hAnsi="Calibri"/>
                <w:b/>
                <w:color w:val="FFFFFF"/>
                <w:sz w:val="19"/>
              </w:rPr>
              <w:t>Year</w:t>
            </w:r>
          </w:p>
        </w:tc>
        <w:tc>
          <w:tcPr>
            <w:tcW w:type="dxa" w:w="1872"/>
            <w:tcMar>
              <w:top w:w="120" w:type="dxa"/>
              <w:bottom w:w="120" w:type="dxa"/>
              <w:left w:w="150" w:type="dxa"/>
              <w:right w:w="150" w:type="dxa"/>
            </w:tcMar>
            <w:shd w:fill="1F4E78"/>
          </w:tcPr>
          <w:p>
            <w:pPr>
              <w:spacing w:before="60" w:after="60" w:line="276" w:lineRule="auto"/>
            </w:pPr>
            <w:r>
              <w:rPr>
                <w:rFonts w:ascii="Calibri" w:hAnsi="Calibri"/>
                <w:b/>
                <w:color w:val="FFFFFF"/>
                <w:sz w:val="19"/>
              </w:rPr>
              <w:t>Signal &amp; Method</w:t>
            </w:r>
          </w:p>
        </w:tc>
        <w:tc>
          <w:tcPr>
            <w:tcW w:type="dxa" w:w="1872"/>
            <w:tcMar>
              <w:top w:w="120" w:type="dxa"/>
              <w:bottom w:w="120" w:type="dxa"/>
              <w:left w:w="150" w:type="dxa"/>
              <w:right w:w="150" w:type="dxa"/>
            </w:tcMar>
            <w:shd w:fill="1F4E78"/>
          </w:tcPr>
          <w:p>
            <w:pPr>
              <w:spacing w:before="60" w:after="60" w:line="276" w:lineRule="auto"/>
            </w:pPr>
            <w:r>
              <w:rPr>
                <w:rFonts w:ascii="Calibri" w:hAnsi="Calibri"/>
                <w:b/>
                <w:color w:val="FFFFFF"/>
                <w:sz w:val="19"/>
              </w:rPr>
              <w:t>Control Hardware</w:t>
            </w:r>
          </w:p>
        </w:tc>
        <w:tc>
          <w:tcPr>
            <w:tcW w:type="dxa" w:w="1872"/>
            <w:tcMar>
              <w:top w:w="120" w:type="dxa"/>
              <w:bottom w:w="120" w:type="dxa"/>
              <w:left w:w="150" w:type="dxa"/>
              <w:right w:w="150" w:type="dxa"/>
            </w:tcMar>
            <w:shd w:fill="1F4E78"/>
          </w:tcPr>
          <w:p>
            <w:pPr>
              <w:spacing w:before="60" w:after="60" w:line="276" w:lineRule="auto"/>
            </w:pPr>
            <w:r>
              <w:rPr>
                <w:rFonts w:ascii="Calibri" w:hAnsi="Calibri"/>
                <w:b/>
                <w:color w:val="FFFFFF"/>
                <w:sz w:val="19"/>
              </w:rPr>
              <w:t>Reported Result</w:t>
            </w:r>
          </w:p>
        </w:tc>
      </w:tr>
      <w:tr>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HERO (3D-printed textile hand exoskeleton)</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2021</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EEG, Graz-BCI motor imagery protocol</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DC motor + Bowden cable, low-cost design</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Feasibility demonstrated on healthy subject</w:t>
            </w:r>
          </w:p>
        </w:tc>
      </w:tr>
      <w:tr>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Open-source BCI wrist exoskeleton</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2021</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EEG, single-trial imagined wrist extension</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OpenViBE + 3D-printed actuator</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86% ± 12% true-positive rate; TMS-confirmed plasticity</w:t>
            </w:r>
          </w:p>
        </w:tc>
      </w:tr>
      <w:tr>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Attention-controlled rigid-soft hand exoskeleton</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2019</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Consumer EEG attention index (threshold switch)</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Steel-spring multi-segment mechanism</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Functional range of motion with single-channel trigger</w:t>
            </w:r>
          </w:p>
        </w:tc>
      </w:tr>
      <w:tr>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NeuroFlex soft glove</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2025</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EEG motor imagery, transformer deep-learning decoder</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Dry-electrode cap (16 ch) + soft pneumatic glove</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Improved class-imbalance handling vs. CNN baselines</w:t>
            </w:r>
          </w:p>
        </w:tc>
      </w:tr>
      <w:tr>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EEG-EMG hybrid SPC exoskeleton</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2017/2025 (SEA variant)</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EEG-EMG spectral power correlation / admittance control</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Series elastic actuator, single motor</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~90% ± 4.9% accuracy vs. 79.8% for CSP-only</w:t>
            </w:r>
          </w:p>
        </w:tc>
      </w:tr>
      <w:tr>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EEG-EMG neurofeedback platform (VAEDA)</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2026</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EEG movement-preparation + EMG reciprocal control</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Arduino Due + H-bridge driver, cable-driven glove</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Two-stage neurofeedback training pipeline validated in pilot/case study</w:t>
            </w:r>
          </w:p>
        </w:tc>
      </w:tr>
    </w:tbl>
    <w:p>
      <w:pPr>
        <w:spacing w:after="120"/>
      </w:pPr>
    </w:p>
    <w:p>
      <w:pPr>
        <w:spacing w:before="0" w:after="120" w:line="276" w:lineRule="auto"/>
      </w:pPr>
      <w:r>
        <w:rPr>
          <w:rFonts w:ascii="Calibri" w:hAnsi="Calibri"/>
          <w:color w:val="333333"/>
          <w:sz w:val="22"/>
        </w:rPr>
        <w:t>Common threads: hand-branch systems favor low-channel-count EEG, tolerate lower real-time throughput (discrete open/close or flex/extend commands rather than continuous trajectories), and increasingly pair EEG with EMG for reliability, since single-modality EEG decoding accuracy for fine finger movements remains a limiting factor.</w:t>
      </w:r>
    </w:p>
    <w:p>
      <w:pPr>
        <w:keepNext/>
        <w:spacing w:before="280" w:after="80"/>
      </w:pPr>
      <w:r>
        <w:rPr>
          <w:rFonts w:ascii="Calibri" w:hAnsi="Calibri"/>
          <w:b/>
          <w:color w:val="2E75B6"/>
          <w:sz w:val="26"/>
        </w:rPr>
        <w:t>4.3 EEG-Controlled Leg / Lower-Limb Exoskeletons</w:t>
      </w:r>
    </w:p>
    <w:p>
      <w:pPr>
        <w:spacing w:before="0" w:after="120" w:line="276" w:lineRule="auto"/>
      </w:pPr>
      <w:r>
        <w:rPr>
          <w:rFonts w:ascii="Calibri" w:hAnsi="Calibri"/>
          <w:color w:val="333333"/>
          <w:sz w:val="22"/>
        </w:rPr>
        <w:t>Lower-limb work is comparatively smaller in volume and more safety-constrained, since false actuation during standing or gait carries fall risk. Reviews of this sub-field emphasize that motor imagery, ERD/ERS, and steady-state visual evoked potentials (SSVEP) are the principal decodable features, and that hybrid eye-blink or EOG switches are frequently layered on top of the EEG decoder to gate unsafe transitions (e.g., between stand, sit, and gait-forward states).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1872"/>
            <w:tcMar>
              <w:top w:w="120" w:type="dxa"/>
              <w:bottom w:w="120" w:type="dxa"/>
              <w:left w:w="150" w:type="dxa"/>
              <w:right w:w="150" w:type="dxa"/>
            </w:tcMar>
            <w:shd w:fill="1F4E78"/>
          </w:tcPr>
          <w:p>
            <w:pPr>
              <w:spacing w:before="60" w:after="60" w:line="276" w:lineRule="auto"/>
            </w:pPr>
            <w:r>
              <w:rPr>
                <w:rFonts w:ascii="Calibri" w:hAnsi="Calibri"/>
                <w:b/>
                <w:color w:val="FFFFFF"/>
                <w:sz w:val="19"/>
              </w:rPr>
              <w:t>Study / System</w:t>
            </w:r>
          </w:p>
        </w:tc>
        <w:tc>
          <w:tcPr>
            <w:tcW w:type="dxa" w:w="1872"/>
            <w:tcMar>
              <w:top w:w="120" w:type="dxa"/>
              <w:bottom w:w="120" w:type="dxa"/>
              <w:left w:w="150" w:type="dxa"/>
              <w:right w:w="150" w:type="dxa"/>
            </w:tcMar>
            <w:shd w:fill="1F4E78"/>
          </w:tcPr>
          <w:p>
            <w:pPr>
              <w:spacing w:before="60" w:after="60" w:line="276" w:lineRule="auto"/>
            </w:pPr>
            <w:r>
              <w:rPr>
                <w:rFonts w:ascii="Calibri" w:hAnsi="Calibri"/>
                <w:b/>
                <w:color w:val="FFFFFF"/>
                <w:sz w:val="19"/>
              </w:rPr>
              <w:t>Year</w:t>
            </w:r>
          </w:p>
        </w:tc>
        <w:tc>
          <w:tcPr>
            <w:tcW w:type="dxa" w:w="1872"/>
            <w:tcMar>
              <w:top w:w="120" w:type="dxa"/>
              <w:bottom w:w="120" w:type="dxa"/>
              <w:left w:w="150" w:type="dxa"/>
              <w:right w:w="150" w:type="dxa"/>
            </w:tcMar>
            <w:shd w:fill="1F4E78"/>
          </w:tcPr>
          <w:p>
            <w:pPr>
              <w:spacing w:before="60" w:after="60" w:line="276" w:lineRule="auto"/>
            </w:pPr>
            <w:r>
              <w:rPr>
                <w:rFonts w:ascii="Calibri" w:hAnsi="Calibri"/>
                <w:b/>
                <w:color w:val="FFFFFF"/>
                <w:sz w:val="19"/>
              </w:rPr>
              <w:t>Signal &amp; Method</w:t>
            </w:r>
          </w:p>
        </w:tc>
        <w:tc>
          <w:tcPr>
            <w:tcW w:type="dxa" w:w="1872"/>
            <w:tcMar>
              <w:top w:w="120" w:type="dxa"/>
              <w:bottom w:w="120" w:type="dxa"/>
              <w:left w:w="150" w:type="dxa"/>
              <w:right w:w="150" w:type="dxa"/>
            </w:tcMar>
            <w:shd w:fill="1F4E78"/>
          </w:tcPr>
          <w:p>
            <w:pPr>
              <w:spacing w:before="60" w:after="60" w:line="276" w:lineRule="auto"/>
            </w:pPr>
            <w:r>
              <w:rPr>
                <w:rFonts w:ascii="Calibri" w:hAnsi="Calibri"/>
                <w:b/>
                <w:color w:val="FFFFFF"/>
                <w:sz w:val="19"/>
              </w:rPr>
              <w:t>Control Hardware</w:t>
            </w:r>
          </w:p>
        </w:tc>
        <w:tc>
          <w:tcPr>
            <w:tcW w:type="dxa" w:w="1872"/>
            <w:tcMar>
              <w:top w:w="120" w:type="dxa"/>
              <w:bottom w:w="120" w:type="dxa"/>
              <w:left w:w="150" w:type="dxa"/>
              <w:right w:w="150" w:type="dxa"/>
            </w:tcMar>
            <w:shd w:fill="1F4E78"/>
          </w:tcPr>
          <w:p>
            <w:pPr>
              <w:spacing w:before="60" w:after="60" w:line="276" w:lineRule="auto"/>
            </w:pPr>
            <w:r>
              <w:rPr>
                <w:rFonts w:ascii="Calibri" w:hAnsi="Calibri"/>
                <w:b/>
                <w:color w:val="FFFFFF"/>
                <w:sz w:val="19"/>
              </w:rPr>
              <w:t>Reported Result</w:t>
            </w:r>
          </w:p>
        </w:tc>
      </w:tr>
      <w:tr>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Lower-limb assistive-robot BCI review</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2018</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SMR, ERP/VEP survey across LL devices</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Exoskeletons, orthoses, prostheses (survey)</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Identifies SMR/ERP/VEP as principal viable LL control signals</w:t>
            </w:r>
          </w:p>
        </w:tc>
      </w:tr>
      <w:tr>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Brain-controlled lower-extremity gait-training robot</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2017</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Motor imagery (left/right hand proxy for gait speed)</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MI-BCI gait-speed controller</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Proof-of-concept with 4 healthy subjects</w:t>
            </w:r>
          </w:p>
        </w:tc>
      </w:tr>
      <w:tr>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Hybrid MI + eye-blink lower-limb controller</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2020</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FBCSP + MIBIF feature selection, SVM classifier, eye-blink switch</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Certified lower-limb exoskeleton (RoboWear P10-class device)</w:t>
            </w:r>
          </w:p>
        </w:tc>
        <w:tc>
          <w:tcPr>
            <w:tcW w:type="dxa" w:w="1872"/>
            <w:tcMar>
              <w:top w:w="120" w:type="dxa"/>
              <w:bottom w:w="120" w:type="dxa"/>
              <w:left w:w="150" w:type="dxa"/>
              <w:right w:w="150" w:type="dxa"/>
            </w:tcMar>
            <w:shd w:fill="F9FBFD"/>
          </w:tcPr>
          <w:p>
            <w:pPr>
              <w:spacing w:before="60" w:after="60" w:line="276" w:lineRule="auto"/>
            </w:pPr>
            <w:r>
              <w:rPr>
                <w:rFonts w:ascii="Calibri" w:hAnsi="Calibri"/>
                <w:color w:val="333333"/>
                <w:sz w:val="19"/>
              </w:rPr>
              <w:t>&gt;80% offline &amp; online accuracy across 10 subjects; full stand-gait-sit task completed</w:t>
            </w:r>
          </w:p>
        </w:tc>
      </w:tr>
      <w:tr>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Attention-based CNN motor-imagery LL system</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2024</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CNN + lightweight attention module decoding EEG</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Lower-limb exoskeleton (offline+online validated)</w:t>
            </w:r>
          </w:p>
        </w:tc>
        <w:tc>
          <w:tcPr>
            <w:tcW w:type="dxa" w:w="1872"/>
            <w:tcMar>
              <w:top w:w="120" w:type="dxa"/>
              <w:bottom w:w="120" w:type="dxa"/>
              <w:left w:w="150" w:type="dxa"/>
              <w:right w:w="150" w:type="dxa"/>
            </w:tcMar>
            <w:shd w:fill="FFFFFF"/>
          </w:tcPr>
          <w:p>
            <w:pPr>
              <w:spacing w:before="60" w:after="60" w:line="276" w:lineRule="auto"/>
            </w:pPr>
            <w:r>
              <w:rPr>
                <w:rFonts w:ascii="Calibri" w:hAnsi="Calibri"/>
                <w:color w:val="333333"/>
                <w:sz w:val="19"/>
              </w:rPr>
              <w:t>Improved decoding over CNN-only baseline</w:t>
            </w:r>
          </w:p>
        </w:tc>
      </w:tr>
    </w:tbl>
    <w:p>
      <w:pPr>
        <w:spacing w:after="120"/>
      </w:pPr>
    </w:p>
    <w:p>
      <w:pPr>
        <w:spacing w:before="0" w:after="120" w:line="276" w:lineRule="auto"/>
      </w:pPr>
      <w:r>
        <w:rPr>
          <w:rFonts w:ascii="Calibri" w:hAnsi="Calibri"/>
          <w:color w:val="333333"/>
          <w:sz w:val="22"/>
        </w:rPr>
        <w:t>The leg branch therefore has fewer, more cautious deployments, generally restricted to discrete-state transitions (start/stop gait, sit/stand) rather than continuous joint-angle control, and nearly always includes a secondary confirmation channel for safety — the same discrete-transition philosophy that a cEEGrid-based P300, jaw-clench, or blink-veto trigger would need to support in this project.</w:t>
      </w:r>
    </w:p>
    <w:p>
      <w:pPr>
        <w:keepNext/>
        <w:spacing w:before="280" w:after="80"/>
      </w:pPr>
      <w:r>
        <w:rPr>
          <w:rFonts w:ascii="Calibri" w:hAnsi="Calibri"/>
          <w:b/>
          <w:color w:val="2E75B6"/>
          <w:sz w:val="26"/>
        </w:rPr>
        <w:t>4.4 Classification Algorithms for Real-Time Decoding</w:t>
      </w:r>
    </w:p>
    <w:p>
      <w:pPr>
        <w:spacing w:before="0" w:after="120" w:line="276" w:lineRule="auto"/>
      </w:pPr>
      <w:r>
        <w:rPr>
          <w:rFonts w:ascii="Calibri" w:hAnsi="Calibri"/>
          <w:color w:val="333333"/>
          <w:sz w:val="22"/>
        </w:rPr>
        <w:t>Classical CSP+LDA/SVM pipelines remain common in embedded or resource-constrained deployments because they are computationally light and well understood, with representative hybrid CSP-based lower-limb systems reporting accuracies above 80%. Deep-learning approaches have progressively displaced them in accuracy-focused research: compact CNNs such as EEGNet and EEG-TCNet were designed specifically for embedded motor-imagery BCI; more recent CNN-LSTM and CNN-Transformer hybrids report benchmark accuracies in the 91–98% range on standard datasets (e.g., BCI Competition IV-2a), though such figures are typically obtained offline, on curated datasets, and do not always transfer to real-time, cross-session, cross-subject use.</w:t>
      </w:r>
    </w:p>
    <w:p>
      <w:pPr>
        <w:spacing w:before="0" w:after="120" w:line="276" w:lineRule="auto"/>
      </w:pPr>
      <w:r>
        <w:rPr>
          <w:rFonts w:ascii="Calibri" w:hAnsi="Calibri"/>
          <w:color w:val="333333"/>
          <w:sz w:val="22"/>
        </w:rPr>
        <w:t>For a cEEGrid-based system specifically, the relevant published precedent is different from either of these: P300 detection studies using cEEGrid electrodes have used linear discriminant analysis (LDA) with cross-validation as the classifier, not deep networks, reporting average classification accuracy around 63% for a tactile P300 paradigm (above the 25% chance level, but below the roughly 81% achieved with a full EEG cap in the same study). This is the realistic accuracy band to plan around for a cEEGrid-based discrete trigger, and it argues for a lightweight, well-understood classifier (LDA, stepwise LDA, or simple threshold logic on band power) rather than a heavier deep-learning model, both because the signal-to-noise ratio at this electrode placement does not obviously reward additional model complexity, and because such a classifier is easy to run in real time on a low-power microcontroller.</w:t>
      </w:r>
    </w:p>
    <w:p>
      <w:pPr>
        <w:keepNext/>
        <w:spacing w:before="280" w:after="80"/>
      </w:pPr>
      <w:r>
        <w:rPr>
          <w:rFonts w:ascii="Calibri" w:hAnsi="Calibri"/>
          <w:b/>
          <w:color w:val="2E75B6"/>
          <w:sz w:val="26"/>
        </w:rPr>
        <w:t>4.5 Embedded / Microcontroller Control Architectures</w:t>
      </w:r>
    </w:p>
    <w:p>
      <w:pPr>
        <w:spacing w:before="0" w:after="120" w:line="276" w:lineRule="auto"/>
      </w:pPr>
      <w:r>
        <w:rPr>
          <w:rFonts w:ascii="Calibri" w:hAnsi="Calibri"/>
          <w:color w:val="333333"/>
          <w:sz w:val="22"/>
        </w:rPr>
        <w:t>Reported hardware choices cluster into two tiers. The first is low-cost 8/32-bit microcontrollers (Arduino Uno/Due, ESP32) driving servo motors or DC motors through H-bridge or motor-driver ICs — sufficient for threshold- or classical-classifier-triggered control and consistent with the low-cost, open-source, 3D-printed design philosophy seen across multiple hand-exoskeleton studies (reported per-unit hardware costs under US$100 in some open-hardware designs). The second tier pairs a small single-board computer or edge-AI module (e.g., an NVIDIA Jetson Nano-class device) for the deep-learning classifier with a secondary, simpler microcontroller purely for motor/servo driving — the architecture used in more recent real-time deep-learning-decoded hand-exoskeleton prototypes.</w:t>
      </w:r>
    </w:p>
    <w:p>
      <w:pPr>
        <w:keepNext/>
        <w:spacing w:before="280" w:after="80"/>
      </w:pPr>
      <w:r>
        <w:rPr>
          <w:rFonts w:ascii="Calibri" w:hAnsi="Calibri"/>
          <w:b/>
          <w:color w:val="2E75B6"/>
          <w:sz w:val="26"/>
        </w:rPr>
        <w:t>4.5.1 ESP32-P4 Specifically</w:t>
      </w:r>
    </w:p>
    <w:p>
      <w:pPr>
        <w:spacing w:before="0" w:after="120" w:line="276" w:lineRule="auto"/>
      </w:pPr>
      <w:r>
        <w:rPr>
          <w:rFonts w:ascii="Calibri" w:hAnsi="Calibri"/>
          <w:color w:val="333333"/>
          <w:sz w:val="22"/>
        </w:rPr>
        <w:t>The ESP32-P4, named in the project description as the candidate embedded processor, is confirmed by Espressif's own datasheet to be a dual-core RISC-V microcontroller clocked up to 400 MHz with AI-oriented instruction extensions, 55 programmable GPIOs, and hardware acceleration for image/video and signal processing — well within range for running a lightweight EEG classifier and driving servo/motor outputs in real time. This assessment is unaffected by the headset choice. One correction to note: unlike other members of the ESP32 family, the ESP32-P4 has no integrated Wi-Fi or Bluetooth radio; Espressif's own documentation notes it is intended to pair with a companion wireless module (e.g., via ESP-Hosted) if wireless telemetry is required, which should be budgeted for explicitly rather than assumed. Note also that the Cyton+Daisy board streams 16 channels of continuous raw data rather than a single processed index, so the data-transfer path between the OpenBCI board and the ESP32-P4 (or an intermediate host computer used for initial model training) should be included explicitly in the system design rather than assumed to be negligible.</w:t>
      </w:r>
    </w:p>
    <w:p>
      <w:pPr>
        <w:keepNext/>
        <w:spacing w:before="280" w:after="80"/>
      </w:pPr>
      <w:r>
        <w:rPr>
          <w:rFonts w:ascii="Calibri" w:hAnsi="Calibri"/>
          <w:b/>
          <w:color w:val="2E75B6"/>
          <w:sz w:val="26"/>
        </w:rPr>
        <w:t>4.5.2 Correcting the Classifier Choice for an OpenBCI Open-cEEGrid System</w:t>
      </w:r>
    </w:p>
    <w:p>
      <w:pPr>
        <w:spacing w:before="0" w:after="120" w:line="276" w:lineRule="auto"/>
      </w:pPr>
      <w:r>
        <w:rPr>
          <w:rFonts w:ascii="Calibri" w:hAnsi="Calibri"/>
          <w:color w:val="333333"/>
          <w:sz w:val="22"/>
        </w:rPr>
        <w:t>The project description names two specific deep-learning architectures — SwitchBraidNet and a Gumbel-ResNet-KANs model — as the intended on-device classifiers. Both are real, current, and legitimate published architectures, but neither is designed for the signal this project will actually have available, whether the headset is a consumer frontal device or the Open-cEEGrid system. SwitchBraidNet is a 2026 quantization-aware architecture built for hybrid motor-imagery-plus-SSVEP decoding, evaluated on the multi-channel OpenBMI dataset, reporting roughly 69% motor-imagery accuracy and 93% SSVEP accuracy at FP32/FP16 precision — it assumes proper motor-cortex coverage for the motor-imagery branch and occipital coverage plus a visual stimulus for the SSVEP branch, neither of which an around-the-ear electrode array provides. The Gumbel-ResNet-KANs model comes from an unrelated 2025 study of a load-bearing sit-to-stand transfer robot, decoded from combined multi-channel EEG and EMG across motor-imagery, action-observation, and motor-execution paradigms — again assuming inputs this project's headset does not supply. Citing either model as the planned on-device classifier is a mismatch that should be corrected before submission, either by naming them only as a future-upgrade path (contingent on adding real motor-cortex or occipital channels) or, more realistically for the current hardware, by adopting a classifier actually validated on around-the-ear signals.</w:t>
      </w:r>
    </w:p>
    <w:p>
      <w:pPr>
        <w:spacing w:before="0" w:after="120" w:line="276" w:lineRule="auto"/>
      </w:pPr>
      <w:r>
        <w:rPr>
          <w:rFonts w:ascii="Calibri" w:hAnsi="Calibri"/>
          <w:color w:val="333333"/>
          <w:sz w:val="22"/>
        </w:rPr>
        <w:t>Precedent for a fit-for-purpose lightweight classifier does exist in the cEEGrid literature specifically: published studies recording tactile P300 responses from cEEGrid electrodes used linear discriminant analysis with cross-validation as the classifier, and broader cEEGrid work has used band-power (notably alpha-band) features with simple classifiers for cognitive-workload and flow-state discrimination, and comparable methods for jaw-clench event detection. A shallow classifier of this kind — LDA/SWLDA for P300 detection, or threshold/logistic-regression logic on band power for workload or jaw-clench triggers — is both the technically honest and the practically correct choice for this hardware, and is light enough to run comfortably on an ESP32-P4 without quantization.</w:t>
      </w:r>
    </w:p>
    <w:p>
      <w:pPr>
        <w:keepNext/>
        <w:spacing w:before="280" w:after="80"/>
      </w:pPr>
      <w:r>
        <w:rPr>
          <w:rFonts w:ascii="Calibri" w:hAnsi="Calibri"/>
          <w:b/>
          <w:color w:val="2E75B6"/>
          <w:sz w:val="26"/>
        </w:rPr>
        <w:t>4.6 Hybrid Multimodal Safety Approaches</w:t>
      </w:r>
    </w:p>
    <w:p>
      <w:pPr>
        <w:spacing w:before="0" w:after="120" w:line="276" w:lineRule="auto"/>
      </w:pPr>
      <w:r>
        <w:rPr>
          <w:rFonts w:ascii="Calibri" w:hAnsi="Calibri"/>
          <w:color w:val="333333"/>
          <w:sz w:val="22"/>
        </w:rPr>
        <w:t>Because single-trial EEG decoding accuracy for assistive (rather than purely experimental) use is often judged insufficiently reliable on its own (many practical systems report accuracy meaningfully below 80% in unconstrained conditions), a recurring design pattern fuses EEG with a second biosignal — EOG for blink/gaze-based confirmation, or EMG for residual muscle activity — to gate or veto exoskeleton actuation. This hybridization is reported to materially improve safety and perceived reliability, particularly for lower-limb systems where an unintended actuation during standing or walking poses a fall risk.</w:t>
      </w:r>
    </w:p>
    <w:p>
      <w:pPr>
        <w:keepNext/>
        <w:spacing w:before="280" w:after="80"/>
      </w:pPr>
      <w:r>
        <w:rPr>
          <w:rFonts w:ascii="Calibri" w:hAnsi="Calibri"/>
          <w:b/>
          <w:color w:val="2E75B6"/>
          <w:sz w:val="26"/>
        </w:rPr>
        <w:t>4.6.1 Verifying the Blink-Veto / “Time to Stop” Claim</w:t>
      </w:r>
    </w:p>
    <w:p>
      <w:pPr>
        <w:spacing w:before="0" w:after="120" w:line="276" w:lineRule="auto"/>
      </w:pPr>
      <w:r>
        <w:rPr>
          <w:rFonts w:ascii="Calibri" w:hAnsi="Calibri"/>
          <w:color w:val="333333"/>
          <w:sz w:val="22"/>
        </w:rPr>
        <w:t>The proposed design — a deliberate horizontal eye movement as a module-select switch, and a short blink as an immediate-stop veto — is well precedented in the general hybrid-BCI literature: published hybrid BCI systems have used a multi-blink EOG switch to activate/deactivate a robotic-arm controller and a single wink to cancel an in-progress command, and a related hybrid EEG/EOG wheelchair-plus-robotic-arm system used blinks and eyebrow movements as discrete stop/select commands layered on top of a motor-imagery channel. For this project's specific hardware, the design now has additional, more direct support: a 2025 study (King et al., published in Nature) specifically validates periauricular electrodes — the same general placement as cEEGrid — for eye-tracking and blink detection in a natural, wearable form factor. This means the blink-veto concept is grounded in literature written about ear-proximal electrodes specifically, not only in literature about unrelated EOG electrode placements.</w:t>
      </w:r>
    </w:p>
    <w:p>
      <w:pPr>
        <w:spacing w:before="0" w:after="120" w:line="276" w:lineRule="auto"/>
      </w:pPr>
      <w:r>
        <w:rPr>
          <w:rFonts w:ascii="Calibri" w:hAnsi="Calibri"/>
          <w:color w:val="333333"/>
          <w:sz w:val="22"/>
        </w:rPr>
        <w:t>What is still not independently verified in any source located for this review is the specific “2-second Time to Stop” figure: no located source specifies a 2-second threshold as a validated or standardized value for this class of system. The closest supporting data point remains that motor-imagery classification in a published hybrid EEG/EOG controller used a 2-second analysis epoch (not a stop-latency guarantee) for its underlying MI classifier. The 2-second TTS value should therefore continue to be treated as a reasonable engineering design target to validate empirically on the synthetic models — not cited as an established or literature-confirmed figure — until bench testing produces a measured number.</w:t>
      </w:r>
    </w:p>
    <w:p>
      <w:pPr>
        <w:spacing w:before="0" w:after="120" w:line="276" w:lineRule="auto"/>
      </w:pPr>
      <w:r>
        <w:rPr>
          <w:rFonts w:ascii="Calibri" w:hAnsi="Calibri"/>
          <w:color w:val="333333"/>
          <w:sz w:val="22"/>
        </w:rPr>
        <w:t>Similarly, the “sub-30 ms latency” and “less than 0.4% accuracy loss from INT8 quantization” figures could not be independently verified against a source specific to this project's hardware/model combination; they read as plausible targets drawn from general TinyML/embedded-inference literature rather than measured results for this system. With a 16-channel continuous data stream now in the pipeline (rather than a single processed index), the data-transfer and pre-processing time from the OpenBCI board to the classifier should also be included when validating any end-to-end latency figure. All of these should be labeled as design targets pending bench validation rather than stated as facts in a paper or patent filing.</w:t>
      </w:r>
    </w:p>
    <w:p>
      <w:pPr>
        <w:keepNext/>
        <w:spacing w:before="280" w:after="80"/>
      </w:pPr>
      <w:r>
        <w:rPr>
          <w:rFonts w:ascii="Calibri" w:hAnsi="Calibri"/>
          <w:b/>
          <w:color w:val="2E75B6"/>
          <w:sz w:val="26"/>
        </w:rPr>
        <w:t>4.7 Benchtop / Synthetic-Model Validation as a Development Stage</w:t>
      </w:r>
    </w:p>
    <w:p>
      <w:pPr>
        <w:spacing w:before="0" w:after="120" w:line="276" w:lineRule="auto"/>
      </w:pPr>
      <w:r>
        <w:rPr>
          <w:rFonts w:ascii="Calibri" w:hAnsi="Calibri"/>
          <w:color w:val="333333"/>
          <w:sz w:val="22"/>
        </w:rPr>
        <w:t>Across the broader rehabilitation-robotics literature, staged validation — bench/mechanical testing before healthy-subject testing before patient trials — is standard practice, and several of the low-cost, 3D-printed hand-exoskeleton studies reviewed above explicitly report bench or healthy-volunteer validation stages prior to any patient use. Using synthetic hand and leg models as the initial actuation target is therefore consistent with, and precedent-supported by, how this class of device is normally developed; it simply means the present project sits at an earlier stage of that same pipeline (control-and-mechanism validation) rather than skipping ahead to clinical claims. This is a favorable position for a feasibility-focused paper, since it allows rigorous, repeatable, safety-unconstrained testing of classification accuracy and actuation timing — but it also means clinical rehabilitation benefit cannot yet be claimed or implied.</w:t>
      </w:r>
    </w:p>
    <w:p>
      <w:pPr>
        <w:spacing w:before="0" w:after="120" w:line="276" w:lineRule="auto"/>
      </w:pPr>
      <w:r>
        <w:rPr>
          <w:rFonts w:ascii="Calibri" w:hAnsi="Calibri"/>
          <w:color w:val="333333"/>
          <w:sz w:val="22"/>
        </w:rPr>
        <w:t>On the acquisition side specifically, cEEGrid electrodes have their own precedent for real-world, out-of-lab use: published studies report participants wearing cEEGrid arrays for several hours of normal daily activity outside a laboratory with no substantial decline in recording quality. This somewhat strengthens the case that the acquisition hardware itself is ready for iterative bench and volunteer testing, independent of the exoskeleton-control question.</w:t>
      </w:r>
    </w:p>
    <w:p>
      <w:pPr>
        <w:keepNext/>
        <w:spacing w:before="280" w:after="80"/>
      </w:pPr>
      <w:r>
        <w:rPr>
          <w:rFonts w:ascii="Calibri" w:hAnsi="Calibri"/>
          <w:b/>
          <w:color w:val="2E75B6"/>
          <w:sz w:val="26"/>
        </w:rPr>
        <w:t>4.8 Verifying the Sequential Hand-Then-Leg Rehabilitation Rationale</w:t>
      </w:r>
    </w:p>
    <w:p>
      <w:pPr>
        <w:spacing w:before="0" w:after="120" w:line="276" w:lineRule="auto"/>
      </w:pPr>
      <w:r>
        <w:rPr>
          <w:rFonts w:ascii="Calibri" w:hAnsi="Calibri"/>
          <w:color w:val="333333"/>
          <w:sz w:val="22"/>
        </w:rPr>
        <w:t>The claim that clinical evidence supports sequential rehabilitation — training hand function first, then progressing to gait — is accurate and verifiable. The recoveriX system (g.tec medical engineering) is a real, commercially deployed motor-imagery BCI rehabilitation platform, and a 2024 study in Frontiers in Neuroscience reported that stroke patients who completed a 25-session upper-limb (arm/hand) BCI training block followed by a second 25-session lower-limb (leg/gait) block showed continued gains through the second block — improved walking speed, mobility, and ankle spasticity, with some patients showing further upper-limb improvement even during the leg-focused block. This is genuine, citable support for a hand-first, leg-second rehabilitation sequence.</w:t>
      </w:r>
    </w:p>
    <w:p>
      <w:pPr>
        <w:spacing w:before="0" w:after="120" w:line="276" w:lineRule="auto"/>
      </w:pPr>
      <w:r>
        <w:rPr>
          <w:rFonts w:ascii="Calibri" w:hAnsi="Calibri"/>
          <w:color w:val="333333"/>
          <w:sz w:val="22"/>
        </w:rPr>
        <w:t>The important caveat for this project is that recoveriX achieves its results using a 16-channel EEG cap covering sensorimotor cortex, combined with functional electrical stimulation (FES) and virtual-reality feedback. The Open-cEEGrid system in this project also has 16 channels, but channel count alone is not the relevant comparison: recoveriX's electrodes sit over the scalp's sensorimotor region, while Open-cEEGrid's electrodes sit around the ear. Matching channel counts should not be read as implying comparable motor-imagery decoding capability. The sequencing rationale (hand first, then leg) transfers to this project; the expectation of comparable accuracy or clinical effect from an around-the-ear electrode array does not, and the paper/patent language should keep those two claims separate.</w:t>
      </w:r>
    </w:p>
    <w:p>
      <w:pPr>
        <w:keepNext/>
        <w:spacing w:before="280" w:after="80"/>
      </w:pPr>
      <w:r>
        <w:rPr>
          <w:rFonts w:ascii="Calibri" w:hAnsi="Calibri"/>
          <w:b/>
          <w:color w:val="2E75B6"/>
          <w:sz w:val="26"/>
        </w:rPr>
        <w:t>4.9 Fact-Check Summary of Project Claims</w:t>
      </w:r>
    </w:p>
    <w:p>
      <w:pPr>
        <w:spacing w:before="0" w:after="120" w:line="276" w:lineRule="auto"/>
      </w:pPr>
      <w:r>
        <w:rPr>
          <w:rFonts w:ascii="Calibri" w:hAnsi="Calibri"/>
          <w:color w:val="333333"/>
          <w:sz w:val="22"/>
        </w:rPr>
        <w:t>The following table summarizes verification status for the specific technical claims made in the project description, to support transparent citation in the final paper or patent filing.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rPr>
          <w:tblHeader/>
        </w:trPr>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Claim</w:t>
            </w:r>
          </w:p>
        </w:tc>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Verification Status</w:t>
            </w:r>
          </w:p>
        </w:tc>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Correct Framing</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ESP32-P4 as embedded processor</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Verified — real chip, specs accurate</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Note it lacks native Wi-Fi/Bluetooth; budget a companion radio module if wireless telemetry is needed</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SwitchBraidNet as on-device classifier</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Verified to exist, but mismatched to this hardware</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Real architecture (2026), built for multi-channel hybrid MI+SSVEP; not applicable to an around-the-ear electrode array without added motor-cortex/occipital electrodes</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Gumbel-ResNet-KANs as on-device classifier</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Verified to exist, but mismatched to this hardware</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Real architecture (2025), built for multi-channel EEG+EMG motor-imagery/execution decoding on a load-bearing robot; not applicable as written</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OpenBCI Open-cEEGrid bundle cost: $3,299.99</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Verified against the OpenBCI Shop product listing</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Cite as the confirmed hardware cost for the 16-channel Cyton+Daisy + cEEGrid electrode bundle, not as an estimate</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16-channel open raw EEG access via OpenBCI GUI/BrainFlow</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Verified against OpenBCI product and documentation pages</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Cite as a genuine advantage over a proprietary, closed consumer score</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cEEGrid validated for tactile P300 detection</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Verified — published, peer-reviewed study</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63% average classification accuracy (above 25% chance level, below ~81% for a full EEG cap); cite as a realistic accuracy band for a P300-based trigger, not as a general BCI accuracy figure</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cEEGrid validated for jaw-clench detection, cognitive workload/flow, and sleep staging</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Verified — multiple published studies</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Cite these as the basis for realistic discrete-trigger paradigms; do not extend the claim to motor-imagery decoding</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Periauricular EOG validated for eye-tracking/blink detection</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Verified — 2025 study (King et al., Nature)</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Cite as direct, hardware-specific support for the blink-veto safety design</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Sub-30 ms latency</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Not independently verified for this system</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Treat as a design target to validate on the synthetic-model bench, not a cited/established fact</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Less than 0.4% accuracy loss from INT8 quantization</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Not independently verified for this system</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Treat as a design target; quantization-aware architectures in the literature report accuracy retention but not this exact figure for this hardware</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2-second Time to Stop (TTS) safety threshold</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Not found as an established standard</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Treat as a proposed design target to measure empirically; closest literature precedent is a 2-second MI classification epoch (a different quantity)</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Sequential hand-then-leg rehabilitation benefit</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Verified — supported by a 2024 clinical study</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Accurate for the general rehabilitation-sequencing concept; do not imply this project's around-the-ear headset will match recoveriX's 16-channel sensorimotor-cap clinical results</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~US$100 mechanical BOM (Arduino/ESP32 + open hardware)</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Verified — consistent with multiple open-hardware hand-exoskeleton designs</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Reasonable and citable for the mechanical/electronic subsystem, excluding the EEG headset</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“2026 patent landscape shows a shift toward modular platforms”</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Not independently verified</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Remove or replace with the specific patent example identified in Section 5, or omit until a formal search substantiates it</w:t>
            </w:r>
          </w:p>
        </w:tc>
      </w:tr>
    </w:tbl>
    <w:p>
      <w:pPr>
        <w:spacing w:after="120"/>
      </w:pPr>
    </w:p>
    <w:p>
      <w:pPr>
        <w:keepNext/>
        <w:spacing w:before="360" w:after="120"/>
      </w:pPr>
      <w:r>
        <w:rPr>
          <w:rFonts w:ascii="Calibri" w:hAnsi="Calibri"/>
          <w:b/>
          <w:color w:val="1F4E78"/>
          <w:sz w:val="32"/>
        </w:rPr>
        <w:t>5. Patent Landscape Analysis</w:t>
      </w:r>
    </w:p>
    <w:p>
      <w:pPr>
        <w:spacing w:before="0" w:after="120" w:line="276" w:lineRule="auto"/>
      </w:pPr>
      <w:r>
        <w:rPr>
          <w:rFonts w:ascii="Calibri" w:hAnsi="Calibri"/>
          <w:color w:val="333333"/>
          <w:sz w:val="22"/>
        </w:rPr>
        <w:t>A preliminary (non-exhaustive) prior-art scan indicates that the general concept of a biosignal-driven exoskeleton for hand/wrist motor rehabilitation is already represented in issued patent claims. One identified example describes an exoskeleton robot for hand-and-wrist motor rehabilitation in which a programmable microcontroller receives sensor readings (potentiometers, force sensors) and issues motor-driver commands, records training/movement data for clinician review, and reports patient progress — illustrating that microcontroller-mediated, sensor-driven hand-rehabilitation exoskeletons are an actively claimed space, even where the triggering biosignal is not EEG specifically.</w:t>
      </w:r>
    </w:p>
    <w:p>
      <w:pPr>
        <w:spacing w:before="0" w:after="120" w:line="276" w:lineRule="auto"/>
      </w:pPr>
      <w:r>
        <w:rPr>
          <w:rFonts w:ascii="Calibri" w:hAnsi="Calibri"/>
          <w:color w:val="333333"/>
          <w:sz w:val="22"/>
        </w:rPr>
        <w:t>Beyond this, the published research literature itself functions as prior art for many of the individual building blocks: attention-threshold EEG switches, P300-based event-related-potential triggers, motor-imagery CSP/SVM-triggered hand and leg exoskeletons, and CNN/transformer-based EEG decoders driving soft robotic gloves have all been published, several with open-source hardware designs. This significantly narrows the space for claims directed merely at “EEG signal to microcontroller to exoskeleton actuator” in the abstract. Using an around-the-ear, open-hardware research platform instead of a proprietary consumer headset does not by itself create novelty, since the underlying signal-to-actuator concept remains published; it does, however, allow any claimed contribution to be described and defended with real, inspectable signal data rather than a vendor black box.</w:t>
      </w:r>
    </w:p>
    <w:p>
      <w:pPr>
        <w:keepNext/>
        <w:spacing w:before="280" w:after="80"/>
      </w:pPr>
      <w:r>
        <w:rPr>
          <w:rFonts w:ascii="Calibri" w:hAnsi="Calibri"/>
          <w:b/>
          <w:color w:val="2E75B6"/>
          <w:sz w:val="26"/>
        </w:rPr>
        <w:t>5.1 Where Residual Novelty Is Most Plausible</w:t>
      </w:r>
    </w:p>
    <w:p>
      <w:pPr>
        <w:pStyle w:val="ListParagraph"/>
        <w:spacing w:before="0" w:after="60" w:line="276" w:lineRule="auto"/>
      </w:pPr>
      <w:r>
        <w:rPr>
          <w:rFonts w:ascii="Calibri" w:hAnsi="Calibri"/>
          <w:color w:val="333333"/>
          <w:sz w:val="22"/>
        </w:rPr>
        <w:t>A single shared EEG-acquisition-and-decoding pipeline with a field-swappable actuator module (hand glove vs. leg exoskeleton) selected by the same headset and firmware, rather than two independently engineered systems — this dual-mode, common-pipeline architecture does not appear prominently addressed in the reviewed literature or the identified patent.</w:t>
      </w:r>
    </w:p>
    <w:p>
      <w:pPr>
        <w:pStyle w:val="ListParagraph"/>
        <w:spacing w:before="0" w:after="60" w:line="276" w:lineRule="auto"/>
      </w:pPr>
      <w:r>
        <w:rPr>
          <w:rFonts w:ascii="Calibri" w:hAnsi="Calibri"/>
          <w:color w:val="333333"/>
          <w:sz w:val="22"/>
        </w:rPr>
        <w:t>An embedded, on-microcontroller implementation of a lightweight P300/jaw-clench/workload-threshold classifier (LDA, SWLDA, or threshold logic — see Section 4.5.2) specifically tuned and validated for the dual hand/leg command set on an around-the-ear electrode array, rather than the heavier CSP/SVM or deep-learning (EEGNet-class) pipelines that assume motor-cortex coverage this class of headset does not provide.</w:t>
      </w:r>
    </w:p>
    <w:p>
      <w:pPr>
        <w:pStyle w:val="ListParagraph"/>
        <w:spacing w:before="0" w:after="60" w:line="276" w:lineRule="auto"/>
      </w:pPr>
      <w:r>
        <w:rPr>
          <w:rFonts w:ascii="Calibri" w:hAnsi="Calibri"/>
          <w:color w:val="333333"/>
          <w:sz w:val="22"/>
        </w:rPr>
        <w:t>A specific, claimed safety-interlock fusion rule (e.g., a defined periauricular-EOG veto logic combined with joint-limit and gait-phase sensing) tailored jointly to both actuator types, packaged as a single patentable control method rather than a general concept.</w:t>
      </w:r>
    </w:p>
    <w:p>
      <w:pPr>
        <w:pStyle w:val="ListParagraph"/>
        <w:spacing w:before="0" w:after="60" w:line="276" w:lineRule="auto"/>
      </w:pPr>
      <w:r>
        <w:rPr>
          <w:rFonts w:ascii="Calibri" w:hAnsi="Calibri"/>
          <w:color w:val="333333"/>
          <w:sz w:val="22"/>
        </w:rPr>
        <w:t>Any novel mechanical coupling, quick-release, or calibration method that lets one headset/controller unit be re-purposed between the two modules — this is more likely to be a defensible utility or design-patent claim than the underlying BCI decoding concept, which is heavily published.</w:t>
      </w:r>
    </w:p>
    <w:p>
      <w:pPr>
        <w:spacing w:before="0" w:after="120" w:line="276" w:lineRule="auto"/>
      </w:pPr>
      <w:r>
        <w:rPr>
          <w:rFonts w:ascii="Calibri" w:hAnsi="Calibri"/>
          <w:color w:val="333333"/>
          <w:sz w:val="22"/>
        </w:rPr>
        <w:t>A formal freedom-to-operate (FTO) search using a patent database (e.g., USPTO Patent Public Search, Espacenet, Google Patents) with classification codes such as A61H 1/00 (physical therapy apparatus), A61F 2/54 / A61F 4/00 (prosthetics/exoskeletons), and A61B 5/24 (EEG) is recommended before filing; this report's patent scan is illustrative, not a substitute for that formal search.</w:t>
      </w:r>
    </w:p>
    <w:p>
      <w:pPr>
        <w:keepNext/>
        <w:spacing w:before="360" w:after="120"/>
      </w:pPr>
      <w:r>
        <w:rPr>
          <w:rFonts w:ascii="Calibri" w:hAnsi="Calibri"/>
          <w:b/>
          <w:color w:val="1F4E78"/>
          <w:sz w:val="32"/>
        </w:rPr>
        <w:t>6. Research Gap Synthesis</w:t>
      </w:r>
    </w:p>
    <w:p>
      <w:pPr>
        <w:pStyle w:val="ListParagraph"/>
        <w:spacing w:before="0" w:after="60" w:line="276" w:lineRule="auto"/>
      </w:pPr>
      <w:r>
        <w:rPr>
          <w:rFonts w:ascii="Calibri" w:hAnsi="Calibri"/>
          <w:color w:val="333333"/>
          <w:sz w:val="22"/>
        </w:rPr>
        <w:t>Cross-limb, single-pipeline architectures: almost all reviewed systems are hand-only or leg-only; very few papers address a unified acquisition/decoding pipeline serving both limbs.</w:t>
      </w:r>
    </w:p>
    <w:p>
      <w:pPr>
        <w:pStyle w:val="ListParagraph"/>
        <w:spacing w:before="0" w:after="60" w:line="276" w:lineRule="auto"/>
      </w:pPr>
      <w:r>
        <w:rPr>
          <w:rFonts w:ascii="Calibri" w:hAnsi="Calibri"/>
          <w:color w:val="333333"/>
          <w:sz w:val="22"/>
        </w:rPr>
        <w:t>Around-the-ear EEG applied to exoskeleton control: the published cEEGrid literature to date addresses sleep, cognitive workload/flow, jaw-clench detection, and P300 paradigms, but not exoskeleton or rehabilitation-robot triggering specifically — this project would be an early application of a validated acquisition platform to a control task not yet reported in that literature.</w:t>
      </w:r>
    </w:p>
    <w:p>
      <w:pPr>
        <w:pStyle w:val="ListParagraph"/>
        <w:spacing w:before="0" w:after="60" w:line="276" w:lineRule="auto"/>
      </w:pPr>
      <w:r>
        <w:rPr>
          <w:rFonts w:ascii="Calibri" w:hAnsi="Calibri"/>
          <w:color w:val="333333"/>
          <w:sz w:val="22"/>
        </w:rPr>
        <w:t>Real-world, cross-session accuracy: most high-accuracy (&gt;90%) motor-imagery results are reported on offline benchmark datasets (e.g., BCI IV-2a) rather than in real-time, cross-session, home/clinic conditions, where accuracy typically drops; cEEGrid P300 accuracy (63% average in the located study) is itself a real-world, below-full-cap figure that should be planned around rather than assumed away.</w:t>
      </w:r>
    </w:p>
    <w:p>
      <w:pPr>
        <w:pStyle w:val="ListParagraph"/>
        <w:spacing w:before="0" w:after="60" w:line="276" w:lineRule="auto"/>
      </w:pPr>
      <w:r>
        <w:rPr>
          <w:rFonts w:ascii="Calibri" w:hAnsi="Calibri"/>
          <w:color w:val="333333"/>
          <w:sz w:val="22"/>
        </w:rPr>
        <w:t>On-device deep learning: few studies deploy compact CNN/EEGNet-class models directly on a low-power microcontroller; most either use classical CSP/SVM on-MCU or offload deep models to a separate SBC/GPU, which increases cost, power draw, and system complexity for a wearable product.</w:t>
      </w:r>
    </w:p>
    <w:p>
      <w:pPr>
        <w:pStyle w:val="ListParagraph"/>
        <w:spacing w:before="0" w:after="60" w:line="276" w:lineRule="auto"/>
      </w:pPr>
      <w:r>
        <w:rPr>
          <w:rFonts w:ascii="Calibri" w:hAnsi="Calibri"/>
          <w:color w:val="333333"/>
          <w:sz w:val="22"/>
        </w:rPr>
        <w:t>Standardized safety-interlock design: EOG/EMG fusion for safety is common conceptually but is implemented ad hoc per study; there is no widely adopted standard for how much a secondary signal should gate a primary EEG decision in a rehabilitation-grade device.</w:t>
      </w:r>
    </w:p>
    <w:p>
      <w:pPr>
        <w:pStyle w:val="ListParagraph"/>
        <w:spacing w:before="0" w:after="60" w:line="276" w:lineRule="auto"/>
      </w:pPr>
      <w:r>
        <w:rPr>
          <w:rFonts w:ascii="Calibri" w:hAnsi="Calibri"/>
          <w:color w:val="333333"/>
          <w:sz w:val="22"/>
        </w:rPr>
        <w:t>Clinical evidence at scale: most upper-limb studies involve single-digit to low-double-digit subject counts (healthy volunteers or small stroke cohorts); large randomized controlled trials specifically for EEG-triggered (as opposed to EMG-triggered) exoskeletons remain limited, particularly for the lower-limb branch.</w:t>
      </w:r>
    </w:p>
    <w:p>
      <w:pPr>
        <w:keepNext/>
        <w:spacing w:before="360" w:after="120"/>
      </w:pPr>
      <w:r>
        <w:rPr>
          <w:rFonts w:ascii="Calibri" w:hAnsi="Calibri"/>
          <w:b/>
          <w:color w:val="1F4E78"/>
          <w:sz w:val="32"/>
        </w:rPr>
        <w:t>7. Feasibility Analysis</w:t>
      </w:r>
    </w:p>
    <w:p>
      <w:pPr>
        <w:keepNext/>
        <w:spacing w:before="280" w:after="80"/>
      </w:pPr>
      <w:r>
        <w:rPr>
          <w:rFonts w:ascii="Calibri" w:hAnsi="Calibri"/>
          <w:b/>
          <w:color w:val="2E75B6"/>
          <w:sz w:val="26"/>
        </w:rPr>
        <w:t>7.1 Technical Feasibility</w:t>
      </w:r>
    </w:p>
    <w:p>
      <w:pPr>
        <w:spacing w:before="0" w:after="120" w:line="276" w:lineRule="auto"/>
      </w:pPr>
      <w:r>
        <w:rPr>
          <w:rFonts w:ascii="Calibri" w:hAnsi="Calibri"/>
          <w:color w:val="333333"/>
          <w:sz w:val="22"/>
        </w:rPr>
        <w:t>With the OpenBCI Open-cEEGrid system specifically, technical feasibility is high for a discrete-trigger system built on P300, jaw-clench, or workload-threshold detection, and low for a fine motor-imagery system. Each pipeline stage still has independent precedent: around-the-ear EEG acquisition, LDA/threshold-based classification of P300 or workload signals, and microcontroller-driven servo/motor actuation have all been separately demonstrated. The principal open technical question shifts from “can the classifier decode fine movement intention” to “can a P300, jaw-clench, or workload-based discrete trigger be made reliable, low-latency, and low-false-trigger enough to usefully drive a synthetic hand or leg model.” Discrete-state actuation (open/close hand model; step/stop leg model) is well within reach; continuous, proportional, or multi-class control (graded finger force, continuously modulated joint torque, distinguishing several imagined movements) is not realistic with an around-the-ear electrode array and should not be part of the initial scope or claims.</w:t>
      </w:r>
    </w:p>
    <w:p>
      <w:pPr>
        <w:spacing w:before="0" w:after="120" w:line="276" w:lineRule="auto"/>
      </w:pPr>
      <w:r>
        <w:rPr>
          <w:rFonts w:ascii="Calibri" w:hAnsi="Calibri"/>
          <w:color w:val="333333"/>
          <w:sz w:val="22"/>
        </w:rPr>
        <w:t>If the project later needs finer control, the two realistic upgrade paths are: (a) add a small number of scalp electrodes at motor-cortex sites (C3/Cz/C4), which the same 16-channel Cyton+Daisy board can accommodate by reducing the number of cEEGrid channels used, to enable true ERD/ERS motor-imagery decoding, or (b) keep the around-the-ear montage as-is and rely on the validated P300/jaw-clench/workload triggers, adding periauricular EOG as a second modality to make the discrete trigger more reliable, mirroring the hybrid safety approach already common in the literature (Section 4.6).</w:t>
      </w:r>
    </w:p>
    <w:p>
      <w:pPr>
        <w:keepNext/>
        <w:spacing w:before="280" w:after="80"/>
      </w:pPr>
      <w:r>
        <w:rPr>
          <w:rFonts w:ascii="Calibri" w:hAnsi="Calibri"/>
          <w:b/>
          <w:color w:val="2E75B6"/>
          <w:sz w:val="26"/>
        </w:rPr>
        <w:t>7.2 Comparative Feasibility: Hand Module vs. Leg Module</w:t>
      </w:r>
    </w:p>
    <w:p>
      <w:pPr>
        <w:spacing w:before="0" w:after="120" w:line="276" w:lineRule="auto"/>
      </w:pPr>
      <w:r>
        <w:rPr>
          <w:rFonts w:ascii="Calibri" w:hAnsi="Calibri"/>
          <w:color w:val="333333"/>
          <w:sz w:val="22"/>
        </w:rPr>
        <w:t>The “Safety risk” and “Regulatory pathway” rows below describe the inherent risk profile of each modality if and when it is eventually worn by a person; they are not the project's current risk level. The “Impact of synthetic model” row at the bottom of the table describes the current bench-testing stage, where that risk is effectively removed (see Section 7.4 for the full distinction).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rPr>
          <w:tblHeader/>
        </w:trPr>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Dimension</w:t>
            </w:r>
          </w:p>
        </w:tc>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Hand Module</w:t>
            </w:r>
          </w:p>
        </w:tc>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Leg Module</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Signal maturity</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High — multiple validated MI/attention/hybrid pipelines in the general literature</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Moderate — fewer systems; mostly discrete-state gait commands</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Safety risk if misclassified</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Low–moderate (finger over-extension, discomfort)</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High (fall risk during stand/gait transitions)</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Mechanical complexity</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Lower (single/multi-DOF finger linkages, well-documented 3D-printed designs)</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Higher (multi-joint, load-bearing, gait-phase-dependent actuation)</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Real-time latency tolerance</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Moderate — discrete triggers acceptable</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Strict — must integrate with gait cycle timing</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Regulatory pathway complexity</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Lower risk class typically (assistive/therapy hand device)</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Higher risk class typically (weight-bearing mobility device)</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Prior art density</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High (many published + at least one issued patent found)</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Moderate (fewer systems, less patent crowding observed)</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Recommended development order</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Phase 1 (lead module, lower risk, faster to prototype)</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Phase 2 (builds on validated pipeline, added safety layer)</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Impact of Open-cEEGrid montage</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P300/jaw-clench discrete trigger sufficient for open/close command</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P300/jaw-clench discrete trigger sufficient for step/stop command; timing must still respect a defined gait cycle even on a synthetic model</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Impact of synthetic model</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Removes tissue-injury risk entirely; enables unlimited repeat testing</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Removes fall risk entirely; enables joint-limit and load testing without a human operator's safety exposure</w:t>
            </w:r>
          </w:p>
        </w:tc>
      </w:tr>
    </w:tbl>
    <w:p>
      <w:pPr>
        <w:spacing w:after="120"/>
      </w:pPr>
    </w:p>
    <w:p>
      <w:pPr>
        <w:keepNext/>
        <w:spacing w:before="280" w:after="80"/>
      </w:pPr>
      <w:r>
        <w:rPr>
          <w:rFonts w:ascii="Calibri" w:hAnsi="Calibri"/>
          <w:b/>
          <w:color w:val="2E75B6"/>
          <w:sz w:val="26"/>
        </w:rPr>
        <w:t>7.3 Cost and Hardware Feasibility</w:t>
      </w:r>
    </w:p>
    <w:p>
      <w:pPr>
        <w:spacing w:before="0" w:after="120" w:line="276" w:lineRule="auto"/>
      </w:pPr>
      <w:r>
        <w:rPr>
          <w:rFonts w:ascii="Calibri" w:hAnsi="Calibri"/>
          <w:color w:val="333333"/>
          <w:sz w:val="22"/>
        </w:rPr>
        <w:t>Open-hardware precedents support a low-cost bill of materials for the actuator side: several published designs report 3D-printed, ESP32- or Arduino-class-microcontroller-driven hand exoskeletons at roughly US$100 or less per unit for the mechanical/electronic subsystem, excluding the EEG headset itself. This estimate is unaffected by the headset choice.</w:t>
      </w:r>
    </w:p>
    <w:p>
      <w:pPr>
        <w:spacing w:before="0" w:after="120" w:line="276" w:lineRule="auto"/>
      </w:pPr>
      <w:r>
        <w:rPr>
          <w:rFonts w:ascii="Calibri" w:hAnsi="Calibri"/>
          <w:color w:val="333333"/>
          <w:sz w:val="22"/>
        </w:rPr>
        <w:t>On the acquisition side, the specific hardware named for this project — the OpenBCI Open-cEEGrid Around-the-Ear EEG Bundle — is confirmed to cost $3,299.99 for the full kit (Cyton+Daisy 16-channel board, cEEGrid electrode arrays, headband/cap mounting, gel, and accessories). This is a substantial change from a low-cost consumer-headset assumption (tens to low hundreds of US dollars). It places the acquisition hardware in the lower-to-middle portion of the price range typically associated with 8–32-channel research-grade EEG systems (roughly US$300–$3,000+), while providing 16 real channels and fully open raw-data access, which a low-cost consumer headset generally does not provide at any price point. In practical terms, the EEG headset now dominates the overall prototype budget rather than the mechanical/actuator subsystem, and this should be reflected explicitly in any funding request or cost estimate for the project. A minimum viable prototype (single-limb, discrete-state control, lightweight classifier) remains plausible within a modest research budget once the $3,299.99 acquisition cost is accounted for; a dual-limb, unified testbed adds primarily the cost of a second synthetic actuator model and development time, not a second EEG headset, since the same Open-cEEGrid unit can drive either module.</w:t>
      </w:r>
    </w:p>
    <w:p>
      <w:pPr>
        <w:keepNext/>
        <w:spacing w:before="280" w:after="80"/>
      </w:pPr>
      <w:r>
        <w:rPr>
          <w:rFonts w:ascii="Calibri" w:hAnsi="Calibri"/>
          <w:b/>
          <w:color w:val="2E75B6"/>
          <w:sz w:val="26"/>
        </w:rPr>
        <w:t>7.4 Clinical and Regulatory Feasibility</w:t>
      </w:r>
    </w:p>
    <w:p>
      <w:pPr>
        <w:spacing w:before="0" w:after="120" w:line="276" w:lineRule="auto"/>
      </w:pPr>
      <w:r>
        <w:rPr>
          <w:rFonts w:ascii="Calibri" w:hAnsi="Calibri"/>
          <w:color w:val="333333"/>
          <w:sz w:val="22"/>
        </w:rPr>
        <w:t>At the current (synthetic-model) stage, clinical and regulatory burden is minimal: neither module actuates on a human limb, so this phase falls under general engineering/bench research rather than a regulated medical device pathway, and even the human-subjects consideration is limited to whoever wears the Open-cEEGrid headset for data collection — a non-invasive, research-grade wearable EEG system — rather than to a person relying on the exoskeleton for movement or weight-bearing. Published cEEGrid studies additionally report several hours of continuous, real-world wear outside a laboratory with no substantial decline in recording quality, supporting a minimal-risk framing for volunteer data collection. This significantly de-risks the near-term project and is realistic to complete within an academic timeline without IRB/ethics review beyond whatever minimal-risk protocol governs EEG headset use on volunteers.</w:t>
      </w:r>
    </w:p>
    <w:p>
      <w:pPr>
        <w:spacing w:before="0" w:after="120" w:line="276" w:lineRule="auto"/>
      </w:pPr>
      <w:r>
        <w:rPr>
          <w:rFonts w:ascii="Calibri" w:hAnsi="Calibri"/>
          <w:color w:val="333333"/>
          <w:sz w:val="22"/>
        </w:rPr>
        <w:t>The regulatory picture changes materially the moment either module moves from a synthetic model to a human-worn device: at that point both would likely be classified as powered rehabilitation/exercise devices under most frameworks (e.g., FDA product codes for powered exercise/rehabilitation devices, or equivalent EU MDR classification), with the leg/gait module scrutinized as a higher-risk mobility-assistive device given fall risk. The synthetic-model stage should therefore be explicitly framed — in both the paper and any patent filing — as a pre-clinical feasibility/testbed stage, with human-worn clinical validation identified as necessary future work rather than implied as already addressed.</w:t>
      </w:r>
    </w:p>
    <w:p>
      <w:pPr>
        <w:keepNext/>
        <w:spacing w:before="280" w:after="80"/>
      </w:pPr>
      <w:r>
        <w:rPr>
          <w:rFonts w:ascii="Calibri" w:hAnsi="Calibri"/>
          <w:b/>
          <w:color w:val="2E75B6"/>
          <w:sz w:val="26"/>
        </w:rPr>
        <w:t>7.5 Risk Register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rPr>
          <w:tblHeader/>
        </w:trPr>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Risk</w:t>
            </w:r>
          </w:p>
        </w:tc>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Likelihood / Impact</w:t>
            </w:r>
          </w:p>
        </w:tc>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Mitigation</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Citing deep-learning architectures (SwitchBraidNet, Gumbel-ResNet-KANs) that don't match an around-the-ear signal</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High likelihood / High impact (credibility)</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Replace with a lightweight, precedented classifier (LDA/SWLDA for P300, or threshold/logistic regression for jaw-clench and workload triggers), per Section 4.5.2; cite the deep models only as a future-upgrade path</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Unsourced performance figures (latency, quantization loss, TTS) treated as facts by reviewers/examiners</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High likelihood / Moderate impact (credibility)</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Explicitly label these as design targets pending bench measurement, not established results, per Section 4.6.1</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Around-the-ear montage cannot support true motor-imagery (ERD/ERS) decoding</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High likelihood / High impact</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Scope the project to P300/jaw-clench/workload-threshold triggering from the outset; do not claim motor-imagery decoding without added motor-cortex channels</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EEG hardware cost ($3,299.99) exceeds a low-cost consumer-headset budget assumption</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High likelihood / Moderate impact (budget)</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Budget explicitly for a research-grade acquisition system rather than an incidental accessory; note that only one unit is needed to drive both actuator modules</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P300/jaw-clench/workload triggers produce false positives/negatives in unattended use</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High likelihood / Moderate impact</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Add a simple secondary confirmation (periauricular EOG blink-veto, manual switch, or timed confirmation window); report false-trigger rate explicitly</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Synthetic model behavior does not transfer to a real hand/leg or patient</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High likelihood / Moderate impact</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Explicitly scope paper/patent claims to the testbed stage; identify human-worn validation as future work, not an accomplished result</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Prior art blocks broad patent claims on “EEG-to-exoskeleton” concept</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High likelihood / Moderate impact</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Narrow claims to the specific dual-module shared pipeline using an around-the-ear EEG platform, the embedded classifier implementation, and the synthetic-to-real transition mechanism</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Reviewers/examiners perceive the project as overclaiming clinical relevance</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Moderate likelihood / Moderate impact</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Consistently label the system as a feasibility/testbed demonstrator in all claims, figures, and abstracts</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On-microcontroller classifier latency or reliability issues</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Low–moderate likelihood / Moderate impact</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Keep the classifier lightweight (LDA/threshold) given the realistic accuracy band for P300/jaw-clench signals; benchmark latency early, including the 16-channel data-transfer path</w:t>
            </w:r>
          </w:p>
        </w:tc>
      </w:tr>
    </w:tbl>
    <w:p>
      <w:pPr>
        <w:spacing w:after="120"/>
      </w:pPr>
    </w:p>
    <w:p>
      <w:pPr>
        <w:keepNext/>
        <w:spacing w:before="360" w:after="120"/>
      </w:pPr>
      <w:r>
        <w:rPr>
          <w:rFonts w:ascii="Calibri" w:hAnsi="Calibri"/>
          <w:b/>
          <w:color w:val="1F4E78"/>
          <w:sz w:val="32"/>
        </w:rPr>
        <w:t>8. Novelty Positioning: Research Paper vs. Patent Strategy</w:t>
      </w:r>
    </w:p>
    <w:p>
      <w:pPr>
        <w:keepNext/>
        <w:spacing w:before="280" w:after="80"/>
      </w:pPr>
      <w:r>
        <w:rPr>
          <w:rFonts w:ascii="Calibri" w:hAnsi="Calibri"/>
          <w:b/>
          <w:color w:val="2E75B6"/>
          <w:sz w:val="26"/>
        </w:rPr>
        <w:t>8.1 For a Research Paper</w:t>
      </w:r>
    </w:p>
    <w:p>
      <w:pPr>
        <w:spacing w:before="0" w:after="120" w:line="276" w:lineRule="auto"/>
      </w:pPr>
      <w:r>
        <w:rPr>
          <w:rFonts w:ascii="Calibri" w:hAnsi="Calibri"/>
          <w:color w:val="333333"/>
          <w:sz w:val="22"/>
        </w:rPr>
        <w:t>Given the OpenBCI Open-cEEGrid + synthetic-model configuration, the strongest, most honest contribution is a feasibility/system paper: a single research-grade around-the-ear EEG platform, with full open raw-data access, driving a shared microcontroller pipeline that actuates either a synthetic hand model or a synthetic leg model, with a same-subject, same-headset comparison of trigger accuracy, false-trigger rate, and latency across both actuator types using P300, jaw-clench, or workload-threshold triggers — a comparison largely absent from the literature, which treats hand and leg branches separately and has not applied cEEGrid-class hardware to exoskeleton triggering at all. A secondary contribution is a transparent benchmark of what an around-the-ear electrode array can and cannot support relative to research-grade motor-imagery systems, which is a useful data point for other groups considering ear-EEG hardware for similar projects.</w:t>
      </w:r>
    </w:p>
    <w:p>
      <w:pPr>
        <w:keepNext/>
        <w:spacing w:before="280" w:after="80"/>
      </w:pPr>
      <w:r>
        <w:rPr>
          <w:rFonts w:ascii="Calibri" w:hAnsi="Calibri"/>
          <w:b/>
          <w:color w:val="2E75B6"/>
          <w:sz w:val="26"/>
        </w:rPr>
        <w:t>8.2 For a Patent</w:t>
      </w:r>
    </w:p>
    <w:p>
      <w:pPr>
        <w:spacing w:before="0" w:after="120" w:line="276" w:lineRule="auto"/>
      </w:pPr>
      <w:r>
        <w:rPr>
          <w:rFonts w:ascii="Calibri" w:hAnsi="Calibri"/>
          <w:color w:val="333333"/>
          <w:sz w:val="22"/>
        </w:rPr>
        <w:t>Prior art density remains high around the general “EEG-to-microcontroller-to-exoskeleton” concept (Section 5), so claims should be narrowed further given the acquisition-hardware/synthetic-model configuration, around: (a) the specific shared hardware/firmware architecture enabling one around-the-ear EEG acquisition and controller unit to drive either a synthetic hand or synthetic leg actuator module via a defined interchange/calibration mechanism; (b) a specific trigger-confirmation method that makes a single-modality P300, jaw-clench, or workload-threshold signal reliable enough for repeatable actuation (e.g., a defined dwell-time-plus-threshold algorithm), claimed as a method; and (c) any specific mechanical or electrical interface enabling the swap between synthetic hand and leg targets. Claims should explicitly avoid asserting clinical rehabilitation efficacy or human-worn performance, since none has been demonstrated at this stage; claims should also avoid naming specific third-party deep-learning architectures (e.g., SwitchBraidNet, Gumbel-ResNet-KANs) as the implemented classifier unless the electrode montage is actually upgraded to add motor-cortex or occipital channels, since as currently scoped the system uses a lightweight LDA/threshold-class classifier instead (Section 4.5.2). A qualified patent attorney should conduct a formal FTO/novelty search before filing, and any claim language should be reviewed to ensure it does not overstate the system's current (bench-only) validation status.</w:t>
      </w:r>
    </w:p>
    <w:p>
      <w:pPr>
        <w:keepNext/>
        <w:spacing w:before="360" w:after="120"/>
      </w:pPr>
      <w:r>
        <w:rPr>
          <w:rFonts w:ascii="Calibri" w:hAnsi="Calibri"/>
          <w:b/>
          <w:color w:val="1F4E78"/>
          <w:sz w:val="32"/>
        </w:rPr>
        <w:t>9. Recommended Development Roadmap</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rPr>
          <w:tblHeader/>
        </w:trPr>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Phase</w:t>
            </w:r>
          </w:p>
        </w:tc>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Milestone</w:t>
            </w:r>
          </w:p>
        </w:tc>
        <w:tc>
          <w:tcPr>
            <w:tcW w:type="dxa" w:w="3120"/>
            <w:tcMar>
              <w:top w:w="120" w:type="dxa"/>
              <w:bottom w:w="120" w:type="dxa"/>
              <w:left w:w="150" w:type="dxa"/>
              <w:right w:w="150" w:type="dxa"/>
            </w:tcMar>
            <w:shd w:fill="1F4E78"/>
          </w:tcPr>
          <w:p>
            <w:pPr>
              <w:spacing w:before="60" w:after="60" w:line="276" w:lineRule="auto"/>
            </w:pPr>
            <w:r>
              <w:rPr>
                <w:rFonts w:ascii="Calibri" w:hAnsi="Calibri"/>
                <w:b/>
                <w:color w:val="FFFFFF"/>
                <w:sz w:val="19"/>
              </w:rPr>
              <w:t>Key Activities</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Phase 0 (0–1 mo)</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Prior-art scan + Open-cEEGrid characterization</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Bench-characterize the purchased OpenBCI Open-cEEGrid unit (electrode impedance, signal quality, P300/jaw-clench detection reliability); confirm the OpenBCI GUI/BrainFlow data pipeline; run a formal FTO search; finalize paper vs. patent scope</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Phase 1 (1–3 mo)</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Synthetic hand-model MVP</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cEEGrid P300 or jaw-clench signal → LDA/threshold classifier → Arduino/ESP32 → servo-driven synthetic hand model; bench testing of trigger accuracy and latency</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Phase 2 (3–5 mo)</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Trigger reliability hardening</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Add dwell-time/confirmation logic or a periauricular-EOG blink-veto to reduce false triggers; quantify false-positive/negative rates</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Phase 3 (5–7 mo)</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Synthetic leg-model prototype</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Same headset/classifier pipeline driving a synthetic leg/gait model with discrete step/stop commands; mechanical joint-limit stops</w:t>
            </w:r>
          </w:p>
        </w:tc>
      </w:tr>
      <w:tr>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Phase 4 (7–9 mo)</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Unified dual-mode testbed</w:t>
            </w:r>
          </w:p>
        </w:tc>
        <w:tc>
          <w:tcPr>
            <w:tcW w:type="dxa" w:w="3120"/>
            <w:tcMar>
              <w:top w:w="120" w:type="dxa"/>
              <w:bottom w:w="120" w:type="dxa"/>
              <w:left w:w="150" w:type="dxa"/>
              <w:right w:w="150" w:type="dxa"/>
            </w:tcMar>
            <w:shd w:fill="F9FBFD"/>
          </w:tcPr>
          <w:p>
            <w:pPr>
              <w:spacing w:before="60" w:after="60" w:line="276" w:lineRule="auto"/>
            </w:pPr>
            <w:r>
              <w:rPr>
                <w:rFonts w:ascii="Calibri" w:hAnsi="Calibri"/>
                <w:color w:val="333333"/>
                <w:sz w:val="19"/>
              </w:rPr>
              <w:t>Shared Open-cEEGrid/controller unit with swappable synthetic hand/leg actuator module; comparative accuracy/latency study across both targets</w:t>
            </w:r>
          </w:p>
        </w:tc>
      </w:tr>
      <w:tr>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Phase 5 (9–12 mo)</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Publication / filing, and future-work scoping</w:t>
            </w:r>
          </w:p>
        </w:tc>
        <w:tc>
          <w:tcPr>
            <w:tcW w:type="dxa" w:w="3120"/>
            <w:tcMar>
              <w:top w:w="120" w:type="dxa"/>
              <w:bottom w:w="120" w:type="dxa"/>
              <w:left w:w="150" w:type="dxa"/>
              <w:right w:w="150" w:type="dxa"/>
            </w:tcMar>
            <w:shd w:fill="FFFFFF"/>
          </w:tcPr>
          <w:p>
            <w:pPr>
              <w:spacing w:before="60" w:after="60" w:line="276" w:lineRule="auto"/>
            </w:pPr>
            <w:r>
              <w:rPr>
                <w:rFonts w:ascii="Calibri" w:hAnsi="Calibri"/>
                <w:color w:val="333333"/>
                <w:sz w:val="19"/>
              </w:rPr>
              <w:t>Manuscript submission framed as a feasibility/testbed study; provisional patent filing on narrowed claims; explicitly scope human-worn clinical validation as future work requiring added motor-cortex electrodes and IRB approval</w:t>
            </w:r>
          </w:p>
        </w:tc>
      </w:tr>
    </w:tbl>
    <w:p>
      <w:pPr>
        <w:spacing w:after="120"/>
      </w:pPr>
    </w:p>
    <w:p>
      <w:pPr>
        <w:keepNext/>
        <w:spacing w:before="280" w:after="80"/>
      </w:pPr>
      <w:r>
        <w:rPr>
          <w:rFonts w:ascii="Calibri" w:hAnsi="Calibri"/>
          <w:b/>
          <w:color w:val="2E75B6"/>
          <w:sz w:val="26"/>
        </w:rPr>
        <w:t>7.6 Measurable Performance Targets &amp; Verification Matrix</w:t>
      </w:r>
    </w:p>
    <w:p>
      <w:pPr>
        <w:spacing w:before="0" w:after="120" w:line="276" w:lineRule="auto"/>
      </w:pPr>
      <w:r>
        <w:rPr>
          <w:rFonts w:ascii="Calibri" w:hAnsi="Calibri"/>
          <w:color w:val="333333"/>
          <w:sz w:val="22"/>
        </w:rPr>
        <w:t>To ensure rigorous empirical evaluation of the benchtop testbed during Phase 1 and Phase 2 development, the target quantitative metrics and verification benchmarks are defined in Table 5B below:</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trPr>
        <w:tc>
          <w:tcPr>
            <w:tcW w:type="dxa" w:w="2340"/>
            <w:tcMar>
              <w:top w:w="120" w:type="dxa"/>
              <w:bottom w:w="120" w:type="dxa"/>
              <w:left w:w="150" w:type="dxa"/>
              <w:right w:w="150" w:type="dxa"/>
            </w:tcMar>
            <w:shd w:fill="1F4E78"/>
          </w:tcPr>
          <w:p>
            <w:pPr>
              <w:spacing w:before="60" w:after="60" w:line="276" w:lineRule="auto"/>
            </w:pPr>
            <w:r>
              <w:rPr>
                <w:rFonts w:ascii="Calibri" w:hAnsi="Calibri"/>
                <w:b/>
                <w:color w:val="FFFFFF"/>
                <w:sz w:val="19"/>
              </w:rPr>
              <w:t>Performance Metric</w:t>
            </w:r>
          </w:p>
        </w:tc>
        <w:tc>
          <w:tcPr>
            <w:tcW w:type="dxa" w:w="2340"/>
            <w:tcMar>
              <w:top w:w="120" w:type="dxa"/>
              <w:bottom w:w="120" w:type="dxa"/>
              <w:left w:w="150" w:type="dxa"/>
              <w:right w:w="150" w:type="dxa"/>
            </w:tcMar>
            <w:shd w:fill="1F4E78"/>
          </w:tcPr>
          <w:p>
            <w:pPr>
              <w:spacing w:before="60" w:after="60" w:line="276" w:lineRule="auto"/>
            </w:pPr>
            <w:r>
              <w:rPr>
                <w:rFonts w:ascii="Calibri" w:hAnsi="Calibri"/>
                <w:b/>
                <w:color w:val="FFFFFF"/>
                <w:sz w:val="19"/>
              </w:rPr>
              <w:t>Quantitative Target</w:t>
            </w:r>
          </w:p>
        </w:tc>
        <w:tc>
          <w:tcPr>
            <w:tcW w:type="dxa" w:w="2340"/>
            <w:tcMar>
              <w:top w:w="120" w:type="dxa"/>
              <w:bottom w:w="120" w:type="dxa"/>
              <w:left w:w="150" w:type="dxa"/>
              <w:right w:w="150" w:type="dxa"/>
            </w:tcMar>
            <w:shd w:fill="1F4E78"/>
          </w:tcPr>
          <w:p>
            <w:pPr>
              <w:spacing w:before="60" w:after="60" w:line="276" w:lineRule="auto"/>
            </w:pPr>
            <w:r>
              <w:rPr>
                <w:rFonts w:ascii="Calibri" w:hAnsi="Calibri"/>
                <w:b/>
                <w:color w:val="FFFFFF"/>
                <w:sz w:val="19"/>
              </w:rPr>
              <w:t>Minimum Threshold</w:t>
            </w:r>
          </w:p>
        </w:tc>
        <w:tc>
          <w:tcPr>
            <w:tcW w:type="dxa" w:w="2340"/>
            <w:tcMar>
              <w:top w:w="120" w:type="dxa"/>
              <w:bottom w:w="120" w:type="dxa"/>
              <w:left w:w="150" w:type="dxa"/>
              <w:right w:w="150" w:type="dxa"/>
            </w:tcMar>
            <w:shd w:fill="1F4E78"/>
          </w:tcPr>
          <w:p>
            <w:pPr>
              <w:spacing w:before="60" w:after="60" w:line="276" w:lineRule="auto"/>
            </w:pPr>
            <w:r>
              <w:rPr>
                <w:rFonts w:ascii="Calibri" w:hAnsi="Calibri"/>
                <w:b/>
                <w:color w:val="FFFFFF"/>
                <w:sz w:val="19"/>
              </w:rPr>
              <w:t>Verification Method</w:t>
            </w:r>
          </w:p>
        </w:tc>
      </w:tr>
      <w:tr>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P300 Classification Accuracy</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&gt; 75.0%</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 65.0% (Above Chance)</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Benchtop trial average across 50 stimulus epochs</w:t>
            </w:r>
          </w:p>
        </w:tc>
      </w:tr>
      <w:tr>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Jaw-Clench Event Detection Accuracy</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&gt; 92.0%</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 85.0%</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10-Hz high-gamma band power thresholding verification</w:t>
            </w:r>
          </w:p>
        </w:tc>
      </w:tr>
      <w:tr>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Blink-Veto Emergency Response Time</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&lt; 100 ms</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 150 ms</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Oscilloscope timing from EOG peak to motor PWM disable</w:t>
            </w:r>
          </w:p>
        </w:tc>
      </w:tr>
      <w:tr>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End-to-End Command Latency</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&lt; 350 ms</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 500 ms</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BrainFlow stream ingestion to physical motor joint displacement</w:t>
            </w:r>
          </w:p>
        </w:tc>
      </w:tr>
      <w:tr>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False Positive Trigger Rate</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&lt; 3.0%</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 5.0% per min</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10-minute idle recording session with resting subject</w:t>
            </w:r>
          </w:p>
        </w:tc>
      </w:tr>
      <w:tr>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Motor Position Repeatability</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 1.5° joint angle</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 3.0°</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Goniometer measurement on synthetic finger/knee linkages</w:t>
            </w:r>
          </w:p>
        </w:tc>
      </w:tr>
      <w:tr>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Continuous Battery Operating Time</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&gt; 3.0 hours</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 2.0 hours</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Sustained load test with 5000 mAh LiPo battery pack</w:t>
            </w:r>
          </w:p>
        </w:tc>
      </w:tr>
    </w:tbl>
    <w:p>
      <w:pPr>
        <w:spacing w:after="120"/>
      </w:pPr>
    </w:p>
    <w:p>
      <w:pPr>
        <w:keepNext/>
        <w:spacing w:before="360" w:after="120"/>
      </w:pPr>
      <w:r>
        <w:rPr>
          <w:rFonts w:ascii="Calibri" w:hAnsi="Calibri"/>
          <w:b/>
          <w:color w:val="1F4E78"/>
          <w:sz w:val="32"/>
        </w:rPr>
        <w:t>10. Hardware Requirements, System Architecture &amp; Sourcing Analysis</w:t>
      </w:r>
    </w:p>
    <w:p>
      <w:pPr>
        <w:spacing w:before="0" w:after="120" w:line="276" w:lineRule="auto"/>
      </w:pPr>
      <w:r>
        <w:rPr>
          <w:rFonts w:ascii="Calibri" w:hAnsi="Calibri"/>
          <w:color w:val="333333"/>
          <w:sz w:val="22"/>
        </w:rPr>
        <w:t>This section consolidates the complete hardware specifications, system architecture block diagrams, electrical interconnect schematics, power budget analysis, end-to-end software stack, itemized procurement Bill of Materials (BOM), and domestic Indian sourcing pipeline implied by substituting an NVIDIA Jetson Orin edge-AI platform and OpenBCI Open-cEEGrid around-the-ear 16-channel EEG acquisition system.</w:t>
      </w:r>
    </w:p>
    <w:p>
      <w:pPr>
        <w:keepNext/>
        <w:spacing w:before="280" w:after="80"/>
      </w:pPr>
      <w:r>
        <w:rPr>
          <w:rFonts w:ascii="Calibri" w:hAnsi="Calibri"/>
          <w:b/>
          <w:color w:val="2E75B6"/>
          <w:sz w:val="26"/>
        </w:rPr>
        <w:t>10.1 EEG Acquisition Hardware (OpenBCI Open-cEEGrid)</w:t>
      </w:r>
    </w:p>
    <w:p>
      <w:pPr>
        <w:pStyle w:val="ListParagraph"/>
        <w:spacing w:before="0" w:after="60" w:line="276" w:lineRule="auto"/>
      </w:pPr>
      <w:r>
        <w:rPr>
          <w:rFonts w:ascii="Calibri" w:hAnsi="Calibri"/>
          <w:color w:val="333333"/>
          <w:sz w:val="22"/>
        </w:rPr>
        <w:t>OpenBCI Open-cEEGrid Around-the-Ear EEG Bundle: 16-channel Cyton + Daisy biosensing acquisition board, flexible cEEGrid printed electrode arrays (one array per ear, providing 16 periauricular sensing channels), ear-clip reference/ground electrodes, and adhesive mounting strips.</w:t>
      </w:r>
    </w:p>
    <w:p>
      <w:pPr>
        <w:pStyle w:val="ListParagraph"/>
        <w:spacing w:before="0" w:after="60" w:line="276" w:lineRule="auto"/>
      </w:pPr>
      <w:r>
        <w:rPr>
          <w:rFonts w:ascii="Calibri" w:hAnsi="Calibri"/>
          <w:color w:val="333333"/>
          <w:sz w:val="22"/>
        </w:rPr>
        <w:t>Electrode gel/adhesive and spare cEEGrid arrays: essential for repeated experimental sessions, as the printed flex-electrodes are semi-consumable and experience impedance degradation across extended use.</w:t>
      </w:r>
    </w:p>
    <w:p>
      <w:pPr>
        <w:pStyle w:val="ListParagraph"/>
        <w:spacing w:before="0" w:after="60" w:line="276" w:lineRule="auto"/>
      </w:pPr>
      <w:r>
        <w:rPr>
          <w:rFonts w:ascii="Calibri" w:hAnsi="Calibri"/>
          <w:color w:val="333333"/>
          <w:sz w:val="22"/>
        </w:rPr>
        <w:t>Data transmission link: USB cable (wired) for benchtop low-latency testing, or a BLE/Wi-Fi wireless dongle for untethered streaming from the Cyton+Daisy board.</w:t>
      </w:r>
    </w:p>
    <w:p>
      <w:pPr>
        <w:pStyle w:val="ListParagraph"/>
        <w:spacing w:before="0" w:after="60" w:line="276" w:lineRule="auto"/>
      </w:pPr>
      <w:r>
        <w:rPr>
          <w:rFonts w:ascii="Calibri" w:hAnsi="Calibri"/>
          <w:color w:val="333333"/>
          <w:sz w:val="22"/>
        </w:rPr>
        <w:t>Impedance monitoring &amp; signal verification: host-side impedance checks via OpenBCI GUI to ensure skin-electrode contact impedance remains below 10–20 kΩ for optimal P300/jaw-clench detection.</w:t>
      </w:r>
    </w:p>
    <w:p>
      <w:pPr>
        <w:keepNext/>
        <w:spacing w:before="280" w:after="80"/>
      </w:pPr>
      <w:r>
        <w:rPr>
          <w:rFonts w:ascii="Calibri" w:hAnsi="Calibri"/>
          <w:b/>
          <w:color w:val="2E75B6"/>
          <w:sz w:val="26"/>
        </w:rPr>
        <w:t>10.2 Edge AI / Classifier Compute (NVIDIA Jetson Orin)</w:t>
      </w:r>
    </w:p>
    <w:p>
      <w:pPr>
        <w:pStyle w:val="ListParagraph"/>
        <w:spacing w:before="0" w:after="60" w:line="276" w:lineRule="auto"/>
      </w:pPr>
      <w:r>
        <w:rPr>
          <w:rFonts w:ascii="Calibri" w:hAnsi="Calibri"/>
          <w:color w:val="333333"/>
          <w:sz w:val="22"/>
        </w:rPr>
        <w:t>NVIDIA Jetson Orin Nano / Orin NX module (or Developer Kit): fills the primary edge compute host role, providing 20 TOPS to 100 TOPS of CUDA/TensorRT acceleration.</w:t>
      </w:r>
    </w:p>
    <w:p>
      <w:pPr>
        <w:pStyle w:val="ListParagraph"/>
        <w:spacing w:before="0" w:after="60" w:line="276" w:lineRule="auto"/>
      </w:pPr>
      <w:r>
        <w:rPr>
          <w:rFonts w:ascii="Calibri" w:hAnsi="Calibri"/>
          <w:color w:val="333333"/>
          <w:sz w:val="22"/>
        </w:rPr>
        <w:t>Architectural Justification &amp; Upgrade Path: While simple LDA/SWLDA or threshold-based classifiers can run on lightweight MCUs, the Jetson Orin is retained as the system host to provide multi-modal edge AI headroom. It handles real-time 16-channel BrainFlow biosignal streaming, bandpass filtering, feature extraction, PyTorch/TensorRT deep learning expansion (e.g., EEGNet, CNN-LSTM models for workload or EOG gaze decoding), ROS2 node execution, and logging without latency bottlenecks.</w:t>
      </w:r>
    </w:p>
    <w:p>
      <w:pPr>
        <w:pStyle w:val="ListParagraph"/>
        <w:spacing w:before="0" w:after="60" w:line="276" w:lineRule="auto"/>
      </w:pPr>
      <w:r>
        <w:rPr>
          <w:rFonts w:ascii="Calibri" w:hAnsi="Calibri"/>
          <w:color w:val="333333"/>
          <w:sz w:val="22"/>
        </w:rPr>
        <w:t>Carrier board &amp; power delivery: standard Jetson Orin developer carrier board powered by a dedicated 9V–19V DC power supply rated for up to 15W–25W continuous operation.</w:t>
      </w:r>
    </w:p>
    <w:p>
      <w:pPr>
        <w:pStyle w:val="ListParagraph"/>
        <w:spacing w:before="0" w:after="60" w:line="276" w:lineRule="auto"/>
      </w:pPr>
      <w:r>
        <w:rPr>
          <w:rFonts w:ascii="Calibri" w:hAnsi="Calibri"/>
          <w:color w:val="333333"/>
          <w:sz w:val="22"/>
        </w:rPr>
        <w:t>Storage &amp; active cooling: high-speed NVMe M.2 SSD (or high-end microSD card) for Linux OS, PyTorch/TensorRT environments, and log storage; active heatsink and PWM cooling fan to prevent thermal throttling under sustained inference.</w:t>
      </w:r>
    </w:p>
    <w:p>
      <w:pPr>
        <w:keepNext/>
        <w:spacing w:before="280" w:after="80"/>
      </w:pPr>
      <w:r>
        <w:rPr>
          <w:rFonts w:ascii="Calibri" w:hAnsi="Calibri"/>
          <w:b/>
          <w:color w:val="2E75B6"/>
          <w:sz w:val="26"/>
        </w:rPr>
        <w:t>10.3 Real-Time Actuation Microcontroller &amp; Logic Interlock</w:t>
      </w:r>
    </w:p>
    <w:p>
      <w:pPr>
        <w:pStyle w:val="ListParagraph"/>
        <w:spacing w:before="0" w:after="60" w:line="276" w:lineRule="auto"/>
      </w:pPr>
      <w:r>
        <w:rPr>
          <w:rFonts w:ascii="Calibri" w:hAnsi="Calibri"/>
          <w:color w:val="333333"/>
          <w:sz w:val="22"/>
        </w:rPr>
        <w:t>Real-time microcontroller unit (MCU): standard Arduino (Uno/Due) or ESP32-class MCU (such as the ESP32-P4) serving as the Tier-2 deterministic hardware controller.</w:t>
      </w:r>
    </w:p>
    <w:p>
      <w:pPr>
        <w:pStyle w:val="ListParagraph"/>
        <w:spacing w:before="0" w:after="60" w:line="276" w:lineRule="auto"/>
      </w:pPr>
      <w:r>
        <w:rPr>
          <w:rFonts w:ascii="Calibri" w:hAnsi="Calibri"/>
          <w:color w:val="333333"/>
          <w:sz w:val="22"/>
        </w:rPr>
        <w:t>Decoupled architecture justification: the Jetson Orin operates a non-real-time Linux kernel, making it unsuitable for low-jitter PWM motor pulses or direct emergency stop interrupts. The MCU handles microsecond motor timing and low-level safety logic independently.</w:t>
      </w:r>
    </w:p>
    <w:p>
      <w:pPr>
        <w:pStyle w:val="ListParagraph"/>
        <w:spacing w:before="0" w:after="60" w:line="276" w:lineRule="auto"/>
      </w:pPr>
      <w:r>
        <w:rPr>
          <w:rFonts w:ascii="Calibri" w:hAnsi="Calibri"/>
          <w:color w:val="333333"/>
          <w:sz w:val="22"/>
        </w:rPr>
        <w:t>Inter-processor communication link: high-speed UART (115200 baud) or USB serial link connecting the Jetson Orin to the MCU to transmit classified trigger commands via a structured binary packet protocol.</w:t>
      </w:r>
    </w:p>
    <w:p>
      <w:pPr>
        <w:pStyle w:val="ListParagraph"/>
        <w:spacing w:before="0" w:after="60" w:line="276" w:lineRule="auto"/>
      </w:pPr>
      <w:r>
        <w:rPr>
          <w:rFonts w:ascii="Calibri" w:hAnsi="Calibri"/>
          <w:color w:val="333333"/>
          <w:sz w:val="22"/>
        </w:rPr>
        <w:t>Wireless companion module: if an MCU lacking native wireless (e.g., ESP32-P4) is used, a low-cost companion radio module (ESP32-C3/WROOM) can be added for auxiliary telemetry.</w:t>
      </w:r>
    </w:p>
    <w:p>
      <w:pPr>
        <w:keepNext/>
        <w:spacing w:before="280" w:after="80"/>
      </w:pPr>
      <w:r>
        <w:rPr>
          <w:rFonts w:ascii="Calibri" w:hAnsi="Calibri"/>
          <w:b/>
          <w:color w:val="2E75B6"/>
          <w:sz w:val="26"/>
        </w:rPr>
        <w:t>10.4 Actuator Hardware &amp; Drive Mechanisms</w:t>
      </w:r>
    </w:p>
    <w:p>
      <w:pPr>
        <w:pStyle w:val="ListParagraph"/>
        <w:spacing w:before="0" w:after="60" w:line="276" w:lineRule="auto"/>
      </w:pPr>
      <w:r>
        <w:rPr>
          <w:rFonts w:ascii="Calibri" w:hAnsi="Calibri"/>
          <w:color w:val="333333"/>
          <w:sz w:val="22"/>
        </w:rPr>
        <w:t>Hand Module Actuation: high-torque servo motors (e.g., MG996R coreless servos) driving individual fingers or a Bowden-cable tendon system, consistent with the HERO and VAEDA hand exoskeleton designs reviewed in Section 4.2.</w:t>
      </w:r>
    </w:p>
    <w:p>
      <w:pPr>
        <w:pStyle w:val="ListParagraph"/>
        <w:spacing w:before="0" w:after="60" w:line="276" w:lineRule="auto"/>
      </w:pPr>
      <w:r>
        <w:rPr>
          <w:rFonts w:ascii="Calibri" w:hAnsi="Calibri"/>
          <w:color w:val="333333"/>
          <w:sz w:val="22"/>
        </w:rPr>
        <w:t>Leg Module Actuation: higher-torque DC gear motors or stepper motors with planetary gearboxes for synthetic joint actuation, per Section 4.3.</w:t>
      </w:r>
    </w:p>
    <w:p>
      <w:pPr>
        <w:pStyle w:val="ListParagraph"/>
        <w:spacing w:before="0" w:after="60" w:line="276" w:lineRule="auto"/>
      </w:pPr>
      <w:r>
        <w:rPr>
          <w:rFonts w:ascii="Calibri" w:hAnsi="Calibri"/>
          <w:color w:val="333333"/>
          <w:sz w:val="22"/>
        </w:rPr>
        <w:t>Motor Driver ICs / H-Bridges: dual/quad H-bridge driver modules (L298N, TB6612FNG, or PCA9685 I2C Servo Driver) providing opto-isolated high-current drive to actuation motors.</w:t>
      </w:r>
    </w:p>
    <w:p>
      <w:pPr>
        <w:keepNext/>
        <w:spacing w:before="280" w:after="80"/>
      </w:pPr>
      <w:r>
        <w:rPr>
          <w:rFonts w:ascii="Calibri" w:hAnsi="Calibri"/>
          <w:b/>
          <w:color w:val="2E75B6"/>
          <w:sz w:val="26"/>
        </w:rPr>
        <w:t>10.5 Synthetic Hand and Leg Models</w:t>
      </w:r>
    </w:p>
    <w:p>
      <w:pPr>
        <w:pStyle w:val="ListParagraph"/>
        <w:spacing w:before="0" w:after="60" w:line="276" w:lineRule="auto"/>
      </w:pPr>
      <w:r>
        <w:rPr>
          <w:rFonts w:ascii="Calibri" w:hAnsi="Calibri"/>
          <w:color w:val="333333"/>
          <w:sz w:val="22"/>
        </w:rPr>
        <w:t>Synthetic Hand Model: 3D-printed articulated hand model with finger linkages, sized to accept servo/Bowden-cable drive for benchtop movement validation.</w:t>
      </w:r>
    </w:p>
    <w:p>
      <w:pPr>
        <w:pStyle w:val="ListParagraph"/>
        <w:spacing w:before="0" w:after="60" w:line="276" w:lineRule="auto"/>
      </w:pPr>
      <w:r>
        <w:rPr>
          <w:rFonts w:ascii="Calibri" w:hAnsi="Calibri"/>
          <w:color w:val="333333"/>
          <w:sz w:val="22"/>
        </w:rPr>
        <w:t>Synthetic Leg Model: 3D-printed articulated leg/gait model with joint linkages, including mechanical joint-limit physical stops.</w:t>
      </w:r>
    </w:p>
    <w:p>
      <w:pPr>
        <w:pStyle w:val="ListParagraph"/>
        <w:spacing w:before="0" w:after="60" w:line="276" w:lineRule="auto"/>
      </w:pPr>
      <w:r>
        <w:rPr>
          <w:rFonts w:ascii="Calibri" w:hAnsi="Calibri"/>
          <w:color w:val="333333"/>
          <w:sz w:val="22"/>
        </w:rPr>
        <w:t>Mechanical Safety Justification: physical joint-limit stops are incorporated into the synthetic models as a mandatory low-cost precursor to mechanical safety practices required for human-worn exoskeletons.</w:t>
      </w:r>
    </w:p>
    <w:p>
      <w:pPr>
        <w:keepNext/>
        <w:spacing w:before="280" w:after="80"/>
      </w:pPr>
      <w:r>
        <w:rPr>
          <w:rFonts w:ascii="Calibri" w:hAnsi="Calibri"/>
          <w:b/>
          <w:color w:val="2E75B6"/>
          <w:sz w:val="26"/>
        </w:rPr>
        <w:t>10.6 Electrical Interconnect &amp; Hardware Wiring Schematics</w:t>
      </w:r>
    </w:p>
    <w:p>
      <w:pPr>
        <w:spacing w:before="0" w:after="120" w:line="276" w:lineRule="auto"/>
      </w:pPr>
      <w:r>
        <w:rPr>
          <w:rFonts w:ascii="Calibri" w:hAnsi="Calibri"/>
          <w:color w:val="333333"/>
          <w:sz w:val="22"/>
        </w:rPr>
        <w:t>To guide physical implementation and prevent wiring errors during prototyping, the detailed electrical interconnect and pinout mapping is specified below:</w:t>
      </w:r>
    </w:p>
    <w:p>
      <w:pPr>
        <w:spacing w:before="80" w:after="160" w:line="240" w:lineRule="auto"/>
        <w:pBdr>
          <w:left w:val="single" w:sz="24" w:space="12" w:color="1F4E78"/>
        </w:pBdr>
      </w:pPr>
      <w:r>
        <w:rPr>
          <w:rFonts w:ascii="Courier New" w:hAnsi="Courier New"/>
          <w:color w:val="1E1E1E"/>
          <w:sz w:val="19"/>
        </w:rPr>
        <w:t>┌─────────────────────────────────────────────────────────────────────────────────────────┐</w:t>
        <w:br/>
        <w:t>│                          ELECTRICAL INTERCONNECT SCHEMATIC                              │</w:t>
        <w:br/>
        <w:t>└─────────────────────────────────────────────────────────────────────────────────────────┘</w:t>
        <w:br/>
        <w:br/>
        <w:t xml:space="preserve"> ┌────────────────────────┐                    ┌────────────────────────┐</w:t>
        <w:br/>
        <w:t xml:space="preserve"> │ OpenBCI Cyton+Daisy    │   USB / BLE Stream │ NVIDIA Jetson Orin     │</w:t>
        <w:br/>
        <w:t xml:space="preserve"> │ (16-Ch EEG Frontend)   ├───────────────────►│ (Main Edge Host)       │</w:t>
        <w:br/>
        <w:t xml:space="preserve"> └────────────────────────┘                    └───────────┬────────────┘</w:t>
        <w:br/>
        <w:t xml:space="preserve">                                                           │</w:t>
        <w:br/>
        <w:t xml:space="preserve">                                                           │ UART Serial (TX2/RX2)</w:t>
        <w:br/>
        <w:t xml:space="preserve">                                                           │ (Baud: 115200, 8N1)</w:t>
        <w:br/>
        <w:t xml:space="preserve">                                                           ▼</w:t>
        <w:br/>
        <w:t xml:space="preserve"> ┌────────────────────────┐                    ┌────────────────────────┐</w:t>
        <w:br/>
        <w:t xml:space="preserve"> │ Emergency Stop Switch  │   GPIO 34 (Interrupt)│ ESP32 Microcontroller  │</w:t>
        <w:br/>
        <w:t xml:space="preserve"> │ (NC Physical Push-Btn) ├───────────────────►│ (Tier-2 Motor Control) │</w:t>
        <w:br/>
        <w:t xml:space="preserve"> └────────────────────────┘                    └───────────┬────────────┘</w:t>
        <w:br/>
        <w:t xml:space="preserve">                                                           │</w:t>
        <w:br/>
        <w:t xml:space="preserve">                                   ┌───────────────────────┴───────────────────────┐</w:t>
        <w:br/>
        <w:t xml:space="preserve">                                   │ I2C Bus (SDA: GPIO21, SCL: GPIO22)           │ PWM Signals (GPIO 12-15)</w:t>
        <w:br/>
        <w:t xml:space="preserve">                                   ▼                                              ▼</w:t>
        <w:br/>
        <w:t xml:space="preserve">                      ┌────────────────────────┐                     ┌────────────────────────┐</w:t>
        <w:br/>
        <w:t xml:space="preserve">                      │ PCA9685 16-Ch PWM      │                     │ L298N Dual H-Bridge    │</w:t>
        <w:br/>
        <w:t xml:space="preserve">                      │ Servo Driver Board     │                     │ DC Motor Driver Board  │</w:t>
        <w:br/>
        <w:t xml:space="preserve">                      └────────────┬───────────┘                     └────────────┬───────────┘</w:t>
        <w:br/>
        <w:t xml:space="preserve">                                   │ Servo PWM Lines                              │ High-Current DC</w:t>
        <w:br/>
        <w:t xml:space="preserve">                                   ▼                                              ▼</w:t>
        <w:br/>
        <w:t xml:space="preserve">                      ┌────────────────────────┐                     ┌────────────────────────┐</w:t>
        <w:br/>
        <w:t xml:space="preserve">                      │ 5x Servos (Hand Model) │                     │ 2x DC Motors (Leg)     │</w:t>
        <w:br/>
        <w:t xml:space="preserve">                      └────────────────────────┘                     └────────────────────────┘</w:t>
        <w:br/>
        <w:br/>
        <w:t xml:space="preserve"> ┌─────────────────────────────────────────────────────────────────────────────────────────┐</w:t>
        <w:br/>
        <w:t xml:space="preserve"> │ POWER DISTRIBUTION &amp; GROUND ISOLATION                                                  │</w:t>
        <w:br/>
        <w:t xml:space="preserve"> │  • Main Power Rail: 11.1V / 14.8V LiPo Battery (5000 mAh, 30C)                          │</w:t>
        <w:br/>
        <w:t xml:space="preserve"> │  • Orin Power Rail: 12V Buck-Boost DC Regulator (Target: 12V, 3A max)                   │</w:t>
        <w:br/>
        <w:t xml:space="preserve"> │  • Servo Power Rail: Step-Down Buck Converter (Target: 6V, 5A continuous)               │</w:t>
        <w:br/>
        <w:t xml:space="preserve"> │  • Logic Power Rail: ESP32 5V USB/VIN Rail (Target: 5V, 1A)                             │</w:t>
        <w:br/>
        <w:t xml:space="preserve"> │  • Common Grounding: Star-ground point at battery negative terminal to prevent motor    │</w:t>
        <w:br/>
        <w:t xml:space="preserve"> │    switching noise from coupling into OpenBCI EEG acquisition channels.                 │</w:t>
        <w:br/>
        <w:t xml:space="preserve"> └─────────────────────────────────────────────────────────────────────────────────────────┘</w:t>
      </w:r>
    </w:p>
    <w:p>
      <w:pPr>
        <w:keepNext/>
        <w:spacing w:before="280" w:after="80"/>
      </w:pPr>
      <w:r>
        <w:rPr>
          <w:rFonts w:ascii="Calibri" w:hAnsi="Calibri"/>
          <w:b/>
          <w:color w:val="2E75B6"/>
          <w:sz w:val="26"/>
        </w:rPr>
        <w:t>10.7 Power Architecture, Power Budget, &amp; Operating Duration</w:t>
      </w:r>
    </w:p>
    <w:p>
      <w:pPr>
        <w:spacing w:before="0" w:after="120" w:line="276" w:lineRule="auto"/>
      </w:pPr>
      <w:r>
        <w:rPr>
          <w:rFonts w:ascii="Calibri" w:hAnsi="Calibri"/>
          <w:color w:val="333333"/>
          <w:sz w:val="22"/>
        </w:rPr>
        <w:t>A rigorous power budget analysis is critical for evaluating system thermal limits, electrical power delivery, and cordless battery operating duration. Table 8B breaks down the current draw and power consumption per subsystem: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rPr>
          <w:tblHeader/>
        </w:trPr>
        <w:tc>
          <w:tcPr>
            <w:tcW w:type="dxa" w:w="1560"/>
            <w:tcMar>
              <w:top w:w="120" w:type="dxa"/>
              <w:bottom w:w="120" w:type="dxa"/>
              <w:left w:w="150" w:type="dxa"/>
              <w:right w:w="150" w:type="dxa"/>
            </w:tcMar>
            <w:shd w:fill="1F4E78"/>
          </w:tcPr>
          <w:p>
            <w:pPr>
              <w:spacing w:before="60" w:after="60" w:line="276" w:lineRule="auto"/>
            </w:pPr>
            <w:r>
              <w:rPr>
                <w:rFonts w:ascii="Calibri" w:hAnsi="Calibri"/>
                <w:b/>
                <w:color w:val="FFFFFF"/>
                <w:sz w:val="19"/>
              </w:rPr>
              <w:t>Subsystem / Component</w:t>
            </w:r>
          </w:p>
        </w:tc>
        <w:tc>
          <w:tcPr>
            <w:tcW w:type="dxa" w:w="1560"/>
            <w:tcMar>
              <w:top w:w="120" w:type="dxa"/>
              <w:bottom w:w="120" w:type="dxa"/>
              <w:left w:w="150" w:type="dxa"/>
              <w:right w:w="150" w:type="dxa"/>
            </w:tcMar>
            <w:shd w:fill="1F4E78"/>
          </w:tcPr>
          <w:p>
            <w:pPr>
              <w:spacing w:before="60" w:after="60" w:line="276" w:lineRule="auto"/>
            </w:pPr>
            <w:r>
              <w:rPr>
                <w:rFonts w:ascii="Calibri" w:hAnsi="Calibri"/>
                <w:b/>
                <w:color w:val="FFFFFF"/>
                <w:sz w:val="19"/>
              </w:rPr>
              <w:t>Nominal Voltage</w:t>
            </w:r>
          </w:p>
        </w:tc>
        <w:tc>
          <w:tcPr>
            <w:tcW w:type="dxa" w:w="1560"/>
            <w:tcMar>
              <w:top w:w="120" w:type="dxa"/>
              <w:bottom w:w="120" w:type="dxa"/>
              <w:left w:w="150" w:type="dxa"/>
              <w:right w:w="150" w:type="dxa"/>
            </w:tcMar>
            <w:shd w:fill="1F4E78"/>
          </w:tcPr>
          <w:p>
            <w:pPr>
              <w:spacing w:before="60" w:after="60" w:line="276" w:lineRule="auto"/>
            </w:pPr>
            <w:r>
              <w:rPr>
                <w:rFonts w:ascii="Calibri" w:hAnsi="Calibri"/>
                <w:b/>
                <w:color w:val="FFFFFF"/>
                <w:sz w:val="19"/>
              </w:rPr>
              <w:t>Avg Current</w:t>
            </w:r>
          </w:p>
        </w:tc>
        <w:tc>
          <w:tcPr>
            <w:tcW w:type="dxa" w:w="1560"/>
            <w:tcMar>
              <w:top w:w="120" w:type="dxa"/>
              <w:bottom w:w="120" w:type="dxa"/>
              <w:left w:w="150" w:type="dxa"/>
              <w:right w:w="150" w:type="dxa"/>
            </w:tcMar>
            <w:shd w:fill="1F4E78"/>
          </w:tcPr>
          <w:p>
            <w:pPr>
              <w:spacing w:before="60" w:after="60" w:line="276" w:lineRule="auto"/>
            </w:pPr>
            <w:r>
              <w:rPr>
                <w:rFonts w:ascii="Calibri" w:hAnsi="Calibri"/>
                <w:b/>
                <w:color w:val="FFFFFF"/>
                <w:sz w:val="19"/>
              </w:rPr>
              <w:t>Peak Current</w:t>
            </w:r>
          </w:p>
        </w:tc>
        <w:tc>
          <w:tcPr>
            <w:tcW w:type="dxa" w:w="1560"/>
            <w:tcMar>
              <w:top w:w="120" w:type="dxa"/>
              <w:bottom w:w="120" w:type="dxa"/>
              <w:left w:w="150" w:type="dxa"/>
              <w:right w:w="150" w:type="dxa"/>
            </w:tcMar>
            <w:shd w:fill="1F4E78"/>
          </w:tcPr>
          <w:p>
            <w:pPr>
              <w:spacing w:before="60" w:after="60" w:line="276" w:lineRule="auto"/>
            </w:pPr>
            <w:r>
              <w:rPr>
                <w:rFonts w:ascii="Calibri" w:hAnsi="Calibri"/>
                <w:b/>
                <w:color w:val="FFFFFF"/>
                <w:sz w:val="19"/>
              </w:rPr>
              <w:t>Avg Power (W)</w:t>
            </w:r>
          </w:p>
        </w:tc>
        <w:tc>
          <w:tcPr>
            <w:tcW w:type="dxa" w:w="1560"/>
            <w:tcMar>
              <w:top w:w="120" w:type="dxa"/>
              <w:bottom w:w="120" w:type="dxa"/>
              <w:left w:w="150" w:type="dxa"/>
              <w:right w:w="150" w:type="dxa"/>
            </w:tcMar>
            <w:shd w:fill="1F4E78"/>
          </w:tcPr>
          <w:p>
            <w:pPr>
              <w:spacing w:before="60" w:after="60" w:line="276" w:lineRule="auto"/>
            </w:pPr>
            <w:r>
              <w:rPr>
                <w:rFonts w:ascii="Calibri" w:hAnsi="Calibri"/>
                <w:b/>
                <w:color w:val="FFFFFF"/>
                <w:sz w:val="19"/>
              </w:rPr>
              <w:t>Peak Power (W)</w:t>
            </w:r>
          </w:p>
        </w:tc>
      </w:tr>
      <w:tr>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OpenBCI Cyton+Daisy Frontend</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3.7V (Internal LiPo)</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120 mA</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200 mA</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0.44 W</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0.74 W</w:t>
            </w:r>
          </w:p>
        </w:tc>
      </w:tr>
      <w:tr>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NVIDIA Jetson Orin Nano Host</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12.0V DC</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850 mA</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2100 mA</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10.20 W</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25.20 W</w:t>
            </w:r>
          </w:p>
        </w:tc>
      </w:tr>
      <w:tr>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ESP32 Microcontroller + Sensors</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5.0V DC</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100 mA</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250 mA</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0.50 W</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1.25 W</w:t>
            </w:r>
          </w:p>
        </w:tc>
      </w:tr>
      <w:tr>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PCA9685 Servo Driver Board</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5.0V DC</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20 mA</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50 mA</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0.10 W</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0.25 W</w:t>
            </w:r>
          </w:p>
        </w:tc>
      </w:tr>
      <w:tr>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Hand Module (5x Servo Motors)</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6.0V DC</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600 mA</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2500 mA</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3.60 W</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15.00 W</w:t>
            </w:r>
          </w:p>
        </w:tc>
      </w:tr>
      <w:tr>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Leg Module (2x DC Gear Motors)</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12.0V DC</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800 mA</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3000 mA</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9.60 W</w:t>
            </w:r>
          </w:p>
        </w:tc>
        <w:tc>
          <w:tcPr>
            <w:tcW w:type="dxa" w:w="1560"/>
            <w:tcMar>
              <w:top w:w="120" w:type="dxa"/>
              <w:bottom w:w="120" w:type="dxa"/>
              <w:left w:w="150" w:type="dxa"/>
              <w:right w:w="150" w:type="dxa"/>
            </w:tcMar>
            <w:shd w:fill="FFFFFF"/>
          </w:tcPr>
          <w:p>
            <w:pPr>
              <w:spacing w:before="60" w:after="60" w:line="276" w:lineRule="auto"/>
            </w:pPr>
            <w:r>
              <w:rPr>
                <w:rFonts w:ascii="Calibri" w:hAnsi="Calibri"/>
                <w:color w:val="333333"/>
                <w:sz w:val="19"/>
              </w:rPr>
              <w:t>36.00 W</w:t>
            </w:r>
          </w:p>
        </w:tc>
      </w:tr>
      <w:tr>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TOTAL SYSTEM CONSOLIDATED</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11.1V / 12.0V Rail</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2.49 A</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8.10 A</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24.44 W</w:t>
            </w:r>
          </w:p>
        </w:tc>
        <w:tc>
          <w:tcPr>
            <w:tcW w:type="dxa" w:w="1560"/>
            <w:tcMar>
              <w:top w:w="120" w:type="dxa"/>
              <w:bottom w:w="120" w:type="dxa"/>
              <w:left w:w="150" w:type="dxa"/>
              <w:right w:w="150" w:type="dxa"/>
            </w:tcMar>
            <w:shd w:fill="F9FBFD"/>
          </w:tcPr>
          <w:p>
            <w:pPr>
              <w:spacing w:before="60" w:after="60" w:line="276" w:lineRule="auto"/>
            </w:pPr>
            <w:r>
              <w:rPr>
                <w:rFonts w:ascii="Calibri" w:hAnsi="Calibri"/>
                <w:color w:val="333333"/>
                <w:sz w:val="19"/>
              </w:rPr>
              <w:t>78.44 W</w:t>
            </w:r>
          </w:p>
        </w:tc>
      </w:tr>
    </w:tbl>
    <w:p>
      <w:pPr>
        <w:spacing w:after="120"/>
      </w:pPr>
    </w:p>
    <w:p>
      <w:pPr>
        <w:spacing w:before="0" w:after="120" w:line="276" w:lineRule="auto"/>
      </w:pPr>
      <w:r>
        <w:rPr>
          <w:rFonts w:ascii="Calibri" w:hAnsi="Calibri"/>
          <w:color w:val="333333"/>
          <w:sz w:val="22"/>
        </w:rPr>
        <w:t>Battery Capacity &amp; Operating Time Calculation:</w:t>
      </w:r>
    </w:p>
    <w:p>
      <w:pPr>
        <w:pStyle w:val="ListParagraph"/>
        <w:spacing w:before="0" w:after="60" w:line="276" w:lineRule="auto"/>
      </w:pPr>
      <w:r>
        <w:rPr>
          <w:rFonts w:ascii="Calibri" w:hAnsi="Calibri"/>
          <w:color w:val="333333"/>
          <w:sz w:val="22"/>
        </w:rPr>
        <w:t>Selected Battery: 3S 11.1V LiPo Battery Pack (5000 mAh capacity, 55.5 Wh stored energy).</w:t>
      </w:r>
    </w:p>
    <w:p>
      <w:pPr>
        <w:pStyle w:val="ListParagraph"/>
        <w:spacing w:before="0" w:after="60" w:line="276" w:lineRule="auto"/>
      </w:pPr>
      <w:r>
        <w:rPr>
          <w:rFonts w:ascii="Calibri" w:hAnsi="Calibri"/>
          <w:color w:val="333333"/>
          <w:sz w:val="22"/>
        </w:rPr>
        <w:t>Average Power Draw: ~24.44 W under continuous bi-directional hand/leg operation.</w:t>
      </w:r>
    </w:p>
    <w:p>
      <w:pPr>
        <w:pStyle w:val="ListParagraph"/>
        <w:spacing w:before="0" w:after="60" w:line="276" w:lineRule="auto"/>
      </w:pPr>
      <w:r>
        <w:rPr>
          <w:rFonts w:ascii="Calibri" w:hAnsi="Calibri"/>
          <w:color w:val="333333"/>
          <w:sz w:val="22"/>
        </w:rPr>
        <w:t>Effective Operating Time: t = (55.5 Wh × 0.85 efficiency factor) / 24.44 W = 1.93 hours of continuous continuous benchtop operation (~2.5–3.0 hours under standard clinical trial duty cycles).</w:t>
      </w:r>
    </w:p>
    <w:p>
      <w:pPr>
        <w:keepNext/>
        <w:spacing w:before="280" w:after="80"/>
      </w:pPr>
      <w:r>
        <w:rPr>
          <w:rFonts w:ascii="Calibri" w:hAnsi="Calibri"/>
          <w:b/>
          <w:color w:val="2E75B6"/>
          <w:sz w:val="26"/>
        </w:rPr>
        <w:t>10.8 End-to-End Software Architecture &amp; Firmware Stack</w:t>
      </w:r>
    </w:p>
    <w:p>
      <w:pPr>
        <w:spacing w:before="0" w:after="120" w:line="276" w:lineRule="auto"/>
      </w:pPr>
      <w:r>
        <w:rPr>
          <w:rFonts w:ascii="Calibri" w:hAnsi="Calibri"/>
          <w:color w:val="333333"/>
          <w:sz w:val="22"/>
        </w:rPr>
        <w:t>The software ecosystem spans four distinct software layers to ensure modularity, low-latency execution, and simple maintainability:</w:t>
      </w:r>
    </w:p>
    <w:p>
      <w:pPr>
        <w:pStyle w:val="ListParagraph"/>
        <w:spacing w:before="0" w:after="60" w:line="276" w:lineRule="auto"/>
      </w:pPr>
      <w:r>
        <w:rPr>
          <w:rFonts w:ascii="Calibri" w:hAnsi="Calibri"/>
          <w:color w:val="333333"/>
          <w:sz w:val="22"/>
        </w:rPr>
        <w:t>1. Operating System Tier: Ubuntu Linux 22.04 LTS (NVIDIA JetPack 6.x) with low-latency kernel tuning on Jetson Orin; FreeRTOS environment on ESP32.</w:t>
      </w:r>
    </w:p>
    <w:p>
      <w:pPr>
        <w:pStyle w:val="ListParagraph"/>
        <w:spacing w:before="0" w:after="60" w:line="276" w:lineRule="auto"/>
      </w:pPr>
      <w:r>
        <w:rPr>
          <w:rFonts w:ascii="Calibri" w:hAnsi="Calibri"/>
          <w:color w:val="333333"/>
          <w:sz w:val="22"/>
        </w:rPr>
        <w:t>2. Data Ingestion &amp; Signal Processing Tier: Python 3.10 pipeline using BrainFlow API for 250 Hz 16-channel streaming, NumPy/SciPy for digital IIR Butterworth bandpass filtering (0.5–30 Hz) and Common Average Reference (CAR), and MNE-Python for artifact inspection.</w:t>
      </w:r>
    </w:p>
    <w:p>
      <w:pPr>
        <w:pStyle w:val="ListParagraph"/>
        <w:spacing w:before="0" w:after="60" w:line="276" w:lineRule="auto"/>
      </w:pPr>
      <w:r>
        <w:rPr>
          <w:rFonts w:ascii="Calibri" w:hAnsi="Calibri"/>
          <w:color w:val="333333"/>
          <w:sz w:val="22"/>
        </w:rPr>
        <w:t>3. Classification &amp; Decision Engine: Lightweight scikit-learn Linear Discriminant Analysis (LDA / SWLDA) for P300 ERP decoding, spectral high-gamma band power thresholding for jaw-clench events, and PyTorch / TensorRT runtime for future deep model integration.</w:t>
      </w:r>
    </w:p>
    <w:p>
      <w:pPr>
        <w:pStyle w:val="ListParagraph"/>
        <w:spacing w:before="0" w:after="60" w:line="276" w:lineRule="auto"/>
      </w:pPr>
      <w:r>
        <w:rPr>
          <w:rFonts w:ascii="Calibri" w:hAnsi="Calibri"/>
          <w:color w:val="333333"/>
          <w:sz w:val="22"/>
        </w:rPr>
        <w:t>4. Inter-Processor Protocol &amp; ESP32 Firmware: Compact binary UART packet structure [HEADER (0xAA55) | CMD_ID (1 Byte) | PARAMS (4 Bytes) | CHECKSUM (1 Byte)]. ESP32 firmware written in C++/PlatformIO uses dedicated FreeRTOS tasks for UART parsing, PWM generation, joint-limit switch monitoring, and e-stop interrupts.</w:t>
      </w:r>
    </w:p>
    <w:p>
      <w:pPr>
        <w:keepNext/>
        <w:spacing w:before="280" w:after="80"/>
      </w:pPr>
      <w:r>
        <w:rPr>
          <w:rFonts w:ascii="Calibri" w:hAnsi="Calibri"/>
          <w:b/>
          <w:color w:val="2E75B6"/>
          <w:sz w:val="26"/>
        </w:rPr>
        <w:t>10.9 Safety Interlock and Auxiliary Hardware</w:t>
      </w:r>
    </w:p>
    <w:p>
      <w:pPr>
        <w:pStyle w:val="ListParagraph"/>
        <w:spacing w:before="0" w:after="60" w:line="276" w:lineRule="auto"/>
      </w:pPr>
      <w:r>
        <w:rPr>
          <w:rFonts w:ascii="Calibri" w:hAnsi="Calibri"/>
          <w:color w:val="333333"/>
          <w:sz w:val="22"/>
        </w:rPr>
        <w:t>Hardware Blink-Veto Path: reuses the periauricular EOG signal from the Open-cEEGrid electrodes (Section 4.6.1) to trigger an immediate software/hardware override upon detecting rapid multi-blink or eye-squeeze events.</w:t>
      </w:r>
    </w:p>
    <w:p>
      <w:pPr>
        <w:pStyle w:val="ListParagraph"/>
        <w:spacing w:before="0" w:after="60" w:line="276" w:lineRule="auto"/>
      </w:pPr>
      <w:r>
        <w:rPr>
          <w:rFonts w:ascii="Calibri" w:hAnsi="Calibri"/>
          <w:color w:val="333333"/>
          <w:sz w:val="22"/>
        </w:rPr>
        <w:t>Physical Emergency-Stop Switch: manual override switch or emergency-stop button, hardwired directly to ESP32 GPIO interrupts and motor driver enable lines, to cut motor power instantaneously.</w:t>
      </w:r>
    </w:p>
    <w:p>
      <w:pPr>
        <w:keepNext/>
        <w:spacing w:before="280" w:after="80"/>
      </w:pPr>
      <w:r>
        <w:rPr>
          <w:rFonts w:ascii="Calibri" w:hAnsi="Calibri"/>
          <w:b/>
          <w:color w:val="2E75B6"/>
          <w:sz w:val="26"/>
        </w:rPr>
        <w:t>10.10 Setup Peripherals, Bench Tools, and Consumables</w:t>
      </w:r>
    </w:p>
    <w:p>
      <w:pPr>
        <w:pStyle w:val="ListParagraph"/>
        <w:spacing w:before="0" w:after="60" w:line="276" w:lineRule="auto"/>
      </w:pPr>
      <w:r>
        <w:rPr>
          <w:rFonts w:ascii="Calibri" w:hAnsi="Calibri"/>
          <w:color w:val="333333"/>
          <w:sz w:val="22"/>
        </w:rPr>
        <w:t>Initial Jetson Setup Peripherals: monitor, keyboard, and mouse (or host PC running NVIDIA SDK Manager) for OS flashing and headless SSH setup.</w:t>
      </w:r>
    </w:p>
    <w:p>
      <w:pPr>
        <w:pStyle w:val="ListParagraph"/>
        <w:spacing w:before="0" w:after="60" w:line="276" w:lineRule="auto"/>
      </w:pPr>
      <w:r>
        <w:rPr>
          <w:rFonts w:ascii="Calibri" w:hAnsi="Calibri"/>
          <w:color w:val="333333"/>
          <w:sz w:val="22"/>
        </w:rPr>
        <w:t>Electronics Bench Tool Kit: basic tool kit including screwdriver set, soldering iron, lead-free solder, heat-shrink tubing, wire strippers, and digital multimeter.</w:t>
      </w:r>
    </w:p>
    <w:p>
      <w:pPr>
        <w:pStyle w:val="ListParagraph"/>
        <w:spacing w:before="0" w:after="60" w:line="276" w:lineRule="auto"/>
      </w:pPr>
      <w:r>
        <w:rPr>
          <w:rFonts w:ascii="Calibri" w:hAnsi="Calibri"/>
          <w:color w:val="333333"/>
          <w:sz w:val="22"/>
        </w:rPr>
        <w:t>Mechanical Consumables &amp; Enclosures: small protoboard case for MCU/drivers, 3D printing filament (PLA/PETG), mechanical fasteners, and screw terminals.</w:t>
      </w:r>
    </w:p>
    <w:p>
      <w:pPr>
        <w:keepNext/>
        <w:spacing w:before="280" w:after="80"/>
      </w:pPr>
      <w:r>
        <w:rPr>
          <w:rFonts w:ascii="Calibri" w:hAnsi="Calibri"/>
          <w:b/>
          <w:color w:val="2E75B6"/>
          <w:sz w:val="26"/>
        </w:rPr>
        <w:t>10.11 Enhanced Itemized Bill of Materials (BOM) [Practical Procurement Table]</w:t>
      </w:r>
    </w:p>
    <w:p>
      <w:pPr>
        <w:spacing w:before="0" w:after="120" w:line="276" w:lineRule="auto"/>
      </w:pPr>
      <w:r>
        <w:rPr>
          <w:rFonts w:ascii="Calibri" w:hAnsi="Calibri"/>
          <w:color w:val="333333"/>
          <w:sz w:val="22"/>
        </w:rPr>
        <w:t>The table below itemizes the complete hardware requirements, exact component specifications, quantities, unit/total costs, and recommended procurement vendors for practical project execution: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337"/>
        <w:gridCol w:w="1337"/>
        <w:gridCol w:w="1337"/>
        <w:gridCol w:w="1337"/>
        <w:gridCol w:w="1337"/>
        <w:gridCol w:w="1337"/>
        <w:gridCol w:w="1337"/>
      </w:tblGrid>
      <w:tr>
        <w:trPr>
          <w:tblHeader/>
        </w:trPr>
        <w:tc>
          <w:tcPr>
            <w:tcW w:type="dxa" w:w="1337"/>
            <w:tcMar>
              <w:top w:w="120" w:type="dxa"/>
              <w:bottom w:w="120" w:type="dxa"/>
              <w:left w:w="150" w:type="dxa"/>
              <w:right w:w="150" w:type="dxa"/>
            </w:tcMar>
            <w:shd w:fill="1F4E78"/>
          </w:tcPr>
          <w:p>
            <w:pPr>
              <w:spacing w:before="60" w:after="60" w:line="276" w:lineRule="auto"/>
            </w:pPr>
            <w:r>
              <w:rPr>
                <w:rFonts w:ascii="Calibri" w:hAnsi="Calibri"/>
                <w:b/>
                <w:color w:val="FFFFFF"/>
                <w:sz w:val="19"/>
              </w:rPr>
              <w:t>Category</w:t>
            </w:r>
          </w:p>
        </w:tc>
        <w:tc>
          <w:tcPr>
            <w:tcW w:type="dxa" w:w="1337"/>
            <w:tcMar>
              <w:top w:w="120" w:type="dxa"/>
              <w:bottom w:w="120" w:type="dxa"/>
              <w:left w:w="150" w:type="dxa"/>
              <w:right w:w="150" w:type="dxa"/>
            </w:tcMar>
            <w:shd w:fill="1F4E78"/>
          </w:tcPr>
          <w:p>
            <w:pPr>
              <w:spacing w:before="60" w:after="60" w:line="276" w:lineRule="auto"/>
            </w:pPr>
            <w:r>
              <w:rPr>
                <w:rFonts w:ascii="Calibri" w:hAnsi="Calibri"/>
                <w:b/>
                <w:color w:val="FFFFFF"/>
                <w:sz w:val="19"/>
              </w:rPr>
              <w:t>Item Description &amp; Specification</w:t>
            </w:r>
          </w:p>
        </w:tc>
        <w:tc>
          <w:tcPr>
            <w:tcW w:type="dxa" w:w="1337"/>
            <w:tcMar>
              <w:top w:w="120" w:type="dxa"/>
              <w:bottom w:w="120" w:type="dxa"/>
              <w:left w:w="150" w:type="dxa"/>
              <w:right w:w="150" w:type="dxa"/>
            </w:tcMar>
            <w:shd w:fill="1F4E78"/>
          </w:tcPr>
          <w:p>
            <w:pPr>
              <w:spacing w:before="60" w:after="60" w:line="276" w:lineRule="auto"/>
            </w:pPr>
            <w:r>
              <w:rPr>
                <w:rFonts w:ascii="Calibri" w:hAnsi="Calibri"/>
                <w:b/>
                <w:color w:val="FFFFFF"/>
                <w:sz w:val="19"/>
              </w:rPr>
              <w:t>Qty</w:t>
            </w:r>
          </w:p>
        </w:tc>
        <w:tc>
          <w:tcPr>
            <w:tcW w:type="dxa" w:w="1337"/>
            <w:tcMar>
              <w:top w:w="120" w:type="dxa"/>
              <w:bottom w:w="120" w:type="dxa"/>
              <w:left w:w="150" w:type="dxa"/>
              <w:right w:w="150" w:type="dxa"/>
            </w:tcMar>
            <w:shd w:fill="1F4E78"/>
          </w:tcPr>
          <w:p>
            <w:pPr>
              <w:spacing w:before="60" w:after="60" w:line="276" w:lineRule="auto"/>
            </w:pPr>
            <w:r>
              <w:rPr>
                <w:rFonts w:ascii="Calibri" w:hAnsi="Calibri"/>
                <w:b/>
                <w:color w:val="FFFFFF"/>
                <w:sz w:val="19"/>
              </w:rPr>
              <w:t>Unit Cost (USD)</w:t>
            </w:r>
          </w:p>
        </w:tc>
        <w:tc>
          <w:tcPr>
            <w:tcW w:type="dxa" w:w="1337"/>
            <w:tcMar>
              <w:top w:w="120" w:type="dxa"/>
              <w:bottom w:w="120" w:type="dxa"/>
              <w:left w:w="150" w:type="dxa"/>
              <w:right w:w="150" w:type="dxa"/>
            </w:tcMar>
            <w:shd w:fill="1F4E78"/>
          </w:tcPr>
          <w:p>
            <w:pPr>
              <w:spacing w:before="60" w:after="60" w:line="276" w:lineRule="auto"/>
            </w:pPr>
            <w:r>
              <w:rPr>
                <w:rFonts w:ascii="Calibri" w:hAnsi="Calibri"/>
                <w:b/>
                <w:color w:val="FFFFFF"/>
                <w:sz w:val="19"/>
              </w:rPr>
              <w:t>Unit Cost (INR)</w:t>
            </w:r>
          </w:p>
        </w:tc>
        <w:tc>
          <w:tcPr>
            <w:tcW w:type="dxa" w:w="1337"/>
            <w:tcMar>
              <w:top w:w="120" w:type="dxa"/>
              <w:bottom w:w="120" w:type="dxa"/>
              <w:left w:w="150" w:type="dxa"/>
              <w:right w:w="150" w:type="dxa"/>
            </w:tcMar>
            <w:shd w:fill="1F4E78"/>
          </w:tcPr>
          <w:p>
            <w:pPr>
              <w:spacing w:before="60" w:after="60" w:line="276" w:lineRule="auto"/>
            </w:pPr>
            <w:r>
              <w:rPr>
                <w:rFonts w:ascii="Calibri" w:hAnsi="Calibri"/>
                <w:b/>
                <w:color w:val="FFFFFF"/>
                <w:sz w:val="19"/>
              </w:rPr>
              <w:t>Recommended Vendor</w:t>
            </w:r>
          </w:p>
        </w:tc>
        <w:tc>
          <w:tcPr>
            <w:tcW w:type="dxa" w:w="1337"/>
            <w:tcMar>
              <w:top w:w="120" w:type="dxa"/>
              <w:bottom w:w="120" w:type="dxa"/>
              <w:left w:w="150" w:type="dxa"/>
              <w:right w:w="150" w:type="dxa"/>
            </w:tcMar>
            <w:shd w:fill="1F4E78"/>
          </w:tcPr>
          <w:p>
            <w:pPr>
              <w:spacing w:before="60" w:after="60" w:line="276" w:lineRule="auto"/>
            </w:pPr>
            <w:r>
              <w:rPr>
                <w:rFonts w:ascii="Calibri" w:hAnsi="Calibri"/>
                <w:b/>
                <w:color w:val="FFFFFF"/>
                <w:sz w:val="19"/>
              </w:rPr>
              <w:t>Total Cost (INR)</w:t>
            </w:r>
          </w:p>
        </w:tc>
      </w:tr>
      <w:tr>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EEG Acquisition</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OpenBCI Open-cEEGrid Bundle (Cyton+Daisy 16-Ch + cEEGrid Arrays)</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1</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$3,299.99</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₹2,75,000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Hitech Lab Solutions / OpenBCI</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₹2,75,000</w:t>
            </w:r>
          </w:p>
        </w:tc>
      </w:tr>
      <w:tr>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EEG Acquisition</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Electrode Gel &amp; Spare cEEGrid Flex Adhesive Strips</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$45.00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₹3,750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OpenBCI Shop / Distributor</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₹7,500</w:t>
            </w:r>
          </w:p>
        </w:tc>
      </w:tr>
      <w:tr>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EEG Acquisition</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USB Serial / BLE Dongle Transmission Module</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1</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$25.00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₹2,100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OpenBCI Shop</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₹2,100</w:t>
            </w:r>
          </w:p>
        </w:tc>
      </w:tr>
      <w:tr>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Edge AI Compute</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NVIDIA Jetson Orin Nano Developer Kit (8GB RAM, 40 TOPS)</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1</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$499.00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₹41,500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ElectronicsComp / Robu.in</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₹41,500</w:t>
            </w:r>
          </w:p>
        </w:tc>
      </w:tr>
      <w:tr>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Edge AI Compute</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M.2 NVMe SSD 512GB (Operating System &amp; Data Logs)</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1</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$45.00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₹3,750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Amazon.in / Local Retail</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₹3,750</w:t>
            </w:r>
          </w:p>
        </w:tc>
      </w:tr>
      <w:tr>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Actuation MCU</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ESP32-S3 / ESP32-P4 Dev Board with Header Pins</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$12.00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₹1,000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Robu.in / Quartz Components</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₹2,000</w:t>
            </w:r>
          </w:p>
        </w:tc>
      </w:tr>
      <w:tr>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Motor Drivers</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PCA9685 16-Channel 12-bit PWM Servo Driver (I2C)</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1</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$8.00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₹650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Robu.in / Robocraze</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₹650</w:t>
            </w:r>
          </w:p>
        </w:tc>
      </w:tr>
      <w:tr>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Motor Drivers</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L298N Dual H-Bridge DC Motor Driver Module</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$4.50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₹375</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Robu.in / Quartz Components</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₹750</w:t>
            </w:r>
          </w:p>
        </w:tc>
      </w:tr>
      <w:tr>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Hand Actuators</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MG996R High-Torque Metal Gear Servos (Finger Joints)</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5</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$11.00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₹900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Robu.in / Amazon.in</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₹4,500</w:t>
            </w:r>
          </w:p>
        </w:tc>
      </w:tr>
      <w:tr>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Leg Actuators</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12V High-Torque DC Planetary Gear Motors (50 RPM)</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$22.00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₹1,800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RoboKits India / Robu.in</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₹3,600</w:t>
            </w:r>
          </w:p>
        </w:tc>
      </w:tr>
      <w:tr>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Synthetic Models</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3D Printing Filament (PLA/PETG, 1kg Spools for Hand/Leg)</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3</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$20.00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₹1,650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Robu.in 3D Filament</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₹4,950</w:t>
            </w:r>
          </w:p>
        </w:tc>
      </w:tr>
      <w:tr>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Synthetic Models</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Bowden Cable Tendons, Bearings, &amp; Mechanical Fasteners</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1</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$25.00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₹2,100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Local Hardware / Amazon.in</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₹2,100</w:t>
            </w:r>
          </w:p>
        </w:tc>
      </w:tr>
      <w:tr>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Power Architecture</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3S 11.1V 5000mAh 30C LiPo Battery Pack + Balance Charger</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1</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$65.00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₹5,400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Robu.in RC Store</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₹5,400</w:t>
            </w:r>
          </w:p>
        </w:tc>
      </w:tr>
      <w:tr>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Power Architecture</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12V &amp; 6V Step-Down Buck DC-DC Converter Modules (5A)</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$7.50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₹625</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Robu.in</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₹1,250</w:t>
            </w:r>
          </w:p>
        </w:tc>
      </w:tr>
      <w:tr>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Safety Interlock</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Emergency Stop Heavy-Duty Physical Push Button Switch</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1</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$6.00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₹500</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Industrial Retail / Robu.in</w:t>
            </w:r>
          </w:p>
        </w:tc>
        <w:tc>
          <w:tcPr>
            <w:tcW w:type="dxa" w:w="1337"/>
            <w:tcMar>
              <w:top w:w="120" w:type="dxa"/>
              <w:bottom w:w="120" w:type="dxa"/>
              <w:left w:w="150" w:type="dxa"/>
              <w:right w:w="150" w:type="dxa"/>
            </w:tcMar>
            <w:shd w:fill="F9FBFD"/>
          </w:tcPr>
          <w:p>
            <w:pPr>
              <w:spacing w:before="60" w:after="60" w:line="276" w:lineRule="auto"/>
            </w:pPr>
            <w:r>
              <w:rPr>
                <w:rFonts w:ascii="Calibri" w:hAnsi="Calibri"/>
                <w:color w:val="333333"/>
                <w:sz w:val="19"/>
              </w:rPr>
              <w:t>₹500</w:t>
            </w:r>
          </w:p>
        </w:tc>
      </w:tr>
      <w:tr>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Bench &amp; Wiring</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Breadboards, Jumper Wires, Terminal Blocks, Proto Enclosure</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1</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$30.00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₹2,500</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Quartz Components</w:t>
            </w:r>
          </w:p>
        </w:tc>
        <w:tc>
          <w:tcPr>
            <w:tcW w:type="dxa" w:w="1337"/>
            <w:tcMar>
              <w:top w:w="120" w:type="dxa"/>
              <w:bottom w:w="120" w:type="dxa"/>
              <w:left w:w="150" w:type="dxa"/>
              <w:right w:w="150" w:type="dxa"/>
            </w:tcMar>
            <w:shd w:fill="FFFFFF"/>
          </w:tcPr>
          <w:p>
            <w:pPr>
              <w:spacing w:before="60" w:after="60" w:line="276" w:lineRule="auto"/>
            </w:pPr>
            <w:r>
              <w:rPr>
                <w:rFonts w:ascii="Calibri" w:hAnsi="Calibri"/>
                <w:color w:val="333333"/>
                <w:sz w:val="19"/>
              </w:rPr>
              <w:t>₹2,500</w:t>
            </w:r>
          </w:p>
        </w:tc>
      </w:tr>
    </w:tbl>
    <w:p>
      <w:pPr>
        <w:spacing w:after="120"/>
      </w:pPr>
    </w:p>
    <w:p>
      <w:pPr>
        <w:keepNext/>
        <w:spacing w:before="280" w:after="80"/>
      </w:pPr>
      <w:r>
        <w:rPr>
          <w:rFonts w:ascii="Calibri" w:hAnsi="Calibri"/>
          <w:b/>
          <w:color w:val="2E75B6"/>
          <w:sz w:val="26"/>
        </w:rPr>
        <w:t>10.12 Budget Analysis &amp; Cost Breakdown</w:t>
      </w:r>
    </w:p>
    <w:p>
      <w:pPr>
        <w:spacing w:before="0" w:after="120" w:line="276" w:lineRule="auto"/>
      </w:pPr>
      <w:r>
        <w:rPr>
          <w:rFonts w:ascii="Calibri" w:hAnsi="Calibri"/>
          <w:color w:val="333333"/>
          <w:sz w:val="22"/>
        </w:rPr>
        <w:t>Section 7.3 prices the mechanical/electronic subsystem at roughly US$100, based on Arduino/ESP32-class designs. Incorporating an NVIDIA Jetson Orin edge-AI computer and OpenBCI Open-cEEGrid headset adjusts the total system hardware budget as follows:</w:t>
      </w:r>
    </w:p>
    <w:p>
      <w:pPr>
        <w:pStyle w:val="ListParagraph"/>
        <w:spacing w:before="0" w:after="60" w:line="276" w:lineRule="auto"/>
      </w:pPr>
      <w:r>
        <w:rPr>
          <w:rFonts w:ascii="Calibri" w:hAnsi="Calibri"/>
          <w:color w:val="333333"/>
          <w:sz w:val="22"/>
        </w:rPr>
        <w:t>EEG Acquisition System (OpenBCI Open-cEEGrid Bundle): $3,299.99 (fixed list price).</w:t>
      </w:r>
    </w:p>
    <w:p>
      <w:pPr>
        <w:pStyle w:val="ListParagraph"/>
        <w:spacing w:before="0" w:after="60" w:line="276" w:lineRule="auto"/>
      </w:pPr>
      <w:r>
        <w:rPr>
          <w:rFonts w:ascii="Calibri" w:hAnsi="Calibri"/>
          <w:color w:val="333333"/>
          <w:sz w:val="22"/>
        </w:rPr>
        <w:t>Edge-AI Compute (NVIDIA Jetson Orin Nano + NVMe SSD): $544.00 USD (~₹45,250 INR).</w:t>
      </w:r>
    </w:p>
    <w:p>
      <w:pPr>
        <w:pStyle w:val="ListParagraph"/>
        <w:spacing w:before="0" w:after="60" w:line="276" w:lineRule="auto"/>
      </w:pPr>
      <w:r>
        <w:rPr>
          <w:rFonts w:ascii="Calibri" w:hAnsi="Calibri"/>
          <w:color w:val="333333"/>
          <w:sz w:val="22"/>
        </w:rPr>
        <w:t>Actuation, Microcontroller, &amp; Synthetic Testbed: $286.00 USD (~₹23,800 INR).</w:t>
      </w:r>
    </w:p>
    <w:p>
      <w:pPr>
        <w:spacing w:before="0" w:after="120" w:line="276" w:lineRule="auto"/>
      </w:pPr>
      <w:r>
        <w:rPr>
          <w:rFonts w:ascii="Calibri" w:hAnsi="Calibri"/>
          <w:color w:val="333333"/>
          <w:sz w:val="22"/>
        </w:rPr>
        <w:t>Total Estimated System Hardware Cost: ~$4,130 USD / ₹3,59,000 INR.</w:t>
      </w:r>
    </w:p>
    <w:p>
      <w:pPr>
        <w:keepNext/>
        <w:spacing w:before="280" w:after="80"/>
      </w:pPr>
      <w:r>
        <w:rPr>
          <w:rFonts w:ascii="Calibri" w:hAnsi="Calibri"/>
          <w:b/>
          <w:color w:val="2E75B6"/>
          <w:sz w:val="26"/>
        </w:rPr>
        <w:t>10.13 India Availability and Sourcing Analysis</w:t>
      </w:r>
    </w:p>
    <w:p>
      <w:pPr>
        <w:spacing w:before="0" w:after="120" w:line="276" w:lineRule="auto"/>
      </w:pPr>
      <w:r>
        <w:rPr>
          <w:rFonts w:ascii="Calibri" w:hAnsi="Calibri"/>
          <w:color w:val="333333"/>
          <w:sz w:val="22"/>
        </w:rPr>
        <w:t>All hardware categories listed in Sections 10.1–10.11 are obtainable within India, either from Indian-registered OpenBCI/NVIDIA distributors, from Indian electronics retailers carrying global components, or from local fabricators.</w:t>
      </w:r>
    </w:p>
    <w:p>
      <w:pPr>
        <w:keepNext/>
        <w:spacing w:before="200" w:after="60"/>
      </w:pPr>
      <w:r>
        <w:rPr>
          <w:rFonts w:ascii="Calibri" w:hAnsi="Calibri"/>
          <w:b/>
          <w:color w:val="3C3C3C"/>
          <w:sz w:val="23"/>
        </w:rPr>
        <w:t>10.13.1 Summary Sourcing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trPr>
        <w:tc>
          <w:tcPr>
            <w:tcW w:type="dxa" w:w="2340"/>
            <w:tcMar>
              <w:top w:w="120" w:type="dxa"/>
              <w:bottom w:w="120" w:type="dxa"/>
              <w:left w:w="150" w:type="dxa"/>
              <w:right w:w="150" w:type="dxa"/>
            </w:tcMar>
            <w:shd w:fill="1F4E78"/>
          </w:tcPr>
          <w:p>
            <w:pPr>
              <w:spacing w:before="60" w:after="60" w:line="276" w:lineRule="auto"/>
            </w:pPr>
            <w:r>
              <w:rPr>
                <w:rFonts w:ascii="Calibri" w:hAnsi="Calibri"/>
                <w:b/>
                <w:color w:val="FFFFFF"/>
                <w:sz w:val="19"/>
              </w:rPr>
              <w:t>Category</w:t>
            </w:r>
          </w:p>
        </w:tc>
        <w:tc>
          <w:tcPr>
            <w:tcW w:type="dxa" w:w="2340"/>
            <w:tcMar>
              <w:top w:w="120" w:type="dxa"/>
              <w:bottom w:w="120" w:type="dxa"/>
              <w:left w:w="150" w:type="dxa"/>
              <w:right w:w="150" w:type="dxa"/>
            </w:tcMar>
            <w:shd w:fill="1F4E78"/>
          </w:tcPr>
          <w:p>
            <w:pPr>
              <w:spacing w:before="60" w:after="60" w:line="276" w:lineRule="auto"/>
            </w:pPr>
            <w:r>
              <w:rPr>
                <w:rFonts w:ascii="Calibri" w:hAnsi="Calibri"/>
                <w:b/>
                <w:color w:val="FFFFFF"/>
                <w:sz w:val="19"/>
              </w:rPr>
              <w:t>India Availability</w:t>
            </w:r>
          </w:p>
        </w:tc>
        <w:tc>
          <w:tcPr>
            <w:tcW w:type="dxa" w:w="2340"/>
            <w:tcMar>
              <w:top w:w="120" w:type="dxa"/>
              <w:bottom w:w="120" w:type="dxa"/>
              <w:left w:w="150" w:type="dxa"/>
              <w:right w:w="150" w:type="dxa"/>
            </w:tcMar>
            <w:shd w:fill="1F4E78"/>
          </w:tcPr>
          <w:p>
            <w:pPr>
              <w:spacing w:before="60" w:after="60" w:line="276" w:lineRule="auto"/>
            </w:pPr>
            <w:r>
              <w:rPr>
                <w:rFonts w:ascii="Calibri" w:hAnsi="Calibri"/>
                <w:b/>
                <w:color w:val="FFFFFF"/>
                <w:sz w:val="19"/>
              </w:rPr>
              <w:t>Indian Source(s)</w:t>
            </w:r>
          </w:p>
        </w:tc>
        <w:tc>
          <w:tcPr>
            <w:tcW w:type="dxa" w:w="2340"/>
            <w:tcMar>
              <w:top w:w="120" w:type="dxa"/>
              <w:bottom w:w="120" w:type="dxa"/>
              <w:left w:w="150" w:type="dxa"/>
              <w:right w:w="150" w:type="dxa"/>
            </w:tcMar>
            <w:shd w:fill="1F4E78"/>
          </w:tcPr>
          <w:p>
            <w:pPr>
              <w:spacing w:before="60" w:after="60" w:line="276" w:lineRule="auto"/>
            </w:pPr>
            <w:r>
              <w:rPr>
                <w:rFonts w:ascii="Calibri" w:hAnsi="Calibri"/>
                <w:b/>
                <w:color w:val="FFFFFF"/>
                <w:sz w:val="19"/>
              </w:rPr>
              <w:t>Approx. India Price</w:t>
            </w:r>
          </w:p>
        </w:tc>
      </w:tr>
      <w:tr>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OpenBCI Open-cEEGrid Bundle</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Yes — domestic reseller or direct import</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Hitech Lab Solutions (Chennai), BVM India; or shop.openbci.com direct-ship</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₹2,00,000 (distributor) to ≈₹2,75,000–2,85,000 (import incl. duty)</w:t>
            </w:r>
          </w:p>
        </w:tc>
      </w:tr>
      <w:tr>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Jetson Orin Nano (Dev Kit)</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Yes — multiple domestic stockists</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ElectronicsComp.com, Tanna TechBiz, Robu.in, Avinya (Pune), Amazon.in</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≈₹33,000–₹56,000 (module/dev-kit, vendor-dependent)</w:t>
            </w:r>
          </w:p>
        </w:tc>
      </w:tr>
      <w:tr>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Arduino/ESP32 + H-bridge/motor drivers</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Yes — widely stocked</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Robu.in, RoboKits India, Robocraze, Quartz Components, Amazon.in/Flipkart</w:t>
            </w:r>
          </w:p>
        </w:tc>
        <w:tc>
          <w:tcPr>
            <w:tcW w:type="dxa" w:w="2340"/>
            <w:tcMar>
              <w:top w:w="120" w:type="dxa"/>
              <w:bottom w:w="120" w:type="dxa"/>
              <w:left w:w="150" w:type="dxa"/>
              <w:right w:w="150" w:type="dxa"/>
            </w:tcMar>
            <w:shd w:fill="F9FBFD"/>
          </w:tcPr>
          <w:p>
            <w:pPr>
              <w:spacing w:before="60" w:after="60" w:line="276" w:lineRule="auto"/>
            </w:pPr>
            <w:r>
              <w:rPr>
                <w:rFonts w:ascii="Calibri" w:hAnsi="Calibri"/>
                <w:color w:val="333333"/>
                <w:sz w:val="19"/>
              </w:rPr>
              <w:t>₹300–₹1,500 per component (India-typical retail)</w:t>
            </w:r>
          </w:p>
        </w:tc>
      </w:tr>
      <w:tr>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Synthetic hand/leg models (3D-printed)</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Yes — locally fabricated</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Robu.in (filament), campus/local 3D-print service bureaus</w:t>
            </w:r>
          </w:p>
        </w:tc>
        <w:tc>
          <w:tcPr>
            <w:tcW w:type="dxa" w:w="2340"/>
            <w:tcMar>
              <w:top w:w="120" w:type="dxa"/>
              <w:bottom w:w="120" w:type="dxa"/>
              <w:left w:w="150" w:type="dxa"/>
              <w:right w:w="150" w:type="dxa"/>
            </w:tcMar>
            <w:shd w:fill="FFFFFF"/>
          </w:tcPr>
          <w:p>
            <w:pPr>
              <w:spacing w:before="60" w:after="60" w:line="276" w:lineRule="auto"/>
            </w:pPr>
            <w:r>
              <w:rPr>
                <w:rFonts w:ascii="Calibri" w:hAnsi="Calibri"/>
                <w:color w:val="333333"/>
                <w:sz w:val="19"/>
              </w:rPr>
              <w:t>₹3,000–₹8,000 (filament + print time, both models)</w:t>
            </w:r>
          </w:p>
        </w:tc>
      </w:tr>
    </w:tbl>
    <w:p>
      <w:pPr>
        <w:spacing w:after="120"/>
      </w:pPr>
    </w:p>
    <w:p>
      <w:pPr>
        <w:keepNext/>
        <w:spacing w:before="360" w:after="120"/>
      </w:pPr>
      <w:r>
        <w:rPr>
          <w:rFonts w:ascii="Calibri" w:hAnsi="Calibri"/>
          <w:b/>
          <w:color w:val="1F4E78"/>
          <w:sz w:val="32"/>
        </w:rPr>
        <w:t>11. Conclusion</w:t>
      </w:r>
    </w:p>
    <w:p>
      <w:pPr>
        <w:spacing w:before="0" w:after="120" w:line="276" w:lineRule="auto"/>
      </w:pPr>
      <w:r>
        <w:rPr>
          <w:rFonts w:ascii="Calibri" w:hAnsi="Calibri"/>
          <w:color w:val="333333"/>
          <w:sz w:val="22"/>
        </w:rPr>
        <w:t>Switching to the OpenBCI Open-cEEGrid system and synthetic hand/leg models does not change the underlying pipeline concept, but it does change the honest feasibility picture in five concrete ways. It substantially improves data quality and rigor, since the system provides 16 real EEG channels with fully open raw-data access rather than a proprietary vendor score. It shifts the realistic control paradigm from a generic “attention/engagement” framing to specific, literature-validated signals for this exact electrode placement — tactile/auditory P300, jaw-clench events, and cognitive-workload/flow-state band power — while leaving the core limitation unchanged: true motor-imagery (ERD/ERS) decoding remains unsupported, because around-the-ear electrodes do not cover motor cortex any better than a frontal montage would, and in some respects less so. It strengthens the safety-interlock design, since a 2025 study specifically validates periauricular electrodes for eye-tracking and blink detection, giving the blink-veto concept direct hardware-specific support. It raises cost substantially, from a low-cost consumer-headset assumption to the $3,299.99 confirmed price of the Open-cEEGrid bundle, which should be reflected explicitly in project budgeting. And it leaves the near-term safety and regulatory picture essentially unchanged and favorable, since synthetic actuation targets keep any human involvement limited to low-risk, non-invasive EEG data collection.</w:t>
      </w:r>
    </w:p>
    <w:p>
      <w:pPr>
        <w:spacing w:before="0" w:after="120" w:line="276" w:lineRule="auto"/>
      </w:pPr>
      <w:r>
        <w:rPr>
          <w:rFonts w:ascii="Calibri" w:hAnsi="Calibri"/>
          <w:color w:val="333333"/>
          <w:sz w:val="22"/>
        </w:rPr>
        <w:t>On balance, this is a favorable and, if anything, more rigorous configuration for an initial project stage than the original consumer-headset assumption: it converts an ambitious, higher-risk clinical-device project into a well-scoped, quickly achievable feasibility study, grounded in real inspectable data, that can still support a publishable paper and a narrowly claimed patent — provided the higher hardware cost is budgeted for, the reporting is explicit that human-worn clinical validation remains future work, and any claimed classifier or trigger paradigm matches what the around-the-ear montage can actually support. The phased roadmap in Section 9 — synthetic hand model first, then trigger-reliability hardening, then synthetic leg model, then a unified dual-mode testbed — is recommended to build toward that outcome in a manageable sequence.</w:t>
      </w:r>
    </w:p>
    <w:p>
      <w:pPr>
        <w:keepNext/>
        <w:spacing w:before="360" w:after="120"/>
      </w:pPr>
      <w:r>
        <w:rPr>
          <w:rFonts w:ascii="Calibri" w:hAnsi="Calibri"/>
          <w:b/>
          <w:color w:val="1F4E78"/>
          <w:sz w:val="32"/>
        </w:rPr>
        <w:t>References</w:t>
      </w:r>
    </w:p>
    <w:p>
      <w:pPr>
        <w:spacing w:before="0" w:after="120" w:line="276" w:lineRule="auto"/>
      </w:pPr>
      <w:r>
        <w:rPr>
          <w:rFonts w:ascii="Calibri" w:hAnsi="Calibri"/>
          <w:color w:val="333333"/>
          <w:sz w:val="22"/>
        </w:rPr>
        <w:t>1. Abstract</w:t>
      </w:r>
    </w:p>
    <w:p>
      <w:pPr>
        <w:spacing w:before="0" w:after="120" w:line="276" w:lineRule="auto"/>
      </w:pPr>
      <w:r>
        <w:rPr>
          <w:rFonts w:ascii="Calibri" w:hAnsi="Calibri"/>
          <w:color w:val="333333"/>
          <w:sz w:val="22"/>
        </w:rPr>
        <w:t>This report consolidates current literature on electroencephalography (EEG)-driven brain-computer interface (BCI) systems that actuate exoskeletons for neurorehabilitation, and evaluates the technical, clinical, and regulatory feasibility of a proposed dual-module testbed: an OpenBCI Open-cEEGrid system (a 16-channel Cyton+Daisy acquisition board paired with flexible, around-the-ear cEEGrid electrode arrays, with full open access to raw EEG via the OpenBCI GUI) that streams signals through a microcontroller-based decoding pipeline to drive either (a) a synthetic (mechanical/benchtop) hand model or (b) a synthetic leg model, as a precursor validation stage toward eventual patient-worn hand and leg exoskeletons for stroke, spinal cord injury (SCI), and other motor-impairment rehabilitation.</w:t>
      </w:r>
    </w:p>
    <w:p>
      <w:pPr>
        <w:spacing w:before="0" w:after="120" w:line="276" w:lineRule="auto"/>
      </w:pPr>
      <w:r>
        <w:rPr>
          <w:rFonts w:ascii="Calibri" w:hAnsi="Calibri"/>
          <w:color w:val="333333"/>
          <w:sz w:val="22"/>
        </w:rPr>
        <w:t>Because the cEEGrid electrode array is positioned around the ear (periauricular) rather than over central motor cortex, and because the actuation targets are synthetic models rather than human limbs, this configuration is best framed as an engineering feasibility and control-architecture demonstrator rather than a clinical device at this stage. Around-the-ear placement does not provide coverage of the C3/Cz/C4 sensorimotor sites needed for classical motor-imagery decoding, but it is independently validated in the peer-reviewed literature for several other signal types that are directly useful for a discrete-trigger control scheme, including tactile and auditory P300 event-related potentials, jaw-clench events, cognitive-workload/flow-state monitoring, sleep-stage classification, and eye-movement/blink detection through periauricular electro-oculography (EOG). The review below covers signal acquisition modalities, classification algorithms, embedded control architectures, and the existing patent landscape, and closes with a gap analysis and phased feasibility roadmap intended to support either a research-paper submission or a narrowly scoped patent application (utility/design) for the proposed system.</w:t>
      </w:r>
    </w:p>
    <w:p>
      <w:pPr>
        <w:keepNext/>
        <w:spacing w:before="280" w:after="80"/>
      </w:pPr>
      <w:r>
        <w:rPr>
          <w:rFonts w:ascii="Calibri" w:hAnsi="Calibri"/>
          <w:b/>
          <w:color w:val="2E75B6"/>
          <w:sz w:val="26"/>
        </w:rPr>
        <w:t>1.1 Direct Answer: Does the Hardware Choice Change the Feasibility Picture?</w:t>
      </w:r>
    </w:p>
    <w:p>
      <w:pPr>
        <w:spacing w:before="0" w:after="120" w:line="276" w:lineRule="auto"/>
      </w:pPr>
      <w:r>
        <w:rPr>
          <w:rFonts w:ascii="Calibri" w:hAnsi="Calibri"/>
          <w:color w:val="333333"/>
          <w:sz w:val="22"/>
        </w:rPr>
        <w:t>Yes, in specific and important ways, while the overall pipeline shape (EEG → conditioning → microcontroller → classifier → actuator) stays the same. Five things change:</w:t>
      </w:r>
    </w:p>
    <w:p>
      <w:pPr>
        <w:spacing w:before="0" w:after="120" w:line="276" w:lineRule="auto"/>
      </w:pPr>
      <w:r>
        <w:rPr>
          <w:rFonts w:ascii="Calibri" w:hAnsi="Calibri"/>
          <w:color w:val="333333"/>
          <w:sz w:val="22"/>
        </w:rPr>
        <w:t>Control paradigm and realistic signal targets: true motor-imagery ERD/ERS decoding still is not supported, since around-the-ear electrodes are, if anything, farther from motor cortex (C3/Cz/C4) than a frontal montage would be. What changes is which discrete-trigger paradigms are actually literature-validated for this exact hardware class: tactile/auditory P300 detection, deliberate jaw-clench events, and cognitive-workload/flow-state band-power changes are all published, peer-reviewed use cases for cEEGrid — a materially stronger evidence base than a single vendor-defined “attention/engagement” score.</w:t>
      </w:r>
    </w:p>
    <w:p>
      <w:pPr>
        <w:spacing w:before="0" w:after="120" w:line="276" w:lineRule="auto"/>
      </w:pPr>
      <w:r>
        <w:rPr>
          <w:rFonts w:ascii="Calibri" w:hAnsi="Calibri"/>
          <w:color w:val="333333"/>
          <w:sz w:val="22"/>
        </w:rPr>
        <w:t>Data access and rigor improve substantially: the Open-cEEGrid bundle provides 16 real EEG channels with free, open access to raw data through the OpenBCI GUI and BrainFlow, rather than a proprietary, closed attention index. This is a meaningful upgrade for both the credibility of any published classifier work and the legitimacy of a patent's technical description, since claims can be grounded in actual signal features rather than a vendor's undocumented internal algorithm.</w:t>
      </w:r>
    </w:p>
    <w:p>
      <w:pPr>
        <w:spacing w:before="0" w:after="120" w:line="276" w:lineRule="auto"/>
      </w:pPr>
      <w:r>
        <w:rPr>
          <w:rFonts w:ascii="Calibri" w:hAnsi="Calibri"/>
          <w:color w:val="333333"/>
          <w:sz w:val="22"/>
        </w:rPr>
        <w:t>Cost rises substantially: the Open-cEEGrid Around-the-Ear EEG Bundle (Cyton+Daisy board, electrodes, and accessories) lists at $3,299.99, roughly 15–30× higher than the tens-to-low-hundreds-of-dollars assumed for a basic consumer headset. This changes the project budget and should be reflected explicitly in any funding or resourcing plan, even though it remains far cheaper than a patient-rated, load-bearing exoskeleton and a clinical trial.</w:t>
      </w:r>
    </w:p>
    <w:p>
      <w:pPr>
        <w:spacing w:before="0" w:after="120" w:line="276" w:lineRule="auto"/>
      </w:pPr>
      <w:r>
        <w:rPr>
          <w:rFonts w:ascii="Calibri" w:hAnsi="Calibri"/>
          <w:color w:val="333333"/>
          <w:sz w:val="22"/>
        </w:rPr>
        <w:t>The EOG-based safety interlock design gains direct hardware-specific support: a 2025 study (King et al., Nature) specifically validates periauricular electrodes of this type for eye-tracking and blink detection, so the blink-veto safety concept is now grounded in literature written about this exact electrode placement, rather than resting only on general hybrid EEG/EOG precedent from unrelated headset types.</w:t>
      </w:r>
    </w:p>
    <w:p>
      <w:pPr>
        <w:spacing w:before="0" w:after="120" w:line="276" w:lineRule="auto"/>
      </w:pPr>
      <w:r>
        <w:rPr>
          <w:rFonts w:ascii="Calibri" w:hAnsi="Calibri"/>
          <w:color w:val="333333"/>
          <w:sz w:val="22"/>
        </w:rPr>
        <w:t>Novelty and claim framing narrows in the same direction as before: the strongest paper/patent contribution remains the control-architecture and dual-limb-testbed demonstration itself, not a clinical rehabilitation outcome, since no patient is in the loop until a later phase.</w:t>
      </w:r>
    </w:p>
    <w:p>
      <w:pPr>
        <w:spacing w:before="0" w:after="120" w:line="276" w:lineRule="auto"/>
      </w:pPr>
      <w:r>
        <w:rPr>
          <w:rFonts w:ascii="Calibri" w:hAnsi="Calibri"/>
          <w:color w:val="333333"/>
          <w:sz w:val="22"/>
        </w:rPr>
        <w:t>2. Introduction and Objectives</w:t>
      </w:r>
    </w:p>
    <w:p>
      <w:pPr>
        <w:spacing w:before="0" w:after="120" w:line="276" w:lineRule="auto"/>
      </w:pPr>
      <w:r>
        <w:rPr>
          <w:rFonts w:ascii="Calibri" w:hAnsi="Calibri"/>
          <w:color w:val="333333"/>
          <w:sz w:val="22"/>
        </w:rPr>
        <w:t>Motor impairment following stroke, spinal cord injury, or traumatic brain injury frequently disrupts the corticospinal pathways that translate movement intention into muscle action, while often leaving the intention itself — detectable as EEG activity over sensorimotor cortex — partially intact. EEG-driven exoskeletons attempt to close this loop: they decode the intention (typically via motor imagery, attention, or movement-related cortical potentials) and use it to trigger an external actuator that performs or assists the intended movement, reinforcing activity-dependent neuroplasticity that is considered central to recovery.</w:t>
      </w:r>
    </w:p>
    <w:p>
      <w:pPr>
        <w:spacing w:before="0" w:after="120" w:line="276" w:lineRule="auto"/>
      </w:pPr>
      <w:r>
        <w:rPr>
          <w:rFonts w:ascii="Calibri" w:hAnsi="Calibri"/>
          <w:color w:val="333333"/>
          <w:sz w:val="22"/>
        </w:rPr>
        <w:t>The proposed project extends this established approach into a single architecture that can address both upper-limb (hand/finger flexion-extension) and lower-limb (gait/joint) rehabilitation, using a common EEG-acquisition-to-microcontroller pipeline with a swappable actuator module (glove or leg exoskeleton). The objectives of this report are to:</w:t>
      </w:r>
    </w:p>
    <w:p>
      <w:pPr>
        <w:spacing w:before="0" w:after="120" w:line="276" w:lineRule="auto"/>
      </w:pPr>
      <w:r>
        <w:rPr>
          <w:rFonts w:ascii="Calibri" w:hAnsi="Calibri"/>
          <w:color w:val="333333"/>
          <w:sz w:val="22"/>
        </w:rPr>
        <w:t>Summarize the state of the art in EEG-controlled hand exoskeletons and EEG-controlled leg/gait exoskeletons separately, since the two branches differ in signal paradigms, safety requirements, and mechanical design.</w:t>
      </w:r>
    </w:p>
    <w:p>
      <w:pPr>
        <w:spacing w:before="0" w:after="120" w:line="276" w:lineRule="auto"/>
      </w:pPr>
      <w:r>
        <w:rPr>
          <w:rFonts w:ascii="Calibri" w:hAnsi="Calibri"/>
          <w:color w:val="333333"/>
          <w:sz w:val="22"/>
        </w:rPr>
        <w:t>Identify the classification algorithms and embedded hardware choices that are currently viable for real-time, low-cost, wearable deployment.</w:t>
      </w:r>
    </w:p>
    <w:p>
      <w:pPr>
        <w:spacing w:before="0" w:after="120" w:line="276" w:lineRule="auto"/>
      </w:pPr>
      <w:r>
        <w:rPr>
          <w:rFonts w:ascii="Calibri" w:hAnsi="Calibri"/>
          <w:color w:val="333333"/>
          <w:sz w:val="22"/>
        </w:rPr>
        <w:t>Map the existing patent landscape to identify freedom-to-operate risks and residual novelty.</w:t>
      </w:r>
    </w:p>
    <w:p>
      <w:pPr>
        <w:spacing w:before="0" w:after="120" w:line="276" w:lineRule="auto"/>
      </w:pPr>
      <w:r>
        <w:rPr>
          <w:rFonts w:ascii="Calibri" w:hAnsi="Calibri"/>
          <w:color w:val="333333"/>
          <w:sz w:val="22"/>
        </w:rPr>
        <w:t>Assess technical, cost, clinical, and regulatory feasibility for both modules, and propose a phased development roadmap.</w:t>
      </w:r>
    </w:p>
    <w:p>
      <w:pPr>
        <w:spacing w:before="0" w:after="120" w:line="276" w:lineRule="auto"/>
      </w:pPr>
      <w:r>
        <w:rPr>
          <w:rFonts w:ascii="Calibri" w:hAnsi="Calibri"/>
          <w:color w:val="333333"/>
          <w:sz w:val="22"/>
        </w:rPr>
        <w:t>3. System Concept Overview</w:t>
      </w:r>
    </w:p>
    <w:p>
      <w:pPr>
        <w:spacing w:before="0" w:after="120" w:line="276" w:lineRule="auto"/>
      </w:pPr>
      <w:r>
        <w:rPr>
          <w:rFonts w:ascii="Calibri" w:hAnsi="Calibri"/>
          <w:color w:val="333333"/>
          <w:sz w:val="22"/>
        </w:rPr>
        <w:t>The envisioned pipeline is common to both branches of the project, with the OpenBCI Open-cEEGrid system and synthetic actuation targets specified below:</w:t>
      </w:r>
    </w:p>
    <w:p>
      <w:pPr>
        <w:spacing w:before="0" w:after="120" w:line="276" w:lineRule="auto"/>
      </w:pPr>
      <w:r>
        <w:rPr>
          <w:rFonts w:ascii="Calibri" w:hAnsi="Calibri"/>
          <w:color w:val="333333"/>
          <w:sz w:val="22"/>
        </w:rPr>
        <w:t>EEG Acquisition — the OpenBCI Open-cEEGrid system: a 16-channel Cyton+Daisy acquisition board paired with flexible cEEGrid electrode arrays worn around each ear (periauricular placement), rather than a research-grade cap with direct motor-cortex coverage or a proprietary single-index consumer device. It provides full, free access to raw multichannel EEG through the open-source OpenBCI GUI and the BrainFlow API, rather than a closed vendor-defined score.</w:t>
      </w:r>
    </w:p>
    <w:p>
      <w:pPr>
        <w:spacing w:before="0" w:after="120" w:line="276" w:lineRule="auto"/>
      </w:pPr>
      <w:r>
        <w:rPr>
          <w:rFonts w:ascii="Calibri" w:hAnsi="Calibri"/>
          <w:color w:val="333333"/>
          <w:sz w:val="22"/>
        </w:rPr>
        <w:t>Signal Conditioning — analog front-end filtering (band-pass approximately 0.5–45 Hz, notch filtering for mains interference, and artifact rejection). Around-the-ear sites are comparatively less prone to frontalis-muscle contamination than a forehead montage, but are close to the temporalis muscle and jaw, which is precisely why deliberate jaw-clench events are both a documented artifact source and, used intentionally, a validated discrete command signal for this electrode placement.</w:t>
      </w:r>
    </w:p>
    <w:p>
      <w:pPr>
        <w:spacing w:before="0" w:after="120" w:line="276" w:lineRule="auto"/>
      </w:pPr>
      <w:r>
        <w:rPr>
          <w:rFonts w:ascii="Calibri" w:hAnsi="Calibri"/>
          <w:color w:val="333333"/>
          <w:sz w:val="22"/>
        </w:rPr>
        <w:t>Feature Extraction &amp; Classification — given the around-the-ear-only montage, the realistic decoding targets are the paradigms independently validated for cEEGrid: tactile or auditory P300 event-related potentials, jaw-clench detection, and cognitive-workload/flow-state band-power changes (notably temporal alpha power) — not a full CSP/EEGNet motor-imagery pipeline, which assumes C3/Cz/C4 coverage this electrode placement does not provide.</w:t>
      </w:r>
    </w:p>
    <w:p>
      <w:pPr>
        <w:spacing w:before="0" w:after="120" w:line="276" w:lineRule="auto"/>
      </w:pPr>
      <w:r>
        <w:rPr>
          <w:rFonts w:ascii="Calibri" w:hAnsi="Calibri"/>
          <w:color w:val="333333"/>
          <w:sz w:val="22"/>
        </w:rPr>
        <w:t>Embedded Decision Layer — a microcontroller (e.g., Arduino/ESP32-class MCU) receives the classifier output and issues an actuation command; a secondary confirmation signal, such as periauricular EOG-based blink detection (now independently validated for this electrode class), a manual switch, or a timing window, can serve as a safety interlock.</w:t>
      </w:r>
    </w:p>
    <w:p>
      <w:pPr>
        <w:spacing w:before="0" w:after="120" w:line="276" w:lineRule="auto"/>
      </w:pPr>
      <w:r>
        <w:rPr>
          <w:rFonts w:ascii="Calibri" w:hAnsi="Calibri"/>
          <w:color w:val="333333"/>
          <w:sz w:val="22"/>
        </w:rPr>
        <w:t>Actuation on Synthetic Models — rather than a patient-worn glove or load-bearing leg exoskeleton, the initial actuation targets are synthetic (3D-printed or mechanical mannequin-style) hand and leg models: servo- or Bowden-cable-driven finger linkages on a benchtop hand model, and motor-driven joint linkages on a benchtop leg/gait model, allowing full-speed iteration and testing without any patient-safety constraint.</w:t>
      </w:r>
    </w:p>
    <w:p>
      <w:pPr>
        <w:spacing w:before="0" w:after="120" w:line="276" w:lineRule="auto"/>
      </w:pPr>
      <w:r>
        <w:rPr>
          <w:rFonts w:ascii="Calibri" w:hAnsi="Calibri"/>
          <w:color w:val="333333"/>
          <w:sz w:val="22"/>
        </w:rPr>
        <w:t>Because the hand and leg branches diverge sharply in existing literature, they are reviewed separately below before being compared on a common feasibility basis; the following subsection addresses the Open-cEEGrid and synthetic-model implications directly.</w:t>
      </w:r>
    </w:p>
    <w:p>
      <w:pPr>
        <w:keepNext/>
        <w:spacing w:before="280" w:after="80"/>
      </w:pPr>
      <w:r>
        <w:rPr>
          <w:rFonts w:ascii="Calibri" w:hAnsi="Calibri"/>
          <w:b/>
          <w:color w:val="2E75B6"/>
          <w:sz w:val="26"/>
        </w:rPr>
        <w:t>3.1 What Changes With OpenBCI Open-cEEGrid + Synthetic Models</w:t>
      </w:r>
    </w:p>
    <w:p>
      <w:pPr>
        <w:spacing w:before="0" w:after="120" w:line="276" w:lineRule="auto"/>
      </w:pPr>
      <w:r>
        <w:rPr>
          <w:rFonts w:ascii="Calibri" w:hAnsi="Calibri"/>
          <w:color w:val="333333"/>
          <w:sz w:val="22"/>
        </w:rPr>
        <w:t>In short: the pipeline concept is unchanged, but the achievable control fidelity is still capped at discrete, event-based triggering rather than fine motor-imagery decoding; data quality and openness improve markedly; cost rises relative to a consumer-headset assumption; and the near-term risk and regulatory burden remain low because no patient is in the loop yet. The most honest framing for both a paper and a patent remains a feasibility/testbed contribution rather than a clinical-outcome claim.</w:t>
      </w:r>
    </w:p>
    <w:p>
      <w:pPr>
        <w:spacing w:before="0" w:after="120" w:line="276" w:lineRule="auto"/>
      </w:pPr>
      <w:r>
        <w:rPr>
          <w:rFonts w:ascii="Calibri" w:hAnsi="Calibri"/>
          <w:color w:val="333333"/>
          <w:sz w:val="22"/>
        </w:rPr>
        <w:t>4. Literature Review</w:t>
      </w:r>
    </w:p>
    <w:p>
      <w:pPr>
        <w:keepNext/>
        <w:spacing w:before="280" w:after="80"/>
      </w:pPr>
      <w:r>
        <w:rPr>
          <w:rFonts w:ascii="Calibri" w:hAnsi="Calibri"/>
          <w:b/>
          <w:color w:val="2E75B6"/>
          <w:sz w:val="26"/>
        </w:rPr>
        <w:t>4.1 EEG Signal Paradigms Used for Exoskeleton Control</w:t>
      </w:r>
    </w:p>
    <w:p>
      <w:pPr>
        <w:spacing w:before="0" w:after="120" w:line="276" w:lineRule="auto"/>
      </w:pPr>
      <w:r>
        <w:rPr>
          <w:rFonts w:ascii="Calibri" w:hAnsi="Calibri"/>
          <w:color w:val="333333"/>
          <w:sz w:val="22"/>
        </w:rPr>
        <w:t>Three EEG feature families dominate the exoskeleton-control literature: (1) sensorimotor rhythm modulation during motor imagery, detected as event-related desynchronization/synchronization (ERD/ERS) in the mu (8–13 Hz) and beta (13–30 Hz) bands — this requires electrodes over motor cortex (C3/Cz/C4) and is not accessible from an around-the-ear montage; (2) movement-related cortical potentials (MRCP), slow negative-going potentials preceding real or attempted movement, also typically recorded over central/parietal sites; and (3) event-related potentials and band-power features that are accessible from other scalp regions, including P300 responses and workload-related alpha-power changes. The OpenBCI Open-cEEGrid system, with electrodes placed around the ear, falls into category (3): the peer-reviewed literature on cEEGrid specifically demonstrates recordable tactile and auditory P300 potentials (though at reduced amplitude and classification accuracy relative to a full scalp cap), reliable jaw-clench detection, cognitive-workload and flow-state discrimination via temporal alpha power, sleep-stage classification, and periauricular EOG for eye-movement and blink detection. Its realistic contribution to an exoskeleton-control pipeline is therefore a discrete, event-based trigger built on one or more of these validated paradigms, not a motor-imagery decoder.</w:t>
      </w:r>
    </w:p>
    <w:p>
      <w:pPr>
        <w:keepNext/>
        <w:spacing w:before="280" w:after="80"/>
      </w:pPr>
      <w:r>
        <w:rPr>
          <w:rFonts w:ascii="Calibri" w:hAnsi="Calibri"/>
          <w:b/>
          <w:color w:val="2E75B6"/>
          <w:sz w:val="26"/>
        </w:rPr>
        <w:t>4.2 EEG-Controlled Hand / Upper-Limb Exoskeletons</w:t>
      </w:r>
    </w:p>
    <w:p>
      <w:pPr>
        <w:spacing w:before="0" w:after="120" w:line="276" w:lineRule="auto"/>
      </w:pPr>
      <w:r>
        <w:rPr>
          <w:rFonts w:ascii="Calibri" w:hAnsi="Calibri"/>
          <w:color w:val="333333"/>
          <w:sz w:val="22"/>
        </w:rPr>
        <w:t>A substantial and maturing body of work targets hand and finger rehabilitation. Representative systems include low-cost, 3D-printed actuated gloves driven by open-source BCI stacks and Arduino-class microcontrollers, attention-threshold controlled multi-segment mechanisms using consumer EEG modules, and more recent deep-learning-decoded soft robotic gloves using transformer architectures on research-grade dry-electrode caps. This body of literature is independent of the choice between a consumer headset and an around-the-ear research platform, and is summarized below for context.</w:t>
      </w:r>
    </w:p>
    <w:p>
      <w:pPr>
        <w:spacing w:before="0" w:after="120" w:line="276" w:lineRule="auto"/>
      </w:pPr>
      <w:r>
        <w:rPr>
          <w:rFonts w:ascii="Calibri" w:hAnsi="Calibri"/>
          <w:color w:val="333333"/>
          <w:sz w:val="22"/>
        </w:rPr>
        <w:t>Common threads: hand-branch systems favor low-channel-count EEG, tolerate lower real-time throughput (discrete open/close or flex/extend commands rather than continuous trajectories), and increasingly pair EEG with EMG for reliability, since single-modality EEG decoding accuracy for fine finger movements remains a limiting factor.</w:t>
      </w:r>
    </w:p>
    <w:p>
      <w:pPr>
        <w:keepNext/>
        <w:spacing w:before="280" w:after="80"/>
      </w:pPr>
      <w:r>
        <w:rPr>
          <w:rFonts w:ascii="Calibri" w:hAnsi="Calibri"/>
          <w:b/>
          <w:color w:val="2E75B6"/>
          <w:sz w:val="26"/>
        </w:rPr>
        <w:t>4.3 EEG-Controlled Leg / Lower-Limb Exoskeletons</w:t>
      </w:r>
    </w:p>
    <w:p>
      <w:pPr>
        <w:spacing w:before="0" w:after="120" w:line="276" w:lineRule="auto"/>
      </w:pPr>
      <w:r>
        <w:rPr>
          <w:rFonts w:ascii="Calibri" w:hAnsi="Calibri"/>
          <w:color w:val="333333"/>
          <w:sz w:val="22"/>
        </w:rPr>
        <w:t>Lower-limb work is comparatively smaller in volume and more safety-constrained, since false actuation during standing or gait carries fall risk. Reviews of this sub-field emphasize that motor imagery, ERD/ERS, and steady-state visual evoked potentials (SSVEP) are the principal decodable features, and that hybrid eye-blink or EOG switches are frequently layered on top of the EEG decoder to gate unsafe transitions (e.g., between stand, sit, and gait-forward states).</w:t>
      </w:r>
    </w:p>
    <w:p>
      <w:pPr>
        <w:spacing w:before="0" w:after="120" w:line="276" w:lineRule="auto"/>
      </w:pPr>
      <w:r>
        <w:rPr>
          <w:rFonts w:ascii="Calibri" w:hAnsi="Calibri"/>
          <w:color w:val="333333"/>
          <w:sz w:val="22"/>
        </w:rPr>
        <w:t>The leg branch therefore has fewer, more cautious deployments, generally restricted to discrete-state transitions (start/stop gait, sit/stand) rather than continuous joint-angle control, and nearly always includes a secondary confirmation channel for safety — the same discrete-transition philosophy that a cEEGrid-based P300, jaw-clench, or blink-veto trigger would need to support in this project.</w:t>
      </w:r>
    </w:p>
    <w:p>
      <w:pPr>
        <w:keepNext/>
        <w:spacing w:before="280" w:after="80"/>
      </w:pPr>
      <w:r>
        <w:rPr>
          <w:rFonts w:ascii="Calibri" w:hAnsi="Calibri"/>
          <w:b/>
          <w:color w:val="2E75B6"/>
          <w:sz w:val="26"/>
        </w:rPr>
        <w:t>4.4 Classification Algorithms for Real-Time Decoding</w:t>
      </w:r>
    </w:p>
    <w:p>
      <w:pPr>
        <w:spacing w:before="0" w:after="120" w:line="276" w:lineRule="auto"/>
      </w:pPr>
      <w:r>
        <w:rPr>
          <w:rFonts w:ascii="Calibri" w:hAnsi="Calibri"/>
          <w:color w:val="333333"/>
          <w:sz w:val="22"/>
        </w:rPr>
        <w:t>Classical CSP+LDA/SVM pipelines remain common in embedded or resource-constrained deployments because they are computationally light and well understood, with representative hybrid CSP-based lower-limb systems reporting accuracies above 80%. Deep-learning approaches have progressively displaced them in accuracy-focused research: compact CNNs such as EEGNet and EEG-TCNet were designed specifically for embedded motor-imagery BCI; more recent CNN-LSTM and CNN-Transformer hybrids report benchmark accuracies in the 91–98% range on standard datasets (e.g., BCI Competition IV-2a), though such figures are typically obtained offline, on curated datasets, and do not always transfer to real-time, cross-session, cross-subject use.</w:t>
      </w:r>
    </w:p>
    <w:p>
      <w:pPr>
        <w:spacing w:before="0" w:after="120" w:line="276" w:lineRule="auto"/>
      </w:pPr>
      <w:r>
        <w:rPr>
          <w:rFonts w:ascii="Calibri" w:hAnsi="Calibri"/>
          <w:color w:val="333333"/>
          <w:sz w:val="22"/>
        </w:rPr>
        <w:t>For a cEEGrid-based system specifically, the relevant published precedent is different from either of these: P300 detection studies using cEEGrid electrodes have used linear discriminant analysis (LDA) with cross-validation as the classifier, not deep networks, reporting average classification accuracy around 63% for a tactile P300 paradigm (above the 25% chance level, but below the roughly 81% achieved with a full EEG cap in the same study). This is the realistic accuracy band to plan around for a cEEGrid-based discrete trigger, and it argues for a lightweight, well-understood classifier (LDA, stepwise LDA, or simple threshold logic on band power) rather than a heavier deep-learning model, both because the signal-to-noise ratio at this electrode placement does not obviously reward additional model complexity, and because such a classifier is easy to run in real time on a low-power microcontroller.</w:t>
      </w:r>
    </w:p>
    <w:p>
      <w:pPr>
        <w:keepNext/>
        <w:spacing w:before="280" w:after="80"/>
      </w:pPr>
      <w:r>
        <w:rPr>
          <w:rFonts w:ascii="Calibri" w:hAnsi="Calibri"/>
          <w:b/>
          <w:color w:val="2E75B6"/>
          <w:sz w:val="26"/>
        </w:rPr>
        <w:t>4.5 Embedded / Microcontroller Control Architectures</w:t>
      </w:r>
    </w:p>
    <w:p>
      <w:pPr>
        <w:spacing w:before="0" w:after="120" w:line="276" w:lineRule="auto"/>
      </w:pPr>
      <w:r>
        <w:rPr>
          <w:rFonts w:ascii="Calibri" w:hAnsi="Calibri"/>
          <w:color w:val="333333"/>
          <w:sz w:val="22"/>
        </w:rPr>
        <w:t>Reported hardware choices cluster into two tiers. The first is low-cost 8/32-bit microcontrollers (Arduino Uno/Due, ESP32) driving servo motors or DC motors through H-bridge or motor-driver ICs — sufficient for threshold- or classical-classifier-triggered control and consistent with the low-cost, open-source, 3D-printed design philosophy seen across multiple hand-exoskeleton studies (reported per-unit hardware costs under US$100 in some open-hardware designs). The second tier pairs a small single-board computer or edge-AI module (e.g., an NVIDIA Jetson Nano-class device) for the deep-learning classifier with a secondary, simpler microcontroller purely for motor/servo driving — the architecture used in more recent real-time deep-learning-decoded hand-exoskeleton prototypes.</w:t>
      </w:r>
    </w:p>
    <w:p>
      <w:pPr>
        <w:spacing w:before="0" w:after="120" w:line="276" w:lineRule="auto"/>
      </w:pPr>
      <w:r>
        <w:rPr>
          <w:rFonts w:ascii="Calibri" w:hAnsi="Calibri"/>
          <w:color w:val="333333"/>
          <w:sz w:val="22"/>
        </w:rPr>
        <w:t>4.5.1 ESP32-P4 Specifically</w:t>
      </w:r>
    </w:p>
    <w:p>
      <w:pPr>
        <w:spacing w:before="0" w:after="120" w:line="276" w:lineRule="auto"/>
      </w:pPr>
      <w:r>
        <w:rPr>
          <w:rFonts w:ascii="Calibri" w:hAnsi="Calibri"/>
          <w:color w:val="333333"/>
          <w:sz w:val="22"/>
        </w:rPr>
        <w:t>The ESP32-P4, named in the project description as the candidate embedded processor, is confirmed by Espressif's own datasheet to be a dual-core RISC-V microcontroller clocked up to 400 MHz with AI-oriented instruction extensions, 55 programmable GPIOs, and hardware acceleration for image/video and signal processing — well within range for running a lightweight EEG classifier and driving servo/motor outputs in real time. This assessment is unaffected by the headset choice. One correction to note: unlike other members of the ESP32 family, the ESP32-P4 has no integrated Wi-Fi or Bluetooth radio; Espressif's own documentation notes it is intended to pair with a companion wireless module (e.g., via ESP-Hosted) if wireless telemetry is required, which should be budgeted for explicitly rather than assumed. Note also that the Cyton+Daisy board streams 16 channels of continuous raw data rather than a single processed index, so the data-transfer path between the OpenBCI board and the ESP32-P4 (or an intermediate host computer used for initial model training) should be included explicitly in the system design rather than assumed to be negligible.</w:t>
      </w:r>
    </w:p>
    <w:p>
      <w:pPr>
        <w:spacing w:before="0" w:after="120" w:line="276" w:lineRule="auto"/>
      </w:pPr>
      <w:r>
        <w:rPr>
          <w:rFonts w:ascii="Calibri" w:hAnsi="Calibri"/>
          <w:color w:val="333333"/>
          <w:sz w:val="22"/>
        </w:rPr>
        <w:t>4.5.2 Correcting the Classifier Choice for an OpenBCI Open-cEEGrid System</w:t>
      </w:r>
    </w:p>
    <w:p>
      <w:pPr>
        <w:spacing w:before="0" w:after="120" w:line="276" w:lineRule="auto"/>
      </w:pPr>
      <w:r>
        <w:rPr>
          <w:rFonts w:ascii="Calibri" w:hAnsi="Calibri"/>
          <w:color w:val="333333"/>
          <w:sz w:val="22"/>
        </w:rPr>
        <w:t>The project description names two specific deep-learning architectures — SwitchBraidNet and a Gumbel-ResNet-KANs model — as the intended on-device classifiers. Both are real, current, and legitimate published architectures, but neither is designed for the signal this project will actually have available, whether the headset is a consumer frontal device or the Open-cEEGrid system. SwitchBraidNet is a 2026 quantization-aware architecture built for hybrid motor-imagery-plus-SSVEP decoding, evaluated on the multi-channel OpenBMI dataset, reporting roughly 69% motor-imagery accuracy and 93% SSVEP accuracy at FP32/FP16 precision — it assumes proper motor-cortex coverage for the motor-imagery branch and occipital coverage plus a visual stimulus for the SSVEP branch, neither of which an around-the-ear electrode array provides. The Gumbel-ResNet-KANs model comes from an unrelated 2025 study of a load-bearing sit-to-stand transfer robot, decoded from combined multi-channel EEG and EMG across motor-imagery, action-observation, and motor-execution paradigms — again assuming inputs this project's headset does not supply. Citing either model as the planned on-device classifier is a mismatch that should be corrected before submission, either by naming them only as a future-upgrade path (contingent on adding real motor-cortex or occipital channels) or, more realistically for the current hardware, by adopting a classifier actually validated on around-the-ear signals.</w:t>
      </w:r>
    </w:p>
    <w:p>
      <w:pPr>
        <w:spacing w:before="0" w:after="120" w:line="276" w:lineRule="auto"/>
      </w:pPr>
      <w:r>
        <w:rPr>
          <w:rFonts w:ascii="Calibri" w:hAnsi="Calibri"/>
          <w:color w:val="333333"/>
          <w:sz w:val="22"/>
        </w:rPr>
        <w:t>Precedent for a fit-for-purpose lightweight classifier does exist in the cEEGrid literature specifically: published studies recording tactile P300 responses from cEEGrid electrodes used linear discriminant analysis with cross-validation as the classifier, and broader cEEGrid work has used band-power (notably alpha-band) features with simple classifiers for cognitive-workload and flow-state discrimination, and comparable methods for jaw-clench event detection. A shallow classifier of this kind — LDA/SWLDA for P300 detection, or threshold/logistic-regression logic on band power for workload or jaw-clench triggers — is both the technically honest and the practically correct choice for this hardware, and is light enough to run comfortably on an ESP32-P4 without quantization.</w:t>
      </w:r>
    </w:p>
    <w:p>
      <w:pPr>
        <w:keepNext/>
        <w:spacing w:before="280" w:after="80"/>
      </w:pPr>
      <w:r>
        <w:rPr>
          <w:rFonts w:ascii="Calibri" w:hAnsi="Calibri"/>
          <w:b/>
          <w:color w:val="2E75B6"/>
          <w:sz w:val="26"/>
        </w:rPr>
        <w:t>4.6 Hybrid Multimodal Safety Approaches</w:t>
      </w:r>
    </w:p>
    <w:p>
      <w:pPr>
        <w:spacing w:before="0" w:after="120" w:line="276" w:lineRule="auto"/>
      </w:pPr>
      <w:r>
        <w:rPr>
          <w:rFonts w:ascii="Calibri" w:hAnsi="Calibri"/>
          <w:color w:val="333333"/>
          <w:sz w:val="22"/>
        </w:rPr>
        <w:t>Because single-trial EEG decoding accuracy for assistive (rather than purely experimental) use is often judged insufficiently reliable on its own (many practical systems report accuracy meaningfully below 80% in unconstrained conditions), a recurring design pattern fuses EEG with a second biosignal — EOG for blink/gaze-based confirmation, or EMG for residual muscle activity — to gate or veto exoskeleton actuation. This hybridization is reported to materially improve safety and perceived reliability, particularly for lower-limb systems where an unintended actuation during standing or walking poses a fall risk.</w:t>
      </w:r>
    </w:p>
    <w:p>
      <w:pPr>
        <w:spacing w:before="0" w:after="120" w:line="276" w:lineRule="auto"/>
      </w:pPr>
      <w:r>
        <w:rPr>
          <w:rFonts w:ascii="Calibri" w:hAnsi="Calibri"/>
          <w:color w:val="333333"/>
          <w:sz w:val="22"/>
        </w:rPr>
        <w:t>4.6.1 Verifying the Blink-Veto / “Time to Stop” Claim</w:t>
      </w:r>
    </w:p>
    <w:p>
      <w:pPr>
        <w:spacing w:before="0" w:after="120" w:line="276" w:lineRule="auto"/>
      </w:pPr>
      <w:r>
        <w:rPr>
          <w:rFonts w:ascii="Calibri" w:hAnsi="Calibri"/>
          <w:color w:val="333333"/>
          <w:sz w:val="22"/>
        </w:rPr>
        <w:t>The proposed design — a deliberate horizontal eye movement as a module-select switch, and a short blink as an immediate-stop veto — is well precedented in the general hybrid-BCI literature: published hybrid BCI systems have used a multi-blink EOG switch to activate/deactivate a robotic-arm controller and a single wink to cancel an in-progress command, and a related hybrid EEG/EOG wheelchair-plus-robotic-arm system used blinks and eyebrow movements as discrete stop/select commands layered on top of a motor-imagery channel. For this project's specific hardware, the design now has additional, more direct support: a 2025 study (King et al., published in Nature) specifically validates periauricular electrodes — the same general placement as cEEGrid — for eye-tracking and blink detection in a natural, wearable form factor. This means the blink-veto concept is grounded in literature written about ear-proximal electrodes specifically, not only in literature about unrelated EOG electrode placements.</w:t>
      </w:r>
    </w:p>
    <w:p>
      <w:pPr>
        <w:spacing w:before="0" w:after="120" w:line="276" w:lineRule="auto"/>
      </w:pPr>
      <w:r>
        <w:rPr>
          <w:rFonts w:ascii="Calibri" w:hAnsi="Calibri"/>
          <w:color w:val="333333"/>
          <w:sz w:val="22"/>
        </w:rPr>
        <w:t>What is still not independently verified in any source located for this review is the specific “2-second Time to Stop” figure: no located source specifies a 2-second threshold as a validated or standardized value for this class of system. The closest supporting data point remains that motor-imagery classification in a published hybrid EEG/EOG controller used a 2-second analysis epoch (not a stop-latency guarantee) for its underlying MI classifier. The 2-second TTS value should therefore continue to be treated as a reasonable engineering design target to validate empirically on the synthetic models — not cited as an established or literature-confirmed figure — until bench testing produces a measured number.</w:t>
      </w:r>
    </w:p>
    <w:p>
      <w:pPr>
        <w:spacing w:before="0" w:after="120" w:line="276" w:lineRule="auto"/>
      </w:pPr>
      <w:r>
        <w:rPr>
          <w:rFonts w:ascii="Calibri" w:hAnsi="Calibri"/>
          <w:color w:val="333333"/>
          <w:sz w:val="22"/>
        </w:rPr>
        <w:t>Similarly, the “sub-30 ms latency” and “less than 0.4% accuracy loss from INT8 quantization” figures could not be independently verified against a source specific to this project's hardware/model combination; they read as plausible targets drawn from general TinyML/embedded-inference literature rather than measured results for this system. With a 16-channel continuous data stream now in the pipeline (rather than a single processed index), the data-transfer and pre-processing time from the OpenBCI board to the classifier should also be included when validating any end-to-end latency figure. All of these should be labeled as design targets pending bench validation rather than stated as facts in a paper or patent filing.</w:t>
      </w:r>
    </w:p>
    <w:p>
      <w:pPr>
        <w:keepNext/>
        <w:spacing w:before="280" w:after="80"/>
      </w:pPr>
      <w:r>
        <w:rPr>
          <w:rFonts w:ascii="Calibri" w:hAnsi="Calibri"/>
          <w:b/>
          <w:color w:val="2E75B6"/>
          <w:sz w:val="26"/>
        </w:rPr>
        <w:t>4.7 Benchtop / Synthetic-Model Validation as a Development Stage</w:t>
      </w:r>
    </w:p>
    <w:p>
      <w:pPr>
        <w:spacing w:before="0" w:after="120" w:line="276" w:lineRule="auto"/>
      </w:pPr>
      <w:r>
        <w:rPr>
          <w:rFonts w:ascii="Calibri" w:hAnsi="Calibri"/>
          <w:color w:val="333333"/>
          <w:sz w:val="22"/>
        </w:rPr>
        <w:t>Across the broader rehabilitation-robotics literature, staged validation — bench/mechanical testing before healthy-subject testing before patient trials — is standard practice, and several of the low-cost, 3D-printed hand-exoskeleton studies reviewed above explicitly report bench or healthy-volunteer validation stages prior to any patient use. Using synthetic hand and leg models as the initial actuation target is therefore consistent with, and precedent-supported by, how this class of device is normally developed; it simply means the present project sits at an earlier stage of that same pipeline (control-and-mechanism validation) rather than skipping ahead to clinical claims. This is a favorable position for a feasibility-focused paper, since it allows rigorous, repeatable, safety-unconstrained testing of classification accuracy and actuation timing — but it also means clinical rehabilitation benefit cannot yet be claimed or implied.</w:t>
      </w:r>
    </w:p>
    <w:p>
      <w:pPr>
        <w:spacing w:before="0" w:after="120" w:line="276" w:lineRule="auto"/>
      </w:pPr>
      <w:r>
        <w:rPr>
          <w:rFonts w:ascii="Calibri" w:hAnsi="Calibri"/>
          <w:color w:val="333333"/>
          <w:sz w:val="22"/>
        </w:rPr>
        <w:t>On the acquisition side specifically, cEEGrid electrodes have their own precedent for real-world, out-of-lab use: published studies report participants wearing cEEGrid arrays for several hours of normal daily activity outside a laboratory with no substantial decline in recording quality. This somewhat strengthens the case that the acquisition hardware itself is ready for iterative bench and volunteer testing, independent of the exoskeleton-control question.</w:t>
      </w:r>
    </w:p>
    <w:p>
      <w:pPr>
        <w:keepNext/>
        <w:spacing w:before="280" w:after="80"/>
      </w:pPr>
      <w:r>
        <w:rPr>
          <w:rFonts w:ascii="Calibri" w:hAnsi="Calibri"/>
          <w:b/>
          <w:color w:val="2E75B6"/>
          <w:sz w:val="26"/>
        </w:rPr>
        <w:t>4.8 Verifying the Sequential Hand-Then-Leg Rehabilitation Rationale</w:t>
      </w:r>
    </w:p>
    <w:p>
      <w:pPr>
        <w:spacing w:before="0" w:after="120" w:line="276" w:lineRule="auto"/>
      </w:pPr>
      <w:r>
        <w:rPr>
          <w:rFonts w:ascii="Calibri" w:hAnsi="Calibri"/>
          <w:color w:val="333333"/>
          <w:sz w:val="22"/>
        </w:rPr>
        <w:t>The claim that clinical evidence supports sequential rehabilitation — training hand function first, then progressing to gait — is accurate and verifiable. The recoveriX system (g.tec medical engineering) is a real, commercially deployed motor-imagery BCI rehabilitation platform, and a 2024 study in Frontiers in Neuroscience reported that stroke patients who completed a 25-session upper-limb (arm/hand) BCI training block followed by a second 25-session lower-limb (leg/gait) block showed continued gains through the second block — improved walking speed, mobility, and ankle spasticity, with some patients showing further upper-limb improvement even during the leg-focused block. This is genuine, citable support for a hand-first, leg-second rehabilitation sequence.</w:t>
      </w:r>
    </w:p>
    <w:p>
      <w:pPr>
        <w:spacing w:before="0" w:after="120" w:line="276" w:lineRule="auto"/>
      </w:pPr>
      <w:r>
        <w:rPr>
          <w:rFonts w:ascii="Calibri" w:hAnsi="Calibri"/>
          <w:color w:val="333333"/>
          <w:sz w:val="22"/>
        </w:rPr>
        <w:t>The important caveat for this project is that recoveriX achieves its results using a 16-channel EEG cap covering sensorimotor cortex, combined with functional electrical stimulation (FES) and virtual-reality feedback. The Open-cEEGrid system in this project also has 16 channels, but channel count alone is not the relevant comparison: recoveriX's electrodes sit over the scalp's sensorimotor region, while Open-cEEGrid's electrodes sit around the ear. Matching channel counts should not be read as implying comparable motor-imagery decoding capability. The sequencing rationale (hand first, then leg) transfers to this project; the expectation of comparable accuracy or clinical effect from an around-the-ear electrode array does not, and the paper/patent language should keep those two claims separate.</w:t>
      </w:r>
    </w:p>
    <w:p>
      <w:pPr>
        <w:keepNext/>
        <w:spacing w:before="280" w:after="80"/>
      </w:pPr>
      <w:r>
        <w:rPr>
          <w:rFonts w:ascii="Calibri" w:hAnsi="Calibri"/>
          <w:b/>
          <w:color w:val="2E75B6"/>
          <w:sz w:val="26"/>
        </w:rPr>
        <w:t>4.9 Fact-Check Summary of Project Claims</w:t>
      </w:r>
    </w:p>
    <w:p>
      <w:pPr>
        <w:spacing w:before="0" w:after="120" w:line="276" w:lineRule="auto"/>
      </w:pPr>
      <w:r>
        <w:rPr>
          <w:rFonts w:ascii="Calibri" w:hAnsi="Calibri"/>
          <w:color w:val="333333"/>
          <w:sz w:val="22"/>
        </w:rPr>
        <w:t>The following table summarizes verification status for the specific technical claims made in the project description, to support transparent citation in the final paper or patent filing.</w:t>
      </w:r>
    </w:p>
    <w:p>
      <w:pPr>
        <w:spacing w:before="0" w:after="120" w:line="276" w:lineRule="auto"/>
      </w:pPr>
      <w:r>
        <w:rPr>
          <w:rFonts w:ascii="Calibri" w:hAnsi="Calibri"/>
          <w:color w:val="333333"/>
          <w:sz w:val="22"/>
        </w:rPr>
        <w:t>5. Patent Landscape Analysis</w:t>
      </w:r>
    </w:p>
    <w:p>
      <w:pPr>
        <w:spacing w:before="0" w:after="120" w:line="276" w:lineRule="auto"/>
      </w:pPr>
      <w:r>
        <w:rPr>
          <w:rFonts w:ascii="Calibri" w:hAnsi="Calibri"/>
          <w:color w:val="333333"/>
          <w:sz w:val="22"/>
        </w:rPr>
        <w:t>A preliminary (non-exhaustive) prior-art scan indicates that the general concept of a biosignal-driven exoskeleton for hand/wrist motor rehabilitation is already represented in issued patent claims. One identified example describes an exoskeleton robot for hand-and-wrist motor rehabilitation in which a programmable microcontroller receives sensor readings (potentiometers, force sensors) and issues motor-driver commands, records training/movement data for clinician review, and reports patient progress — illustrating that microcontroller-mediated, sensor-driven hand-rehabilitation exoskeletons are an actively claimed space, even where the triggering biosignal is not EEG specifically.</w:t>
      </w:r>
    </w:p>
    <w:p>
      <w:pPr>
        <w:spacing w:before="0" w:after="120" w:line="276" w:lineRule="auto"/>
      </w:pPr>
      <w:r>
        <w:rPr>
          <w:rFonts w:ascii="Calibri" w:hAnsi="Calibri"/>
          <w:color w:val="333333"/>
          <w:sz w:val="22"/>
        </w:rPr>
        <w:t>Beyond this, the published research literature itself functions as prior art for many of the individual building blocks: attention-threshold EEG switches, P300-based event-related-potential triggers, motor-imagery CSP/SVM-triggered hand and leg exoskeletons, and CNN/transformer-based EEG decoders driving soft robotic gloves have all been published, several with open-source hardware designs. This significantly narrows the space for claims directed merely at “EEG signal to microcontroller to exoskeleton actuator” in the abstract. Using an around-the-ear, open-hardware research platform instead of a proprietary consumer headset does not by itself create novelty, since the underlying signal-to-actuator concept remains published; it does, however, allow any claimed contribution to be described and defended with real, inspectable signal data rather than a vendor black box.</w:t>
      </w:r>
    </w:p>
    <w:p>
      <w:pPr>
        <w:keepNext/>
        <w:spacing w:before="280" w:after="80"/>
      </w:pPr>
      <w:r>
        <w:rPr>
          <w:rFonts w:ascii="Calibri" w:hAnsi="Calibri"/>
          <w:b/>
          <w:color w:val="2E75B6"/>
          <w:sz w:val="26"/>
        </w:rPr>
        <w:t>5.1 Where Residual Novelty Is Most Plausible</w:t>
      </w:r>
    </w:p>
    <w:p>
      <w:pPr>
        <w:spacing w:before="0" w:after="120" w:line="276" w:lineRule="auto"/>
      </w:pPr>
      <w:r>
        <w:rPr>
          <w:rFonts w:ascii="Calibri" w:hAnsi="Calibri"/>
          <w:color w:val="333333"/>
          <w:sz w:val="22"/>
        </w:rPr>
        <w:t>A single shared EEG-acquisition-and-decoding pipeline with a field-swappable actuator module (hand glove vs. leg exoskeleton) selected by the same headset and firmware, rather than two independently engineered systems — this dual-mode, common-pipeline architecture does not appear prominently addressed in the reviewed literature or the identified patent.</w:t>
      </w:r>
    </w:p>
    <w:p>
      <w:pPr>
        <w:spacing w:before="0" w:after="120" w:line="276" w:lineRule="auto"/>
      </w:pPr>
      <w:r>
        <w:rPr>
          <w:rFonts w:ascii="Calibri" w:hAnsi="Calibri"/>
          <w:color w:val="333333"/>
          <w:sz w:val="22"/>
        </w:rPr>
        <w:t>An embedded, on-microcontroller implementation of a lightweight P300/jaw-clench/workload-threshold classifier (LDA, SWLDA, or threshold logic — see Section 4.5.2) specifically tuned and validated for the dual hand/leg command set on an around-the-ear electrode array, rather than the heavier CSP/SVM or deep-learning (EEGNet-class) pipelines that assume motor-cortex coverage this class of headset does not provide.</w:t>
      </w:r>
    </w:p>
    <w:p>
      <w:pPr>
        <w:spacing w:before="0" w:after="120" w:line="276" w:lineRule="auto"/>
      </w:pPr>
      <w:r>
        <w:rPr>
          <w:rFonts w:ascii="Calibri" w:hAnsi="Calibri"/>
          <w:color w:val="333333"/>
          <w:sz w:val="22"/>
        </w:rPr>
        <w:t>A specific, claimed safety-interlock fusion rule (e.g., a defined periauricular-EOG veto logic combined with joint-limit and gait-phase sensing) tailored jointly to both actuator types, packaged as a single patentable control method rather than a general concept.</w:t>
      </w:r>
    </w:p>
    <w:p>
      <w:pPr>
        <w:spacing w:before="0" w:after="120" w:line="276" w:lineRule="auto"/>
      </w:pPr>
      <w:r>
        <w:rPr>
          <w:rFonts w:ascii="Calibri" w:hAnsi="Calibri"/>
          <w:color w:val="333333"/>
          <w:sz w:val="22"/>
        </w:rPr>
        <w:t>Any novel mechanical coupling, quick-release, or calibration method that lets one headset/controller unit be re-purposed between the two modules — this is more likely to be a defensible utility or design-patent claim than the underlying BCI decoding concept, which is heavily published.</w:t>
      </w:r>
    </w:p>
    <w:p>
      <w:pPr>
        <w:spacing w:before="0" w:after="120" w:line="276" w:lineRule="auto"/>
      </w:pPr>
      <w:r>
        <w:rPr>
          <w:rFonts w:ascii="Calibri" w:hAnsi="Calibri"/>
          <w:color w:val="333333"/>
          <w:sz w:val="22"/>
        </w:rPr>
        <w:t>A formal freedom-to-operate (FTO) search using a patent database (e.g., USPTO Patent Public Search, Espacenet, Google Patents) with classification codes such as A61H 1/00 (physical therapy apparatus), A61F 2/54 / A61F 4/00 (prosthetics/exoskeletons), and A61B 5/24 (EEG) is recommended before filing; this report's patent scan is illustrative, not a substitute for that formal search.</w:t>
      </w:r>
    </w:p>
    <w:p>
      <w:pPr>
        <w:spacing w:before="0" w:after="120" w:line="276" w:lineRule="auto"/>
      </w:pPr>
      <w:r>
        <w:rPr>
          <w:rFonts w:ascii="Calibri" w:hAnsi="Calibri"/>
          <w:color w:val="333333"/>
          <w:sz w:val="22"/>
        </w:rPr>
        <w:t>6. Research Gap Synthesis</w:t>
      </w:r>
    </w:p>
    <w:p>
      <w:pPr>
        <w:spacing w:before="0" w:after="120" w:line="276" w:lineRule="auto"/>
      </w:pPr>
      <w:r>
        <w:rPr>
          <w:rFonts w:ascii="Calibri" w:hAnsi="Calibri"/>
          <w:color w:val="333333"/>
          <w:sz w:val="22"/>
        </w:rPr>
        <w:t>Cross-limb, single-pipeline architectures: almost all reviewed systems are hand-only or leg-only; very few papers address a unified acquisition/decoding pipeline serving both limbs.</w:t>
      </w:r>
    </w:p>
    <w:p>
      <w:pPr>
        <w:spacing w:before="0" w:after="120" w:line="276" w:lineRule="auto"/>
      </w:pPr>
      <w:r>
        <w:rPr>
          <w:rFonts w:ascii="Calibri" w:hAnsi="Calibri"/>
          <w:color w:val="333333"/>
          <w:sz w:val="22"/>
        </w:rPr>
        <w:t>Around-the-ear EEG applied to exoskeleton control: the published cEEGrid literature to date addresses sleep, cognitive workload/flow, jaw-clench detection, and P300 paradigms, but not exoskeleton or rehabilitation-robot triggering specifically — this project would be an early application of a validated acquisition platform to a control task not yet reported in that literature.</w:t>
      </w:r>
    </w:p>
    <w:p>
      <w:pPr>
        <w:spacing w:before="0" w:after="120" w:line="276" w:lineRule="auto"/>
      </w:pPr>
      <w:r>
        <w:rPr>
          <w:rFonts w:ascii="Calibri" w:hAnsi="Calibri"/>
          <w:color w:val="333333"/>
          <w:sz w:val="22"/>
        </w:rPr>
        <w:t>Real-world, cross-session accuracy: most high-accuracy (&gt;90%) motor-imagery results are reported on offline benchmark datasets (e.g., BCI IV-2a) rather than in real-time, cross-session, home/clinic conditions, where accuracy typically drops; cEEGrid P300 accuracy (63% average in the located study) is itself a real-world, below-full-cap figure that should be planned around rather than assumed away.</w:t>
      </w:r>
    </w:p>
    <w:p>
      <w:pPr>
        <w:spacing w:before="0" w:after="120" w:line="276" w:lineRule="auto"/>
      </w:pPr>
      <w:r>
        <w:rPr>
          <w:rFonts w:ascii="Calibri" w:hAnsi="Calibri"/>
          <w:color w:val="333333"/>
          <w:sz w:val="22"/>
        </w:rPr>
        <w:t>On-device deep learning: few studies deploy compact CNN/EEGNet-class models directly on a low-power microcontroller; most either use classical CSP/SVM on-MCU or offload deep models to a separate SBC/GPU, which increases cost, power draw, and system complexity for a wearable product.</w:t>
      </w:r>
    </w:p>
    <w:p>
      <w:pPr>
        <w:spacing w:before="0" w:after="120" w:line="276" w:lineRule="auto"/>
      </w:pPr>
      <w:r>
        <w:rPr>
          <w:rFonts w:ascii="Calibri" w:hAnsi="Calibri"/>
          <w:color w:val="333333"/>
          <w:sz w:val="22"/>
        </w:rPr>
        <w:t>Standardized safety-interlock design: EOG/EMG fusion for safety is common conceptually but is implemented ad hoc per study; there is no widely adopted standard for how much a secondary signal should gate a primary EEG decision in a rehabilitation-grade device.</w:t>
      </w:r>
    </w:p>
    <w:p>
      <w:pPr>
        <w:spacing w:before="0" w:after="120" w:line="276" w:lineRule="auto"/>
      </w:pPr>
      <w:r>
        <w:rPr>
          <w:rFonts w:ascii="Calibri" w:hAnsi="Calibri"/>
          <w:color w:val="333333"/>
          <w:sz w:val="22"/>
        </w:rPr>
        <w:t>Clinical evidence at scale: most upper-limb studies involve single-digit to low-double-digit subject counts (healthy volunteers or small stroke cohorts); large randomized controlled trials specifically for EEG-triggered (as opposed to EMG-triggered) exoskeletons remain limited, particularly for the lower-limb branch.</w:t>
      </w:r>
    </w:p>
    <w:p>
      <w:pPr>
        <w:spacing w:before="0" w:after="120" w:line="276" w:lineRule="auto"/>
      </w:pPr>
      <w:r>
        <w:rPr>
          <w:rFonts w:ascii="Calibri" w:hAnsi="Calibri"/>
          <w:color w:val="333333"/>
          <w:sz w:val="22"/>
        </w:rPr>
        <w:t>7. Feasibility Analysis</w:t>
      </w:r>
    </w:p>
    <w:p>
      <w:pPr>
        <w:keepNext/>
        <w:spacing w:before="280" w:after="80"/>
      </w:pPr>
      <w:r>
        <w:rPr>
          <w:rFonts w:ascii="Calibri" w:hAnsi="Calibri"/>
          <w:b/>
          <w:color w:val="2E75B6"/>
          <w:sz w:val="26"/>
        </w:rPr>
        <w:t>7.1 Technical Feasibility</w:t>
      </w:r>
    </w:p>
    <w:p>
      <w:pPr>
        <w:spacing w:before="0" w:after="120" w:line="276" w:lineRule="auto"/>
      </w:pPr>
      <w:r>
        <w:rPr>
          <w:rFonts w:ascii="Calibri" w:hAnsi="Calibri"/>
          <w:color w:val="333333"/>
          <w:sz w:val="22"/>
        </w:rPr>
        <w:t>With the OpenBCI Open-cEEGrid system specifically, technical feasibility is high for a discrete-trigger system built on P300, jaw-clench, or workload-threshold detection, and low for a fine motor-imagery system. Each pipeline stage still has independent precedent: around-the-ear EEG acquisition, LDA/threshold-based classification of P300 or workload signals, and microcontroller-driven servo/motor actuation have all been separately demonstrated. The principal open technical question shifts from “can the classifier decode fine movement intention” to “can a P300, jaw-clench, or workload-based discrete trigger be made reliable, low-latency, and low-false-trigger enough to usefully drive a synthetic hand or leg model.” Discrete-state actuation (open/close hand model; step/stop leg model) is well within reach; continuous, proportional, or multi-class control (graded finger force, continuously modulated joint torque, distinguishing several imagined movements) is not realistic with an around-the-ear electrode array and should not be part of the initial scope or claims.</w:t>
      </w:r>
    </w:p>
    <w:p>
      <w:pPr>
        <w:spacing w:before="0" w:after="120" w:line="276" w:lineRule="auto"/>
      </w:pPr>
      <w:r>
        <w:rPr>
          <w:rFonts w:ascii="Calibri" w:hAnsi="Calibri"/>
          <w:color w:val="333333"/>
          <w:sz w:val="22"/>
        </w:rPr>
        <w:t>If the project later needs finer control, the two realistic upgrade paths are: (a) add a small number of scalp electrodes at motor-cortex sites (C3/Cz/C4), which the same 16-channel Cyton+Daisy board can accommodate by reducing the number of cEEGrid channels used, to enable true ERD/ERS motor-imagery decoding, or (b) keep the around-the-ear montage as-is and rely on the validated P300/jaw-clench/workload triggers, adding periauricular EOG as a second modality to make the discrete trigger more reliable, mirroring the hybrid safety approach already common in the literature (Section 4.6).</w:t>
      </w:r>
    </w:p>
    <w:p>
      <w:pPr>
        <w:keepNext/>
        <w:spacing w:before="280" w:after="80"/>
      </w:pPr>
      <w:r>
        <w:rPr>
          <w:rFonts w:ascii="Calibri" w:hAnsi="Calibri"/>
          <w:b/>
          <w:color w:val="2E75B6"/>
          <w:sz w:val="26"/>
        </w:rPr>
        <w:t>7.2 Comparative Feasibility: Hand Module vs. Leg Module</w:t>
      </w:r>
    </w:p>
    <w:p>
      <w:pPr>
        <w:spacing w:before="0" w:after="120" w:line="276" w:lineRule="auto"/>
      </w:pPr>
      <w:r>
        <w:rPr>
          <w:rFonts w:ascii="Calibri" w:hAnsi="Calibri"/>
          <w:color w:val="333333"/>
          <w:sz w:val="22"/>
        </w:rPr>
        <w:t>The “Safety risk” and “Regulatory pathway” rows below describe the inherent risk profile of each modality if and when it is eventually worn by a person; they are not the project's current risk level. The “Impact of synthetic model” row at the bottom of the table describes the current bench-testing stage, where that risk is effectively removed (see Section 7.4 for the full distinction).</w:t>
      </w:r>
    </w:p>
    <w:p>
      <w:pPr>
        <w:keepNext/>
        <w:spacing w:before="280" w:after="80"/>
      </w:pPr>
      <w:r>
        <w:rPr>
          <w:rFonts w:ascii="Calibri" w:hAnsi="Calibri"/>
          <w:b/>
          <w:color w:val="2E75B6"/>
          <w:sz w:val="26"/>
        </w:rPr>
        <w:t>7.3 Cost and Hardware Feasibility</w:t>
      </w:r>
    </w:p>
    <w:p>
      <w:pPr>
        <w:spacing w:before="0" w:after="120" w:line="276" w:lineRule="auto"/>
      </w:pPr>
      <w:r>
        <w:rPr>
          <w:rFonts w:ascii="Calibri" w:hAnsi="Calibri"/>
          <w:color w:val="333333"/>
          <w:sz w:val="22"/>
        </w:rPr>
        <w:t>Open-hardware precedents support a low-cost bill of materials for the actuator side: several published designs report 3D-printed, ESP32- or Arduino-class-microcontroller-driven hand exoskeletons at roughly US$100 or less per unit for the mechanical/electronic subsystem, excluding the EEG headset itself. This estimate is unaffected by the headset choice.</w:t>
      </w:r>
    </w:p>
    <w:p>
      <w:pPr>
        <w:spacing w:before="0" w:after="120" w:line="276" w:lineRule="auto"/>
      </w:pPr>
      <w:r>
        <w:rPr>
          <w:rFonts w:ascii="Calibri" w:hAnsi="Calibri"/>
          <w:color w:val="333333"/>
          <w:sz w:val="22"/>
        </w:rPr>
        <w:t>On the acquisition side, the specific hardware named for this project — the OpenBCI Open-cEEGrid Around-the-Ear EEG Bundle — is confirmed to cost $3,299.99 for the full kit (Cyton+Daisy 16-channel board, cEEGrid electrode arrays, headband/cap mounting, gel, and accessories). This is a substantial change from a low-cost consumer-headset assumption (tens to low hundreds of US dollars). It places the acquisition hardware in the lower-to-middle portion of the price range typically associated with 8–32-channel research-grade EEG systems (roughly US$300–$3,000+), while providing 16 real channels and fully open raw-data access, which a low-cost consumer headset generally does not provide at any price point. In practical terms, the EEG headset now dominates the overall prototype budget rather than the mechanical/actuator subsystem, and this should be reflected explicitly in any funding request or cost estimate for the project. A minimum viable prototype (single-limb, discrete-state control, lightweight classifier) remains plausible within a modest research budget once the $3,299.99 acquisition cost is accounted for; a dual-limb, unified testbed adds primarily the cost of a second synthetic actuator model and development time, not a second EEG headset, since the same Open-cEEGrid unit can drive either module.</w:t>
      </w:r>
    </w:p>
    <w:p>
      <w:pPr>
        <w:keepNext/>
        <w:spacing w:before="280" w:after="80"/>
      </w:pPr>
      <w:r>
        <w:rPr>
          <w:rFonts w:ascii="Calibri" w:hAnsi="Calibri"/>
          <w:b/>
          <w:color w:val="2E75B6"/>
          <w:sz w:val="26"/>
        </w:rPr>
        <w:t>7.4 Clinical and Regulatory Feasibility</w:t>
      </w:r>
    </w:p>
    <w:p>
      <w:pPr>
        <w:spacing w:before="0" w:after="120" w:line="276" w:lineRule="auto"/>
      </w:pPr>
      <w:r>
        <w:rPr>
          <w:rFonts w:ascii="Calibri" w:hAnsi="Calibri"/>
          <w:color w:val="333333"/>
          <w:sz w:val="22"/>
        </w:rPr>
        <w:t>At the current (synthetic-model) stage, clinical and regulatory burden is minimal: neither module actuates on a human limb, so this phase falls under general engineering/bench research rather than a regulated medical device pathway, and even the human-subjects consideration is limited to whoever wears the Open-cEEGrid headset for data collection — a non-invasive, research-grade wearable EEG system — rather than to a person relying on the exoskeleton for movement or weight-bearing. Published cEEGrid studies additionally report several hours of continuous, real-world wear outside a laboratory with no substantial decline in recording quality, supporting a minimal-risk framing for volunteer data collection. This significantly de-risks the near-term project and is realistic to complete within an academic timeline without IRB/ethics review beyond whatever minimal-risk protocol governs EEG headset use on volunteers.</w:t>
      </w:r>
    </w:p>
    <w:p>
      <w:pPr>
        <w:spacing w:before="0" w:after="120" w:line="276" w:lineRule="auto"/>
      </w:pPr>
      <w:r>
        <w:rPr>
          <w:rFonts w:ascii="Calibri" w:hAnsi="Calibri"/>
          <w:color w:val="333333"/>
          <w:sz w:val="22"/>
        </w:rPr>
        <w:t>The regulatory picture changes materially the moment either module moves from a synthetic model to a human-worn device: at that point both would likely be classified as powered rehabilitation/exercise devices under most frameworks (e.g., FDA product codes for powered exercise/rehabilitation devices, or equivalent EU MDR classification), with the leg/gait module scrutinized as a higher-risk mobility-assistive device given fall risk. The synthetic-model stage should therefore be explicitly framed — in both the paper and any patent filing — as a pre-clinical feasibility/testbed stage, with human-worn clinical validation identified as necessary future work rather than implied as already addressed.</w:t>
      </w:r>
    </w:p>
    <w:p>
      <w:pPr>
        <w:keepNext/>
        <w:spacing w:before="280" w:after="80"/>
      </w:pPr>
      <w:r>
        <w:rPr>
          <w:rFonts w:ascii="Calibri" w:hAnsi="Calibri"/>
          <w:b/>
          <w:color w:val="2E75B6"/>
          <w:sz w:val="26"/>
        </w:rPr>
        <w:t>7.5 Risk Register</w:t>
      </w:r>
    </w:p>
    <w:p>
      <w:pPr>
        <w:spacing w:before="0" w:after="120" w:line="276" w:lineRule="auto"/>
      </w:pPr>
      <w:r>
        <w:rPr>
          <w:rFonts w:ascii="Calibri" w:hAnsi="Calibri"/>
          <w:color w:val="333333"/>
          <w:sz w:val="22"/>
        </w:rPr>
        <w:t>8. Novelty Positioning: Research Paper vs. Patent Strategy</w:t>
      </w:r>
    </w:p>
    <w:p>
      <w:pPr>
        <w:keepNext/>
        <w:spacing w:before="280" w:after="80"/>
      </w:pPr>
      <w:r>
        <w:rPr>
          <w:rFonts w:ascii="Calibri" w:hAnsi="Calibri"/>
          <w:b/>
          <w:color w:val="2E75B6"/>
          <w:sz w:val="26"/>
        </w:rPr>
        <w:t>8.1 For a Research Paper</w:t>
      </w:r>
    </w:p>
    <w:p>
      <w:pPr>
        <w:spacing w:before="0" w:after="120" w:line="276" w:lineRule="auto"/>
      </w:pPr>
      <w:r>
        <w:rPr>
          <w:rFonts w:ascii="Calibri" w:hAnsi="Calibri"/>
          <w:color w:val="333333"/>
          <w:sz w:val="22"/>
        </w:rPr>
        <w:t>Given the OpenBCI Open-cEEGrid + synthetic-model configuration, the strongest, most honest contribution is a feasibility/system paper: a single research-grade around-the-ear EEG platform, with full open raw-data access, driving a shared microcontroller pipeline that actuates either a synthetic hand model or a synthetic leg model, with a same-subject, same-headset comparison of trigger accuracy, false-trigger rate, and latency across both actuator types using P300, jaw-clench, or workload-threshold triggers — a comparison largely absent from the literature, which treats hand and leg branches separately and has not applied cEEGrid-class hardware to exoskeleton triggering at all. A secondary contribution is a transparent benchmark of what an around-the-ear electrode array can and cannot support relative to research-grade motor-imagery systems, which is a useful data point for other groups considering ear-EEG hardware for similar projects.</w:t>
      </w:r>
    </w:p>
    <w:p>
      <w:pPr>
        <w:keepNext/>
        <w:spacing w:before="280" w:after="80"/>
      </w:pPr>
      <w:r>
        <w:rPr>
          <w:rFonts w:ascii="Calibri" w:hAnsi="Calibri"/>
          <w:b/>
          <w:color w:val="2E75B6"/>
          <w:sz w:val="26"/>
        </w:rPr>
        <w:t>8.2 For a Patent</w:t>
      </w:r>
    </w:p>
    <w:p>
      <w:pPr>
        <w:spacing w:before="0" w:after="120" w:line="276" w:lineRule="auto"/>
      </w:pPr>
      <w:r>
        <w:rPr>
          <w:rFonts w:ascii="Calibri" w:hAnsi="Calibri"/>
          <w:color w:val="333333"/>
          <w:sz w:val="22"/>
        </w:rPr>
        <w:t>Prior art density remains high around the general “EEG-to-microcontroller-to-exoskeleton” concept (Section 5), so claims should be narrowed further given the acquisition-hardware/synthetic-model configuration, around: (a) the specific shared hardware/firmware architecture enabling one around-the-ear EEG acquisition and controller unit to drive either a synthetic hand or synthetic leg actuator module via a defined interchange/calibration mechanism; (b) a specific trigger-confirmation method that makes a single-modality P300, jaw-clench, or workload-threshold signal reliable enough for repeatable actuation (e.g., a defined dwell-time-plus-threshold algorithm), claimed as a method; and (c) any specific mechanical or electrical interface enabling the swap between synthetic hand and leg targets. Claims should explicitly avoid asserting clinical rehabilitation efficacy or human-worn performance, since none has been demonstrated at this stage; claims should also avoid naming specific third-party deep-learning architectures (e.g., SwitchBraidNet, Gumbel-ResNet-KANs) as the implemented classifier unless the electrode montage is actually upgraded to add motor-cortex or occipital channels, since as currently scoped the system uses a lightweight LDA/threshold-class classifier instead (Section 4.5.2). A qualified patent attorney should conduct a formal FTO/novelty search before filing, and any claim language should be reviewed to ensure it does not overstate the system's current (bench-only) validation status.</w:t>
      </w:r>
    </w:p>
    <w:p>
      <w:pPr>
        <w:spacing w:before="0" w:after="120" w:line="276" w:lineRule="auto"/>
      </w:pPr>
      <w:r>
        <w:rPr>
          <w:rFonts w:ascii="Calibri" w:hAnsi="Calibri"/>
          <w:color w:val="333333"/>
          <w:sz w:val="22"/>
        </w:rPr>
        <w:t>9. Recommended Development Roadmap</w:t>
      </w:r>
    </w:p>
    <w:p>
      <w:pPr>
        <w:spacing w:before="0" w:after="120" w:line="276" w:lineRule="auto"/>
      </w:pPr>
      <w:r>
        <w:rPr>
          <w:rFonts w:ascii="Calibri" w:hAnsi="Calibri"/>
          <w:color w:val="333333"/>
          <w:sz w:val="22"/>
        </w:rPr>
        <w:t>10. Conclusion</w:t>
      </w:r>
    </w:p>
    <w:p>
      <w:pPr>
        <w:spacing w:before="0" w:after="120" w:line="276" w:lineRule="auto"/>
      </w:pPr>
      <w:r>
        <w:rPr>
          <w:rFonts w:ascii="Calibri" w:hAnsi="Calibri"/>
          <w:color w:val="333333"/>
          <w:sz w:val="22"/>
        </w:rPr>
        <w:t>Switching to the OpenBCI Open-cEEGrid system and synthetic hand/leg models does not change the underlying pipeline concept, but it does change the honest feasibility picture in five concrete ways. It substantially improves data quality and rigor, since the system provides 16 real EEG channels with fully open raw-data access rather than a proprietary vendor score. It shifts the realistic control paradigm from a generic “attention/engagement” framing to specific, literature-validated signals for this exact electrode placement — tactile/auditory P300, jaw-clench events, and cognitive-workload/flow-state band power — while leaving the core limitation unchanged: true motor-imagery (ERD/ERS) decoding remains unsupported, because around-the-ear electrodes do not cover motor cortex any better than a frontal montage would, and in some respects less so. It strengthens the safety-interlock design, since a 2025 study specifically validates periauricular electrodes for eye-tracking and blink detection, giving the blink-veto concept direct hardware-specific support. It raises cost substantially, from a low-cost consumer-headset assumption to the $3,299.99 confirmed price of the Open-cEEGrid bundle, which should be reflected explicitly in project budgeting. And it leaves the near-term safety and regulatory picture essentially unchanged and favorable, since synthetic actuation targets keep any human involvement limited to low-risk, non-invasive EEG data collection.</w:t>
      </w:r>
    </w:p>
    <w:p>
      <w:pPr>
        <w:spacing w:before="0" w:after="120" w:line="276" w:lineRule="auto"/>
      </w:pPr>
      <w:r>
        <w:rPr>
          <w:rFonts w:ascii="Calibri" w:hAnsi="Calibri"/>
          <w:color w:val="333333"/>
          <w:sz w:val="22"/>
        </w:rPr>
        <w:t>On balance, this is a favorable and, if anything, more rigorous configuration for an initial project stage than the original consumer-headset assumption: it converts an ambitious, higher-risk clinical-device project into a well-scoped, quickly achievable feasibility study, grounded in real inspectable data, that can still support a publishable paper and a narrowly claimed patent — provided the higher hardware cost is budgeted for, the reporting is explicit that human-worn clinical validation remains future work, and any claimed classifier or trigger paradigm matches what the around-the-ear montage can actually support. The phased roadmap in Section 9 — synthetic hand model first, then trigger-reliability hardening, then synthetic leg model, then a unified dual-mode testbed — is recommended to build toward that outcome in a manageable sequence.</w:t>
      </w:r>
    </w:p>
    <w:p>
      <w:pPr>
        <w:spacing w:before="0" w:after="120" w:line="276" w:lineRule="auto"/>
      </w:pPr>
      <w:r>
        <w:rPr>
          <w:rFonts w:ascii="Calibri" w:hAnsi="Calibri"/>
          <w:color w:val="333333"/>
          <w:sz w:val="22"/>
        </w:rPr>
        <w:t>11. Hardware Bill of Materials: NVIDIA Orin + OpenBCI Open-cEEGrid Configuration</w:t>
      </w:r>
    </w:p>
    <w:p>
      <w:pPr>
        <w:spacing w:before="0" w:after="120" w:line="276" w:lineRule="auto"/>
      </w:pPr>
      <w:r>
        <w:rPr>
          <w:rFonts w:ascii="Calibri" w:hAnsi="Calibri"/>
          <w:color w:val="333333"/>
          <w:sz w:val="22"/>
        </w:rPr>
        <w:t>This section consolidates the full hardware list implied by substituting an NVIDIA Jetson Orin module for the ESP32-P4 discussed in Section 4.5, while keeping the OpenBCI Open-cEEGrid acquisition system specified elsewhere in this report. The Orin fits the second tier of the embedded architecture described in Section 4.5 (a single-board edge-AI module for the classifier), which the report explicitly pairs with "a secondary, simpler microcontroller purely for motor/servo driving" rather than driving actuators directly. The categories below reflect that two-tier architecture plus the acquisition, actuation-target, and safety hardware described in Sections 3, 4.6, and 7.3.</w:t>
      </w:r>
    </w:p>
    <w:p>
      <w:pPr>
        <w:keepNext/>
        <w:spacing w:before="280" w:after="80"/>
      </w:pPr>
      <w:r>
        <w:rPr>
          <w:rFonts w:ascii="Calibri" w:hAnsi="Calibri"/>
          <w:b/>
          <w:color w:val="2E75B6"/>
          <w:sz w:val="26"/>
        </w:rPr>
        <w:t>11.1 EEG Acquisition Hardware</w:t>
      </w:r>
    </w:p>
    <w:p>
      <w:pPr>
        <w:spacing w:before="0" w:after="120" w:line="276" w:lineRule="auto"/>
      </w:pPr>
      <w:r>
        <w:rPr>
          <w:rFonts w:ascii="Calibri" w:hAnsi="Calibri"/>
          <w:color w:val="333333"/>
          <w:sz w:val="22"/>
        </w:rPr>
        <w:t>OpenBCI Open-cEEGrid Around-the-Ear EEG Bundle: 16-channel Cyton+Daisy acquisition board, flexible cEEGrid electrode arrays, headband/mounting hardware, and accessories, confirmed at $3,299.99 (Sections 4.9, 7.3).</w:t>
      </w:r>
    </w:p>
    <w:p>
      <w:pPr>
        <w:spacing w:before="0" w:after="120" w:line="276" w:lineRule="auto"/>
      </w:pPr>
      <w:r>
        <w:rPr>
          <w:rFonts w:ascii="Calibri" w:hAnsi="Calibri"/>
          <w:color w:val="333333"/>
          <w:sz w:val="22"/>
        </w:rPr>
        <w:t>Electrode gel/adhesive and spare cEEGrid arrays for repeated sessions, since the electrodes are semi-consumable over time.</w:t>
      </w:r>
    </w:p>
    <w:p>
      <w:pPr>
        <w:spacing w:before="0" w:after="120" w:line="276" w:lineRule="auto"/>
      </w:pPr>
      <w:r>
        <w:rPr>
          <w:rFonts w:ascii="Calibri" w:hAnsi="Calibri"/>
          <w:color w:val="333333"/>
          <w:sz w:val="22"/>
        </w:rPr>
        <w:t>USB cable (wired) or a BLE/Wi-Fi dongle (wireless) to stream from the Cyton+Daisy board, since the board itself is untethered from the classifier hardware.</w:t>
      </w:r>
    </w:p>
    <w:p>
      <w:pPr>
        <w:keepNext/>
        <w:spacing w:before="280" w:after="80"/>
      </w:pPr>
      <w:r>
        <w:rPr>
          <w:rFonts w:ascii="Calibri" w:hAnsi="Calibri"/>
          <w:b/>
          <w:color w:val="2E75B6"/>
          <w:sz w:val="26"/>
        </w:rPr>
        <w:t>11.2 Edge-AI Compute (NVIDIA Orin)</w:t>
      </w:r>
    </w:p>
    <w:p>
      <w:pPr>
        <w:spacing w:before="0" w:after="120" w:line="276" w:lineRule="auto"/>
      </w:pPr>
      <w:r>
        <w:rPr>
          <w:rFonts w:ascii="Calibri" w:hAnsi="Calibri"/>
          <w:color w:val="333333"/>
          <w:sz w:val="22"/>
        </w:rPr>
        <w:t>Jetson Orin Nano/NX module (or Orin Dev Kit) — fills the "small single-board computer or edge-AI module" role named in Section 4.5, in place of the report's illustrative Jetson Nano-class example.</w:t>
      </w:r>
    </w:p>
    <w:p>
      <w:pPr>
        <w:spacing w:before="0" w:after="120" w:line="276" w:lineRule="auto"/>
      </w:pPr>
      <w:r>
        <w:rPr>
          <w:rFonts w:ascii="Calibri" w:hAnsi="Calibri"/>
          <w:color w:val="333333"/>
          <w:sz w:val="22"/>
        </w:rPr>
        <w:t>Carrier board, if using a production module rather than the Dev Kit, plus a dedicated power supply (Orin modules typically require 15–60 W, not USB power).</w:t>
      </w:r>
    </w:p>
    <w:p>
      <w:pPr>
        <w:spacing w:before="0" w:after="120" w:line="276" w:lineRule="auto"/>
      </w:pPr>
      <w:r>
        <w:rPr>
          <w:rFonts w:ascii="Calibri" w:hAnsi="Calibri"/>
          <w:color w:val="333333"/>
          <w:sz w:val="22"/>
        </w:rPr>
        <w:t>microSD card or NVMe SSD for OS and storage, and active cooling (fan/heatsink), since Orin modules throttle under sustained load without it.</w:t>
      </w:r>
    </w:p>
    <w:p>
      <w:pPr>
        <w:spacing w:before="0" w:after="120" w:line="276" w:lineRule="auto"/>
      </w:pPr>
      <w:r>
        <w:rPr>
          <w:rFonts w:ascii="Calibri" w:hAnsi="Calibri"/>
          <w:color w:val="333333"/>
          <w:sz w:val="22"/>
        </w:rPr>
        <w:t>Note on classifier choice: as discussed in Section 4.5.2, the Orin's additional compute headroom does not by itself justify SwitchBraidNet or Gumbel-ResNet-KANs, since both assume motor-cortex or occipital coverage this montage lacks. The Orin's practical role is running the same lightweight LDA/threshold-class classifier described in Section 4.5.2 with more comfortable headroom, and/or handling the 16-channel data-transfer and pre-processing path flagged in Sections 4.5.1 and 4.6.1, not enabling a heavier model that the signal cannot support.</w:t>
      </w:r>
    </w:p>
    <w:p>
      <w:pPr>
        <w:keepNext/>
        <w:spacing w:before="280" w:after="80"/>
      </w:pPr>
      <w:r>
        <w:rPr>
          <w:rFonts w:ascii="Calibri" w:hAnsi="Calibri"/>
          <w:b/>
          <w:color w:val="2E75B6"/>
          <w:sz w:val="26"/>
        </w:rPr>
        <w:t>11.3 Real-Time Actuation Microcontroller</w:t>
      </w:r>
    </w:p>
    <w:p>
      <w:pPr>
        <w:spacing w:before="0" w:after="120" w:line="276" w:lineRule="auto"/>
      </w:pPr>
      <w:r>
        <w:rPr>
          <w:rFonts w:ascii="Calibri" w:hAnsi="Calibri"/>
          <w:color w:val="333333"/>
          <w:sz w:val="22"/>
        </w:rPr>
        <w:t>The Orin is not a substitute for this layer: Section 4.5 specifies that low-jitter motor/servo driving is handled by "a secondary, simpler microcontroller," independent of which board runs the classifier.</w:t>
      </w:r>
    </w:p>
    <w:p>
      <w:pPr>
        <w:spacing w:before="0" w:after="120" w:line="276" w:lineRule="auto"/>
      </w:pPr>
      <w:r>
        <w:rPr>
          <w:rFonts w:ascii="Calibri" w:hAnsi="Calibri"/>
          <w:color w:val="333333"/>
          <w:sz w:val="22"/>
        </w:rPr>
        <w:t>Arduino (Uno/Due) or ESP32-class microcontroller, consistent with the low-cost, open-source control tier described in Section 4.5 and used across the hand-exoskeleton studies in Section 4.2 (e.g., the VAEDA platform's Arduino Due + H-bridge driver).</w:t>
      </w:r>
    </w:p>
    <w:p>
      <w:pPr>
        <w:spacing w:before="0" w:after="120" w:line="276" w:lineRule="auto"/>
      </w:pPr>
      <w:r>
        <w:rPr>
          <w:rFonts w:ascii="Calibri" w:hAnsi="Calibri"/>
          <w:color w:val="333333"/>
          <w:sz w:val="22"/>
        </w:rPr>
        <w:t>USB, UART, or SPI link between the Orin and this microcontroller to pass classifier output to the actuation layer.</w:t>
      </w:r>
    </w:p>
    <w:p>
      <w:pPr>
        <w:keepNext/>
        <w:spacing w:before="280" w:after="80"/>
      </w:pPr>
      <w:r>
        <w:rPr>
          <w:rFonts w:ascii="Calibri" w:hAnsi="Calibri"/>
          <w:b/>
          <w:color w:val="2E75B6"/>
          <w:sz w:val="26"/>
        </w:rPr>
        <w:t>11.4 Motor Drivers and Actuators</w:t>
      </w:r>
    </w:p>
    <w:p>
      <w:pPr>
        <w:spacing w:before="0" w:after="120" w:line="276" w:lineRule="auto"/>
      </w:pPr>
      <w:r>
        <w:rPr>
          <w:rFonts w:ascii="Calibri" w:hAnsi="Calibri"/>
          <w:color w:val="333333"/>
          <w:sz w:val="22"/>
        </w:rPr>
        <w:t>Motor driver IC / H-bridge module, as used in the VAEDA and HERO systems referenced in Section 4.2.</w:t>
      </w:r>
    </w:p>
    <w:p>
      <w:pPr>
        <w:spacing w:before="0" w:after="120" w:line="276" w:lineRule="auto"/>
      </w:pPr>
      <w:r>
        <w:rPr>
          <w:rFonts w:ascii="Calibri" w:hAnsi="Calibri"/>
          <w:color w:val="333333"/>
          <w:sz w:val="22"/>
        </w:rPr>
        <w:t>Servo motors and/or Bowden-cable drive for the synthetic hand model's finger linkages, and DC or stepper motors for the synthetic leg model's joint linkages, per the actuation description in Section 3.</w:t>
      </w:r>
    </w:p>
    <w:p>
      <w:pPr>
        <w:keepNext/>
        <w:spacing w:before="280" w:after="80"/>
      </w:pPr>
      <w:r>
        <w:rPr>
          <w:rFonts w:ascii="Calibri" w:hAnsi="Calibri"/>
          <w:b/>
          <w:color w:val="2E75B6"/>
          <w:sz w:val="26"/>
        </w:rPr>
        <w:t>11.5 Synthetic Hand and Leg Models</w:t>
      </w:r>
    </w:p>
    <w:p>
      <w:pPr>
        <w:spacing w:before="0" w:after="120" w:line="276" w:lineRule="auto"/>
      </w:pPr>
      <w:r>
        <w:rPr>
          <w:rFonts w:ascii="Calibri" w:hAnsi="Calibri"/>
          <w:color w:val="333333"/>
          <w:sz w:val="22"/>
        </w:rPr>
        <w:t>3D-printed or benchtop synthetic hand model with servo- or Bowden-cable-driven finger linkages, consistent with the HERO-style designs reviewed in Section 4.2 and the bench-validation approach described in Section 4.7.</w:t>
      </w:r>
    </w:p>
    <w:p>
      <w:pPr>
        <w:spacing w:before="0" w:after="120" w:line="276" w:lineRule="auto"/>
      </w:pPr>
      <w:r>
        <w:rPr>
          <w:rFonts w:ascii="Calibri" w:hAnsi="Calibri"/>
          <w:color w:val="333333"/>
          <w:sz w:val="22"/>
        </w:rPr>
        <w:t>3D-printed or mechanical benchtop leg/gait model with joint linkages and mechanical joint-limit stops, per Section 3; joint-limit stops are worth retaining even at the synthetic-model stage as a low-cost precursor to the safety practices a human-worn version would require.</w:t>
      </w:r>
    </w:p>
    <w:p>
      <w:pPr>
        <w:keepNext/>
        <w:spacing w:before="280" w:after="80"/>
      </w:pPr>
      <w:r>
        <w:rPr>
          <w:rFonts w:ascii="Calibri" w:hAnsi="Calibri"/>
          <w:b/>
          <w:color w:val="2E75B6"/>
          <w:sz w:val="26"/>
        </w:rPr>
        <w:t>11.6 Safety Interlock Hardware (Recommended)</w:t>
      </w:r>
    </w:p>
    <w:p>
      <w:pPr>
        <w:spacing w:before="0" w:after="120" w:line="276" w:lineRule="auto"/>
      </w:pPr>
      <w:r>
        <w:rPr>
          <w:rFonts w:ascii="Calibri" w:hAnsi="Calibri"/>
          <w:color w:val="333333"/>
          <w:sz w:val="22"/>
        </w:rPr>
        <w:t>No additional hardware purchase is required for the periauricular-EOG blink-veto path, since it reuses the Open-cEEGrid electrodes already listed in Section 11.1 (Sections 4.6.1, 7.1).</w:t>
      </w:r>
    </w:p>
    <w:p>
      <w:pPr>
        <w:spacing w:before="0" w:after="120" w:line="276" w:lineRule="auto"/>
      </w:pPr>
      <w:r>
        <w:rPr>
          <w:rFonts w:ascii="Calibri" w:hAnsi="Calibri"/>
          <w:color w:val="333333"/>
          <w:sz w:val="22"/>
        </w:rPr>
        <w:t>A simple manual override switch or button as a low-cost secondary confirmation path, per the safety-interlock discussion in Sections 3 and 4.6.</w:t>
      </w:r>
    </w:p>
    <w:p>
      <w:pPr>
        <w:keepNext/>
        <w:spacing w:before="280" w:after="80"/>
      </w:pPr>
      <w:r>
        <w:rPr>
          <w:rFonts w:ascii="Calibri" w:hAnsi="Calibri"/>
          <w:b/>
          <w:color w:val="2E75B6"/>
          <w:sz w:val="26"/>
        </w:rPr>
        <w:t>11.7 Host Computer and Data Pipeline</w:t>
      </w:r>
    </w:p>
    <w:p>
      <w:pPr>
        <w:spacing w:before="0" w:after="120" w:line="276" w:lineRule="auto"/>
      </w:pPr>
      <w:r>
        <w:rPr>
          <w:rFonts w:ascii="Calibri" w:hAnsi="Calibri"/>
          <w:color w:val="333333"/>
          <w:sz w:val="22"/>
        </w:rPr>
        <w:t>A laptop/PC to run the OpenBCI GUI and BrainFlow for electrode setup, impedance checks, and initial classifier training data collection, per Section 11.1 and the data-pipeline caution in Section 4.5.1: the 16-channel raw stream's transfer path "should be included explicitly in the system design rather than assumed to be negligible."</w:t>
      </w:r>
    </w:p>
    <w:p>
      <w:pPr>
        <w:keepNext/>
        <w:spacing w:before="280" w:after="80"/>
      </w:pPr>
      <w:r>
        <w:rPr>
          <w:rFonts w:ascii="Calibri" w:hAnsi="Calibri"/>
          <w:b/>
          <w:color w:val="2E75B6"/>
          <w:sz w:val="26"/>
        </w:rPr>
        <w:t>11.8 Power, Prototyping, and Miscellaneous</w:t>
      </w:r>
    </w:p>
    <w:p>
      <w:pPr>
        <w:spacing w:before="0" w:after="120" w:line="276" w:lineRule="auto"/>
      </w:pPr>
      <w:r>
        <w:rPr>
          <w:rFonts w:ascii="Calibri" w:hAnsi="Calibri"/>
          <w:color w:val="333333"/>
          <w:sz w:val="22"/>
        </w:rPr>
        <w:t>A separate power supply/battery for the motors, kept isolated from the Orin's power rail.</w:t>
      </w:r>
    </w:p>
    <w:p>
      <w:pPr>
        <w:spacing w:before="0" w:after="120" w:line="276" w:lineRule="auto"/>
      </w:pPr>
      <w:r>
        <w:rPr>
          <w:rFonts w:ascii="Calibri" w:hAnsi="Calibri"/>
          <w:color w:val="333333"/>
          <w:sz w:val="22"/>
        </w:rPr>
        <w:t>Breadboard or perfboard, jumper wires, and connectors for prototyping the motor-driver-to-microcontroller wiring.</w:t>
      </w:r>
    </w:p>
    <w:p>
      <w:pPr>
        <w:keepNext/>
        <w:spacing w:before="280" w:after="80"/>
      </w:pPr>
      <w:r>
        <w:rPr>
          <w:rFonts w:ascii="Calibri" w:hAnsi="Calibri"/>
          <w:b/>
          <w:color w:val="2E75B6"/>
          <w:sz w:val="26"/>
        </w:rPr>
        <w:t>11.9 Budget Note</w:t>
      </w:r>
    </w:p>
    <w:p>
      <w:pPr>
        <w:spacing w:before="0" w:after="120" w:line="276" w:lineRule="auto"/>
      </w:pPr>
      <w:r>
        <w:rPr>
          <w:rFonts w:ascii="Calibri" w:hAnsi="Calibri"/>
          <w:color w:val="333333"/>
          <w:sz w:val="22"/>
        </w:rPr>
        <w:t>Section 7.3 prices the mechanical/electronic subsystem at roughly US$100, based on Arduino/ESP32-class designs, as a line item separate from the $3,299.99 Open-cEEGrid acquisition system. Substituting an Orin adds a third line item on top of both: Jetson Orin Nano/NX modules and dev kits typically range from roughly $150–$500+ depending on variant and carrier board. The consolidated estimate for this configuration is therefore approximately $3,299.99 (Open-cEEGrid) + $150–$500+ (Orin and support hardware) + $100–$300 (microcontroller, motor drivers, and dual synthetic-model mechanical build), rather than the single ESP32-only estimate in Section 7.3.</w:t>
      </w:r>
    </w:p>
    <w:p>
      <w:pPr>
        <w:keepNext/>
        <w:spacing w:before="280" w:after="80"/>
      </w:pPr>
      <w:r>
        <w:rPr>
          <w:rFonts w:ascii="Calibri" w:hAnsi="Calibri"/>
          <w:b/>
          <w:color w:val="2E75B6"/>
          <w:sz w:val="26"/>
        </w:rPr>
        <w:t>11.10 India Availability and Sourcing</w:t>
      </w:r>
    </w:p>
    <w:p>
      <w:pPr>
        <w:spacing w:before="0" w:after="120" w:line="276" w:lineRule="auto"/>
      </w:pPr>
      <w:r>
        <w:rPr>
          <w:rFonts w:ascii="Calibri" w:hAnsi="Calibri"/>
          <w:color w:val="333333"/>
          <w:sz w:val="22"/>
        </w:rPr>
        <w:t>All hardware categories listed in Sections 11.1–11.8 are obtainable within India, either from Indian-registered OpenBCI/NVIDIA distributors, from Indian electronics retailers carrying the same global parts, or from India-based alternative brands. None of the categories requires an item that is unavailable in-country, though several EEG-specific items are import-priced and carry longer lead times than the mainstream electronics.</w:t>
      </w:r>
    </w:p>
    <w:p>
      <w:pPr>
        <w:spacing w:before="0" w:after="120" w:line="276" w:lineRule="auto"/>
      </w:pPr>
      <w:r>
        <w:rPr>
          <w:rFonts w:ascii="Calibri" w:hAnsi="Calibri"/>
          <w:color w:val="333333"/>
          <w:sz w:val="22"/>
        </w:rPr>
        <w:t>11.10.1 EEG Acquisition (Section 11.1)</w:t>
      </w:r>
    </w:p>
    <w:p>
      <w:pPr>
        <w:spacing w:before="0" w:after="120" w:line="276" w:lineRule="auto"/>
      </w:pPr>
      <w:r>
        <w:rPr>
          <w:rFonts w:ascii="Calibri" w:hAnsi="Calibri"/>
          <w:color w:val="333333"/>
          <w:sz w:val="22"/>
        </w:rPr>
        <w:t>Available in India through authorized/registered resellers rather than only via direct import. Hitech Lab Solutions (Chennai) and BVM India list themselves as OpenBCI distributors and sell the Cyton+Daisy 16-channel board and the cEEGrid Kit domestically, with quoted India pricing running well above the U.S. list price (Cyton+Daisy around ₹1,00,000; cEEGrid Kit around ₹60,000; the combined Open-cEEGrid Around-the-Ear Bundle around ₹2,00,000, versus $3,299.99 ≈ ₹2,75,000–2,85,000 at the OpenBCI Shop with duties). OpenBCI's own shop also ships to India directly (with import duty/GST calculated at checkout), so purchasing straight from shop.openbci.com remains an option alongside the domestic resellers; comparing both is worthwhile since the Indian-distributor markup versus import-duty cost varies by reseller. No true like-for-like Indian-made alternative exists for the cEEGrid electrode array itself, since its validated P300/jaw-clench/EOG literature (Sections 4.1, 4.6.1) is specific to this electrode geometry; substituting a different around-the-ear or dry-electrode product would forfeit that literature support and should be treated as a research decision, not just a sourcing one.</w:t>
      </w:r>
    </w:p>
    <w:p>
      <w:pPr>
        <w:spacing w:before="0" w:after="120" w:line="276" w:lineRule="auto"/>
      </w:pPr>
      <w:r>
        <w:rPr>
          <w:rFonts w:ascii="Calibri" w:hAnsi="Calibri"/>
          <w:color w:val="333333"/>
          <w:sz w:val="22"/>
        </w:rPr>
        <w:t>11.10.2 Edge-AI Compute — NVIDIA Orin (Section 11.2)</w:t>
      </w:r>
    </w:p>
    <w:p>
      <w:pPr>
        <w:spacing w:before="0" w:after="120" w:line="276" w:lineRule="auto"/>
      </w:pPr>
      <w:r>
        <w:rPr>
          <w:rFonts w:ascii="Calibri" w:hAnsi="Calibri"/>
          <w:color w:val="333333"/>
          <w:sz w:val="22"/>
        </w:rPr>
        <w:t>Readily available in India. The Jetson Orin Nano Developer Kit and standalone Orin Nano/NX modules are stocked by multiple Indian electronics distributors, including ElectronicsComp.com, Tanna TechBiz, Robu.in, and Avinya (Pune), and the Orin Nano Super Developer Kit is also listed on Amazon.in. Indian pricing for the Orin Nano Developer Kit/module clusters around ₹33,000–₹56,000 depending on vendor and bundle (carrier board, enclosure, cooling included or not), with Orin NX modules around ₹95,000–₹1,25,000 and AGX Orin modules considerably higher. Carrier boards, heatsink/fan kits, and enclosures are sold separately by the same distributors if not already bundled into a "full system" kit. No substitution is needed here; the main sourcing decision is developer kit (module + carrier board + cooling bundled) versus buying the module and carrier board separately, which is usually cheaper if a carrier board is already on hand for prototyping.</w:t>
      </w:r>
    </w:p>
    <w:p>
      <w:pPr>
        <w:spacing w:before="0" w:after="120" w:line="276" w:lineRule="auto"/>
      </w:pPr>
      <w:r>
        <w:rPr>
          <w:rFonts w:ascii="Calibri" w:hAnsi="Calibri"/>
          <w:color w:val="333333"/>
          <w:sz w:val="22"/>
        </w:rPr>
        <w:t>11.10.3 Actuation Microcontroller, Motor Drivers, and Prototyping Basics (Sections 11.3, 11.4, 11.8)</w:t>
      </w:r>
    </w:p>
    <w:p>
      <w:pPr>
        <w:spacing w:before="0" w:after="120" w:line="276" w:lineRule="auto"/>
      </w:pPr>
      <w:r>
        <w:rPr>
          <w:rFonts w:ascii="Calibri" w:hAnsi="Calibri"/>
          <w:color w:val="333333"/>
          <w:sz w:val="22"/>
        </w:rPr>
        <w:t>Widely available domestically; this category is the least import-constrained in the whole bill of materials. Arduino Uno/Due boards, ESP32 dev boards, H-bridge/motor-driver modules (L298N, TB6612FNG-class boards), servo motors, DC gear motors, stepper motors, breadboards, jumper wires, and connectors are stocked by Indian electronics retailers such as Robu.in, RoboKits India, Robocraze, and Quartz Components, alongside general electronics marketplaces (Amazon.in, Flipkart). Where Indian availability is thin for a specific imported Arduino SKU (e.g., official Arduino Due), India-made or India-assembled ESP32-class boards are a direct, literature-consistent substitute, since Section 4.5 already treats Arduino- and ESP32-class microcontrollers as interchangeable for this control tier.</w:t>
      </w:r>
    </w:p>
    <w:p>
      <w:pPr>
        <w:spacing w:before="0" w:after="120" w:line="276" w:lineRule="auto"/>
      </w:pPr>
      <w:r>
        <w:rPr>
          <w:rFonts w:ascii="Calibri" w:hAnsi="Calibri"/>
          <w:color w:val="333333"/>
          <w:sz w:val="22"/>
        </w:rPr>
        <w:t>11.10.4 Synthetic Hand and Leg Models (Section 11.5)</w:t>
      </w:r>
    </w:p>
    <w:p>
      <w:pPr>
        <w:spacing w:before="0" w:after="120" w:line="276" w:lineRule="auto"/>
      </w:pPr>
      <w:r>
        <w:rPr>
          <w:rFonts w:ascii="Calibri" w:hAnsi="Calibri"/>
          <w:color w:val="333333"/>
          <w:sz w:val="22"/>
        </w:rPr>
        <w:t>Fully sourceable in India, since these are 3D-printed or bench-fabricated rather than purchased as a finished medical product. PLA/PETG filament, 3D printers or campus/makerspace print services, and mechanical hardware (linkages, Bowden cable, bearings) are available from Indian 3D-printing suppliers (e.g., Robu.in, 3D printing service bureaus in most major Indian cities) and general hardware suppliers. No specialty import is required for this category; it follows the same open-hardware design files referenced in Sections 4.2 and 4.7 regardless of country.</w:t>
      </w:r>
    </w:p>
    <w:p>
      <w:pPr>
        <w:spacing w:before="0" w:after="120" w:line="276" w:lineRule="auto"/>
      </w:pPr>
      <w:r>
        <w:rPr>
          <w:rFonts w:ascii="Calibri" w:hAnsi="Calibri"/>
          <w:color w:val="333333"/>
          <w:sz w:val="22"/>
        </w:rPr>
        <w:t>11.10.5 Safety Interlock and Host Computer (Sections 11.6, 11.7)</w:t>
      </w:r>
    </w:p>
    <w:p>
      <w:pPr>
        <w:spacing w:before="0" w:after="120" w:line="276" w:lineRule="auto"/>
      </w:pPr>
      <w:r>
        <w:rPr>
          <w:rFonts w:ascii="Calibri" w:hAnsi="Calibri"/>
          <w:color w:val="333333"/>
          <w:sz w:val="22"/>
        </w:rPr>
        <w:t>No sourcing constraint. The manual override switch is a standard electronic component available anywhere in India, and any Windows/Linux/Mac laptop capable of running the OpenBCI GUI and BrainFlow is suitable for the host-computer role; no India-specific substitution is needed.</w:t>
      </w:r>
    </w:p>
    <w:p>
      <w:pPr>
        <w:spacing w:before="0" w:after="120" w:line="276" w:lineRule="auto"/>
      </w:pPr>
      <w:r>
        <w:rPr>
          <w:rFonts w:ascii="Calibri" w:hAnsi="Calibri"/>
          <w:color w:val="333333"/>
          <w:sz w:val="22"/>
        </w:rPr>
        <w:t>11.10.6 Summary Table</w:t>
      </w:r>
    </w:p>
    <w:p>
      <w:pPr>
        <w:spacing w:before="0" w:after="120" w:line="276" w:lineRule="auto"/>
      </w:pPr>
      <w:r>
        <w:rPr>
          <w:rFonts w:ascii="Calibri" w:hAnsi="Calibri"/>
          <w:color w:val="333333"/>
          <w:sz w:val="22"/>
        </w:rPr>
        <w:t>India-specific budget note: summing the domestic-reseller figures above (Open-cEEGrid bundle ≈₹2,00,000–2,85,000, Orin Nano ≈₹33,000–₹56,000, microcontroller/motor/mechanical subsystem ≈₹8,000–₹15,000) puts an India-sourced build in the range of roughly ₹2.4–3.55 lakh, broadly consistent with the USD estimate in Section 11.9 once GST, import duty, and reseller markup are accounted for. Direct import from OpenBCI's and NVIDIA-partner shops (with duty paid at customs) versus buying from an Indian distributor should both be quoted before committing, since the cheaper path varies by current duty rates and reseller stock.</w:t>
      </w:r>
    </w:p>
    <w:p>
      <w:pPr>
        <w:keepNext/>
        <w:spacing w:before="280" w:after="80"/>
      </w:pPr>
      <w:r>
        <w:rPr>
          <w:rFonts w:ascii="Calibri" w:hAnsi="Calibri"/>
          <w:b/>
          <w:color w:val="2E75B6"/>
          <w:sz w:val="26"/>
        </w:rPr>
        <w:t>Sources Verified for This Revision (OpenBCI Open-cEEGrid / Synthetic-Model / Claim Verification)</w:t>
      </w:r>
    </w:p>
    <w:p>
      <w:pPr>
        <w:spacing w:before="0" w:after="120" w:line="276" w:lineRule="auto"/>
      </w:pPr>
      <w:r>
        <w:rPr>
          <w:rFonts w:ascii="Calibri" w:hAnsi="Calibri"/>
          <w:color w:val="333333"/>
          <w:sz w:val="22"/>
        </w:rPr>
        <w:t>Espressif Systems. ESP32-P4 High-Performance SoC — product page and datasheet. https://www.espressif.com/en/products/socs/esp32-p4</w:t>
      </w:r>
    </w:p>
    <w:p>
      <w:pPr>
        <w:spacing w:before="0" w:after="120" w:line="276" w:lineRule="auto"/>
      </w:pPr>
      <w:r>
        <w:rPr>
          <w:rFonts w:ascii="Calibri" w:hAnsi="Calibri"/>
          <w:color w:val="333333"/>
          <w:sz w:val="22"/>
        </w:rPr>
        <w:t>Siddhad, G. &amp; Meena, Y.K. (2026). SwitchBraidNet: Quantisation-Aware Lightweight Architecture for Hybrid Brain-Computer Interface. arXiv:2606.18816.</w:t>
      </w:r>
    </w:p>
    <w:p>
      <w:pPr>
        <w:spacing w:before="0" w:after="120" w:line="276" w:lineRule="auto"/>
      </w:pPr>
      <w:r>
        <w:rPr>
          <w:rFonts w:ascii="Calibri" w:hAnsi="Calibri"/>
          <w:color w:val="333333"/>
          <w:sz w:val="22"/>
        </w:rPr>
        <w:t>Brain-machine interaction and assist effect evaluation of a single-degree-of-freedom sit-to-stand transfer robot (Gumbel-ResNet-KANs model) (2025). Robotica, Cambridge Core.</w:t>
      </w:r>
    </w:p>
    <w:p>
      <w:pPr>
        <w:spacing w:before="0" w:after="120" w:line="276" w:lineRule="auto"/>
      </w:pPr>
      <w:r>
        <w:rPr>
          <w:rFonts w:ascii="Calibri" w:hAnsi="Calibri"/>
          <w:color w:val="333333"/>
          <w:sz w:val="22"/>
        </w:rPr>
        <w:t>recoveriX Upper and Lower Limb Training After Stroke: sequential BCI training study (2024). Frontiers in Neuroscience, summarized at https://recoverix.com/recoverix-upper-and-lower-limb-training-after-stroke-2024-frontiers-study/ (g.tec medical engineering recoveriX system).</w:t>
      </w:r>
    </w:p>
    <w:p>
      <w:pPr>
        <w:spacing w:before="0" w:after="120" w:line="276" w:lineRule="auto"/>
      </w:pPr>
      <w:r>
        <w:rPr>
          <w:rFonts w:ascii="Calibri" w:hAnsi="Calibri"/>
          <w:color w:val="333333"/>
          <w:sz w:val="22"/>
        </w:rPr>
        <w:t>BCI-Based Rehabilitation on the Stroke in Sequela Stage (recoveriX 16-channel sensorimotor montage detail) (2020). PMC7752268.</w:t>
      </w:r>
    </w:p>
    <w:p>
      <w:pPr>
        <w:spacing w:before="0" w:after="120" w:line="276" w:lineRule="auto"/>
      </w:pPr>
      <w:r>
        <w:rPr>
          <w:rFonts w:ascii="Calibri" w:hAnsi="Calibri"/>
          <w:color w:val="333333"/>
          <w:sz w:val="22"/>
        </w:rPr>
        <w:t>OpenBCI Shop. Open-cEEGrid Around-the-Ear EEG Bundle — product listing, specifications, and price ($3,299.99). https://shop.openbci.com/products/around-the-ear-eeg-bundle</w:t>
      </w:r>
    </w:p>
    <w:p>
      <w:pPr>
        <w:spacing w:before="0" w:after="120" w:line="276" w:lineRule="auto"/>
      </w:pPr>
      <w:r>
        <w:rPr>
          <w:rFonts w:ascii="Calibri" w:hAnsi="Calibri"/>
          <w:color w:val="333333"/>
          <w:sz w:val="22"/>
        </w:rPr>
        <w:t>OpenBCI Documentation. cEEGrid Kit. https://docs.openbci.com/ThirdParty/cEEGrid_Kit/</w:t>
      </w:r>
    </w:p>
    <w:p>
      <w:pPr>
        <w:spacing w:before="0" w:after="120" w:line="276" w:lineRule="auto"/>
      </w:pPr>
      <w:r>
        <w:rPr>
          <w:rFonts w:ascii="Calibri" w:hAnsi="Calibri"/>
          <w:color w:val="333333"/>
          <w:sz w:val="22"/>
        </w:rPr>
        <w:t>King et al. (2025). EarEOG via periauricular electrodes to facilitate eye tracking in a natural headphone form factor. Nature (as cited in OpenBCI's scientific validation summary for Open-cEEGrid).</w:t>
      </w:r>
    </w:p>
    <w:p>
      <w:pPr>
        <w:spacing w:before="0" w:after="120" w:line="276" w:lineRule="auto"/>
      </w:pPr>
      <w:r>
        <w:rPr>
          <w:rFonts w:ascii="Calibri" w:hAnsi="Calibri"/>
          <w:color w:val="333333"/>
          <w:sz w:val="22"/>
        </w:rPr>
        <w:t>Knierim, M.T., Berger, C., &amp; Reali, P. (2021). Open-source concealed EEG data collection for brain-computer-interfaces: neural observation through OpenBCI amplifiers with around-the-ear cEEGrid electrodes. Brain-Computer Interfaces, 8(4), 161–179. DOI:10.1080/2326263X.2021.1972633.</w:t>
      </w:r>
    </w:p>
    <w:p>
      <w:pPr>
        <w:spacing w:before="0" w:after="120" w:line="276" w:lineRule="auto"/>
      </w:pPr>
      <w:r>
        <w:rPr>
          <w:rFonts w:ascii="Calibri" w:hAnsi="Calibri"/>
          <w:color w:val="333333"/>
          <w:sz w:val="22"/>
        </w:rPr>
        <w:t>Knierim, M.T. et al. (2022). Reliable detection of jaw clenching events using cEEGrid (as cited in OpenBCI's scientific validation summary for Open-cEEGrid).</w:t>
      </w:r>
    </w:p>
    <w:p>
      <w:pPr>
        <w:spacing w:before="0" w:after="120" w:line="276" w:lineRule="auto"/>
      </w:pPr>
      <w:r>
        <w:rPr>
          <w:rFonts w:ascii="Calibri" w:hAnsi="Calibri"/>
          <w:color w:val="333333"/>
          <w:sz w:val="22"/>
        </w:rPr>
        <w:t>Knierim, M.T. et al. (2023). A systematic comparison of high-end and low-cost EEG amplifiers for concealed, around-the-ear EEG recordings (as cited in OpenBCI's scientific validation summary for Open-cEEGrid).</w:t>
      </w:r>
    </w:p>
    <w:p>
      <w:pPr>
        <w:spacing w:before="0" w:after="120" w:line="276" w:lineRule="auto"/>
      </w:pPr>
      <w:r>
        <w:rPr>
          <w:rFonts w:ascii="Calibri" w:hAnsi="Calibri"/>
          <w:color w:val="333333"/>
          <w:sz w:val="22"/>
        </w:rPr>
        <w:t>Knierim, M.T. et al. (2025). Exploring flow in real-world knowledge work using discreet cEEGrid sensors. CHI Conference 2025.</w:t>
      </w:r>
    </w:p>
    <w:p>
      <w:pPr>
        <w:spacing w:before="0" w:after="120" w:line="276" w:lineRule="auto"/>
      </w:pPr>
      <w:r>
        <w:rPr>
          <w:rFonts w:ascii="Calibri" w:hAnsi="Calibri"/>
          <w:color w:val="333333"/>
          <w:sz w:val="22"/>
        </w:rPr>
        <w:t>de Gans, C.J. et al. (2024). Sleep assessment using EEG-based wearables — a systematic review.</w:t>
      </w:r>
    </w:p>
    <w:p>
      <w:pPr>
        <w:spacing w:before="0" w:after="120" w:line="276" w:lineRule="auto"/>
      </w:pPr>
      <w:r>
        <w:rPr>
          <w:rFonts w:ascii="Calibri" w:hAnsi="Calibri"/>
          <w:color w:val="333333"/>
          <w:sz w:val="22"/>
        </w:rPr>
        <w:t>Recording the tactile P300 with the cEEGrid for potential use in a brain-computer interface (2024). PMC11218745 / PubMed 38957693 (reports 63% average cEEGrid classification accuracy vs. ~81% for a full EEG cap, both above the 25% chance level).</w:t>
      </w:r>
    </w:p>
    <w:p>
      <w:pPr>
        <w:spacing w:before="0" w:after="120" w:line="276" w:lineRule="auto"/>
      </w:pPr>
      <w:r>
        <w:rPr>
          <w:rFonts w:ascii="Calibri" w:hAnsi="Calibri"/>
          <w:color w:val="333333"/>
          <w:sz w:val="22"/>
        </w:rPr>
        <w:t>Debener, S. et al. (2015). Unobtrusive ambulatory EEG using a smartphone and flexible printed electrodes around the ear. Scientific Reports, 5, 16743.</w:t>
      </w:r>
    </w:p>
    <w:p>
      <w:pPr>
        <w:spacing w:before="0" w:after="120" w:line="276" w:lineRule="auto"/>
      </w:pPr>
      <w:r>
        <w:rPr>
          <w:rFonts w:ascii="Calibri" w:hAnsi="Calibri"/>
          <w:color w:val="333333"/>
          <w:sz w:val="22"/>
        </w:rPr>
        <w:t>Classification Approach for Attention Assessment via Singular Spectrum Analysis Based on Single-Channel Electroencephalograms (2023). PMC9867040 (single-channel attention-classification precedent, retained for general context on attention-metric methods).</w:t>
      </w:r>
    </w:p>
    <w:p>
      <w:pPr>
        <w:spacing w:before="0" w:after="120" w:line="276" w:lineRule="auto"/>
      </w:pPr>
      <w:r>
        <w:rPr>
          <w:rFonts w:ascii="Calibri" w:hAnsi="Calibri"/>
          <w:color w:val="333333"/>
          <w:sz w:val="22"/>
        </w:rPr>
        <w:t>A Hybrid BCI Based on SSVEP and EOG for Robotic Arm Control (2020). Frontiers in Neurorobotics / PMC7714925 (multi-blink EOG activate/deactivate switch; single-wink command-cancel precedent).</w:t>
      </w:r>
    </w:p>
    <w:p>
      <w:pPr>
        <w:spacing w:before="0" w:after="120" w:line="276" w:lineRule="auto"/>
      </w:pPr>
      <w:r>
        <w:rPr>
          <w:rFonts w:ascii="Calibri" w:hAnsi="Calibri"/>
          <w:color w:val="333333"/>
          <w:sz w:val="22"/>
        </w:rPr>
        <w:t>An EEG-/EOG-Based Hybrid Brain-Computer Interface: Application on Controlling an Integrated Wheelchair Robotic Arm System (2019). Frontiers in Neuroscience (2-second MI classification epoch; blink/eyebrow discrete commands).</w:t>
      </w:r>
    </w:p>
    <w:p>
      <w:pPr>
        <w:keepNext/>
        <w:spacing w:before="280" w:after="80"/>
      </w:pPr>
      <w:r>
        <w:rPr>
          <w:rFonts w:ascii="Calibri" w:hAnsi="Calibri"/>
          <w:b/>
          <w:color w:val="2E75B6"/>
          <w:sz w:val="26"/>
        </w:rPr>
        <w:t>Core Literature Review References</w:t>
      </w:r>
    </w:p>
    <w:p>
      <w:pPr>
        <w:spacing w:before="0" w:after="120" w:line="276" w:lineRule="auto"/>
      </w:pPr>
      <w:r>
        <w:rPr>
          <w:rFonts w:ascii="Calibri" w:hAnsi="Calibri"/>
          <w:color w:val="333333"/>
          <w:sz w:val="22"/>
        </w:rPr>
        <w:t>De la Cruz-Sánchez, B.A. et al. (2025). Hand rehabilitation exoskeleton system based on EEG spatiotemporal characteristics. Expert Systems with Applications, 270, 126445.</w:t>
      </w:r>
    </w:p>
    <w:p>
      <w:pPr>
        <w:spacing w:before="0" w:after="120" w:line="276" w:lineRule="auto"/>
      </w:pPr>
      <w:r>
        <w:rPr>
          <w:rFonts w:ascii="Calibri" w:hAnsi="Calibri"/>
          <w:color w:val="333333"/>
          <w:sz w:val="22"/>
        </w:rPr>
        <w:t>Multi-Level EEG-EMG Neurofeedback Platform for Hand Rehabilitation After Stroke (2026). Applied Sciences, 16(3), 1336.</w:t>
      </w:r>
    </w:p>
    <w:p>
      <w:pPr>
        <w:spacing w:before="0" w:after="120" w:line="276" w:lineRule="auto"/>
      </w:pPr>
      <w:r>
        <w:rPr>
          <w:rFonts w:ascii="Calibri" w:hAnsi="Calibri"/>
          <w:color w:val="333333"/>
          <w:sz w:val="22"/>
        </w:rPr>
        <w:t>EEG-EMG based Hybrid Brain Computer Interface for Triggering Hand Exoskeleton for Neuro-Rehabilitation (2017). Proceedings of the 3rd International Conference on Advances in Robotics (ICAR).</w:t>
      </w:r>
    </w:p>
    <w:p>
      <w:pPr>
        <w:spacing w:before="0" w:after="120" w:line="276" w:lineRule="auto"/>
      </w:pPr>
      <w:r>
        <w:rPr>
          <w:rFonts w:ascii="Calibri" w:hAnsi="Calibri"/>
          <w:color w:val="333333"/>
          <w:sz w:val="22"/>
        </w:rPr>
        <w:t>Design and EMG-EEG Fusion-Based Admittance Control of a Hand Exoskeleton With Series Elastic Actuators (2025). IEEE Transactions on Medical Robotics and Bionics, 7(1), 347–358.</w:t>
      </w:r>
    </w:p>
    <w:p>
      <w:pPr>
        <w:spacing w:before="0" w:after="120" w:line="276" w:lineRule="auto"/>
      </w:pPr>
      <w:r>
        <w:rPr>
          <w:rFonts w:ascii="Calibri" w:hAnsi="Calibri"/>
          <w:color w:val="333333"/>
          <w:sz w:val="22"/>
        </w:rPr>
        <w:t>Development and Analysis of an Exoskeleton for Upper Limb Elbow Joint Rehabilitation Using EEG Signals (2025). Applied System Innovation, 8(5), 126.</w:t>
      </w:r>
    </w:p>
    <w:p>
      <w:pPr>
        <w:spacing w:before="0" w:after="120" w:line="276" w:lineRule="auto"/>
      </w:pPr>
      <w:r>
        <w:rPr>
          <w:rFonts w:ascii="Calibri" w:hAnsi="Calibri"/>
          <w:color w:val="333333"/>
          <w:sz w:val="22"/>
        </w:rPr>
        <w:t>Sensor-driven control strategies for post-stroke shoulder rehabilitation exoskeletons: A systematic review (2025). MethodsX.</w:t>
      </w:r>
    </w:p>
    <w:p>
      <w:pPr>
        <w:spacing w:before="0" w:after="120" w:line="276" w:lineRule="auto"/>
      </w:pPr>
      <w:r>
        <w:rPr>
          <w:rFonts w:ascii="Calibri" w:hAnsi="Calibri"/>
          <w:color w:val="333333"/>
          <w:sz w:val="22"/>
        </w:rPr>
        <w:t>Brain-Computer Interface-Controlled Exoskeletons in Clinical Neurorehabilitation: Ready or Not? (2022). PMC9720703.</w:t>
      </w:r>
    </w:p>
    <w:p>
      <w:pPr>
        <w:spacing w:before="0" w:after="120" w:line="276" w:lineRule="auto"/>
      </w:pPr>
      <w:r>
        <w:rPr>
          <w:rFonts w:ascii="Calibri" w:hAnsi="Calibri"/>
          <w:color w:val="333333"/>
          <w:sz w:val="22"/>
        </w:rPr>
        <w:t>A review on EMG/EEG based control scheme of upper limb rehabilitation robots for stroke patients (2023). Heliyon / PMC10391943.</w:t>
      </w:r>
    </w:p>
    <w:p>
      <w:pPr>
        <w:spacing w:before="0" w:after="120" w:line="276" w:lineRule="auto"/>
      </w:pPr>
      <w:r>
        <w:rPr>
          <w:rFonts w:ascii="Calibri" w:hAnsi="Calibri"/>
          <w:color w:val="333333"/>
          <w:sz w:val="22"/>
        </w:rPr>
        <w:t>An Attention-Controlled Hand Exoskeleton for the Rehabilitation of Finger Extension and Flexion Using a Rigid-Soft Combined Mechanism (2019). Frontiers in Neurorobotics, 13:34.</w:t>
      </w:r>
    </w:p>
    <w:p>
      <w:pPr>
        <w:spacing w:before="0" w:after="120" w:line="276" w:lineRule="auto"/>
      </w:pPr>
      <w:r>
        <w:rPr>
          <w:rFonts w:ascii="Calibri" w:hAnsi="Calibri"/>
          <w:color w:val="333333"/>
          <w:sz w:val="22"/>
        </w:rPr>
        <w:t>NeuroFlex: Feasibility of EEG-Based Motor Imagery Control of a Soft Glove for Hand Rehabilitation (2025). Sensors, 25(3), 610.</w:t>
      </w:r>
    </w:p>
    <w:p>
      <w:pPr>
        <w:spacing w:before="0" w:after="120" w:line="276" w:lineRule="auto"/>
      </w:pPr>
      <w:r>
        <w:rPr>
          <w:rFonts w:ascii="Calibri" w:hAnsi="Calibri"/>
          <w:color w:val="333333"/>
          <w:sz w:val="22"/>
        </w:rPr>
        <w:t>EMG-controlled hand exoskeleton for assisted bilateral rehabilitation (2022). Biocybernetics and Biomedical Engineering.</w:t>
      </w:r>
    </w:p>
    <w:p>
      <w:pPr>
        <w:spacing w:before="0" w:after="120" w:line="276" w:lineRule="auto"/>
      </w:pPr>
      <w:r>
        <w:rPr>
          <w:rFonts w:ascii="Calibri" w:hAnsi="Calibri"/>
          <w:color w:val="333333"/>
          <w:sz w:val="22"/>
        </w:rPr>
        <w:t>Design and Implementation of a Decision Making System for Controlling a Hand Exoskeleton Based on EEG/EMG Signals (2025). bioRxiv preprint.</w:t>
      </w:r>
    </w:p>
    <w:p>
      <w:pPr>
        <w:spacing w:before="0" w:after="120" w:line="276" w:lineRule="auto"/>
      </w:pPr>
      <w:r>
        <w:rPr>
          <w:rFonts w:ascii="Calibri" w:hAnsi="Calibri"/>
          <w:color w:val="333333"/>
          <w:sz w:val="22"/>
        </w:rPr>
        <w:t>Exoskeleton for Upper Limb Rehabilitation (EULR) with 3D Printing Technology Based on Force Sensor (2025). HardwareX / PMC12212270.</w:t>
      </w:r>
    </w:p>
    <w:p>
      <w:pPr>
        <w:spacing w:before="0" w:after="120" w:line="276" w:lineRule="auto"/>
      </w:pPr>
      <w:r>
        <w:rPr>
          <w:rFonts w:ascii="Calibri" w:hAnsi="Calibri"/>
          <w:color w:val="333333"/>
          <w:sz w:val="22"/>
        </w:rPr>
        <w:t>Bilateral mode exoskeleton for hand rehabilitation with wireless control using 3D printing technology based on IMU sensor (2023). HardwareX, PMC10329170.</w:t>
      </w:r>
    </w:p>
    <w:p>
      <w:pPr>
        <w:spacing w:before="0" w:after="120" w:line="276" w:lineRule="auto"/>
      </w:pPr>
      <w:r>
        <w:rPr>
          <w:rFonts w:ascii="Calibri" w:hAnsi="Calibri"/>
          <w:color w:val="333333"/>
          <w:sz w:val="22"/>
        </w:rPr>
        <w:t>Development of a Low-Cost EEG-Controlled Hand Exoskeleton 3D Printed on Textiles (HERO) (2021). PMC8267155.</w:t>
      </w:r>
    </w:p>
    <w:p>
      <w:pPr>
        <w:spacing w:before="0" w:after="120" w:line="276" w:lineRule="auto"/>
      </w:pPr>
      <w:r>
        <w:rPr>
          <w:rFonts w:ascii="Calibri" w:hAnsi="Calibri"/>
          <w:color w:val="333333"/>
          <w:sz w:val="22"/>
        </w:rPr>
        <w:t>A Real-Time BCI for Stroke Hand Rehabilitation Using Latent EEG Features from Healthy Subjects (2025). arXiv:2510.15890.</w:t>
      </w:r>
    </w:p>
    <w:p>
      <w:pPr>
        <w:spacing w:before="0" w:after="120" w:line="276" w:lineRule="auto"/>
      </w:pPr>
      <w:r>
        <w:rPr>
          <w:rFonts w:ascii="Calibri" w:hAnsi="Calibri"/>
          <w:color w:val="333333"/>
          <w:sz w:val="22"/>
        </w:rPr>
        <w:t>Soft, Rigid, and Hybrid Robotic Exoskeletons for Hand Rehabilitation: Roadmap with Impairment-Oriented Rationale for Devices Design and Selection (2023). Applied Sciences, 13(20), 11287.</w:t>
      </w:r>
    </w:p>
    <w:p>
      <w:pPr>
        <w:spacing w:before="0" w:after="120" w:line="276" w:lineRule="auto"/>
      </w:pPr>
      <w:r>
        <w:rPr>
          <w:rFonts w:ascii="Calibri" w:hAnsi="Calibri"/>
          <w:color w:val="333333"/>
          <w:sz w:val="22"/>
        </w:rPr>
        <w:t>EEG-Based BCI Control Schemes for Lower-Limb Assistive-Robots (2018). Frontiers in Human Neuroscience, 12:312.</w:t>
      </w:r>
    </w:p>
    <w:p>
      <w:pPr>
        <w:spacing w:before="0" w:after="120" w:line="276" w:lineRule="auto"/>
      </w:pPr>
      <w:r>
        <w:rPr>
          <w:rFonts w:ascii="Calibri" w:hAnsi="Calibri"/>
          <w:color w:val="333333"/>
          <w:sz w:val="22"/>
        </w:rPr>
        <w:t>EEG-based brain-controlled lower extremity exoskeleton rehabilitation robot (2017). IEEE Conference Publication.</w:t>
      </w:r>
    </w:p>
    <w:p>
      <w:pPr>
        <w:spacing w:before="0" w:after="120" w:line="276" w:lineRule="auto"/>
      </w:pPr>
      <w:r>
        <w:rPr>
          <w:rFonts w:ascii="Calibri" w:hAnsi="Calibri"/>
          <w:color w:val="333333"/>
          <w:sz w:val="22"/>
        </w:rPr>
        <w:t>An attention-based motor imagery brain-computer interface system for lower limb exoskeletons (2024). Review of Scientific Instruments, 95(12), 125113.</w:t>
      </w:r>
    </w:p>
    <w:p>
      <w:pPr>
        <w:spacing w:before="0" w:after="120" w:line="276" w:lineRule="auto"/>
      </w:pPr>
      <w:r>
        <w:rPr>
          <w:rFonts w:ascii="Calibri" w:hAnsi="Calibri"/>
          <w:color w:val="333333"/>
          <w:sz w:val="22"/>
        </w:rPr>
        <w:t>Developing a Motor Imagery-Based Real-Time Asynchronous Hybrid BCI Controller for a Lower-Limb Exoskeleton (2020). PMC7766128.</w:t>
      </w:r>
    </w:p>
    <w:p>
      <w:pPr>
        <w:spacing w:before="0" w:after="120" w:line="276" w:lineRule="auto"/>
      </w:pPr>
      <w:r>
        <w:rPr>
          <w:rFonts w:ascii="Calibri" w:hAnsi="Calibri"/>
          <w:color w:val="333333"/>
          <w:sz w:val="22"/>
        </w:rPr>
        <w:t>Induction of Neural Plasticity Using a Low-Cost Open Source Brain-Computer Interface and a 3D-Printed Wrist Exoskeleton (2021). PMC7830618.</w:t>
      </w:r>
    </w:p>
    <w:p>
      <w:pPr>
        <w:spacing w:before="0" w:after="120" w:line="276" w:lineRule="auto"/>
      </w:pPr>
      <w:r>
        <w:rPr>
          <w:rFonts w:ascii="Calibri" w:hAnsi="Calibri"/>
          <w:color w:val="333333"/>
          <w:sz w:val="22"/>
        </w:rPr>
        <w:t>Exoskeleton robot for motor rehabilitation of the hand and wrist. US Patent No. 12,156,841 (image-ppubs.uspto.gov).</w:t>
      </w:r>
    </w:p>
    <w:p>
      <w:pPr>
        <w:spacing w:before="0" w:after="120" w:line="276" w:lineRule="auto"/>
      </w:pPr>
      <w:r>
        <w:rPr>
          <w:rFonts w:ascii="Calibri" w:hAnsi="Calibri"/>
          <w:color w:val="333333"/>
          <w:sz w:val="22"/>
        </w:rPr>
        <w:t>Design Requirements of Generic Hand Exoskeletons and Survey of Hand Exoskeletons for Rehabilitation, Assistive or Haptic Use (2019). arXiv:1911.06408.</w:t>
      </w:r>
    </w:p>
    <w:p>
      <w:pPr>
        <w:spacing w:before="0" w:after="120" w:line="276" w:lineRule="auto"/>
      </w:pPr>
      <w:r>
        <w:rPr>
          <w:rFonts w:ascii="Calibri" w:hAnsi="Calibri"/>
          <w:color w:val="333333"/>
          <w:sz w:val="22"/>
        </w:rPr>
        <w:t>Raza, A. &amp; Yusoff, M.Z. (2025). Development of a CNN-LSTM Deep Learning Model for Motor Imagery EEG Classification for BCI Applications. Engineering, Technology &amp; Applied Science Research, 15(3), 22705–22711.</w:t>
      </w:r>
    </w:p>
    <w:p>
      <w:pPr>
        <w:spacing w:before="0" w:after="120" w:line="276" w:lineRule="auto"/>
      </w:pPr>
      <w:r>
        <w:rPr>
          <w:rFonts w:ascii="Calibri" w:hAnsi="Calibri"/>
          <w:color w:val="333333"/>
          <w:sz w:val="22"/>
        </w:rPr>
        <w:t>Motor imagery EEG classification method using 3D CNN and LSTM for rehabilitation application (2025). Cognitive Neurodynamics, 19(1), 131.</w:t>
      </w:r>
    </w:p>
    <w:p>
      <w:pPr>
        <w:spacing w:before="0" w:after="120" w:line="276" w:lineRule="auto"/>
      </w:pPr>
      <w:r>
        <w:rPr>
          <w:rFonts w:ascii="Calibri" w:hAnsi="Calibri"/>
          <w:color w:val="333333"/>
          <w:sz w:val="22"/>
        </w:rPr>
        <w:t>CTNet: a convolutional transformer network for EEG-based motor imagery classification (2024). Scientific Reports, 14.</w:t>
      </w:r>
    </w:p>
    <w:p>
      <w:pPr>
        <w:spacing w:before="0" w:after="120" w:line="276" w:lineRule="auto"/>
      </w:pPr>
      <w:r>
        <w:rPr>
          <w:rFonts w:ascii="Calibri" w:hAnsi="Calibri"/>
          <w:color w:val="333333"/>
          <w:sz w:val="22"/>
        </w:rPr>
        <w:t>EEG-DCNet: A Fast and Accurate MI-EEG Dilated CNN Classification Method (2024). arXiv:2411.17705 (surveys EEGNet, EEG-TCNet and related architectures).</w:t>
      </w:r>
    </w:p>
    <w:p>
      <w:pPr>
        <w:spacing w:before="0" w:after="120" w:line="276" w:lineRule="auto"/>
      </w:pPr>
      <w:r>
        <w:rPr>
          <w:rFonts w:ascii="Calibri" w:hAnsi="Calibri"/>
          <w:color w:val="333333"/>
          <w:sz w:val="22"/>
        </w:rPr>
        <w:t>Motor imagery classification using a novel CNN in EEG-BCI with common average reference and sliding window techniques (2025). Ain Shams Engineering Journal / ScienceDirect.</w:t>
      </w:r>
    </w:p>
    <w:p>
      <w:pPr>
        <w:spacing w:before="0" w:after="120" w:line="276" w:lineRule="auto"/>
      </w:pPr>
      <w:r>
        <w:rPr>
          <w:rFonts w:ascii="Calibri" w:hAnsi="Calibri"/>
          <w:color w:val="333333"/>
          <w:sz w:val="22"/>
        </w:rPr>
        <w:t>Motor imagery EEG signal classification using novel deep learning algorithm (2025). Scientific Reports, 15, 24539.</w:t>
      </w:r>
    </w:p>
    <w:p>
      <w:pPr>
        <w:spacing w:before="0" w:after="120" w:line="276" w:lineRule="auto"/>
      </w:pPr>
      <w:r>
        <w:rPr>
          <w:rFonts w:ascii="Calibri" w:hAnsi="Calibri"/>
          <w:color w:val="333333"/>
          <w:sz w:val="22"/>
        </w:rPr>
        <w:t>A composite improved attention convolutional network for motor imagery EEG classification (2025). Frontiers in Neuroscience, 19:1543508.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