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365D"/>
          <w:sz w:val="48"/>
        </w:rPr>
        <w:t>PROJECT REVIEW &amp; STATUS REPORT</w:t>
      </w:r>
    </w:p>
    <w:p>
      <w:pPr>
        <w:spacing w:before="0" w:after="360"/>
        <w:jc w:val="center"/>
      </w:pPr>
      <w:r>
        <w:rPr>
          <w:rFonts w:ascii="Calibri" w:hAnsi="Calibri"/>
          <w:color w:val="2B6CB0"/>
          <w:sz w:val="28"/>
        </w:rPr>
        <w:t>EEG-Based Exoskeleton Control for Upper- and Lower-Limb Neurorehabilitation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>Project Title:</w:t>
            </w:r>
            <w:r>
              <w:rPr>
                <w:rFonts w:ascii="Calibri" w:hAnsi="Calibri"/>
                <w:color w:val="2D3748"/>
                <w:sz w:val="20"/>
              </w:rPr>
              <w:t xml:space="preserve"> EEG-Based Exoskeleton Control for Upper- &amp; Lower-Limb Neurorehabilitation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>Domain:</w:t>
            </w:r>
            <w:r>
              <w:rPr>
                <w:rFonts w:ascii="Calibri" w:hAnsi="Calibri"/>
                <w:color w:val="2D3748"/>
                <w:sz w:val="20"/>
              </w:rPr>
              <w:t xml:space="preserve"> BCI &amp; Embedded Systems for Neurorehabilitation Robotics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>Team Members:</w:t>
            </w:r>
            <w:r>
              <w:rPr>
                <w:rFonts w:ascii="Calibri" w:hAnsi="Calibri"/>
                <w:color w:val="2D3748"/>
                <w:sz w:val="20"/>
              </w:rPr>
              <w:t xml:space="preserve"> Pardeep Singh (23BRS1123)</w:t>
              <w:br/>
              <w:t xml:space="preserve"> Aastha Kumari (23BRS1040)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A365D"/>
                <w:sz w:val="20"/>
              </w:rPr>
              <w:t>Degree Program:</w:t>
            </w:r>
            <w:r>
              <w:rPr>
                <w:rFonts w:ascii="Calibri" w:hAnsi="Calibri"/>
                <w:color w:val="2D3748"/>
                <w:sz w:val="20"/>
              </w:rPr>
              <w:t xml:space="preserve"> B.Tech CSE (AI &amp; Robotics)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6"/>
        </w:rPr>
        <w:t>1. Literature Review (Evaluation Rubric: 5 Marks)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 comprehensive literature survey was conducted across 20+ recent and seminal publications in Brain-Computer Interfaces (BCI), non-invasive electroencephalography (EEG), around-the-ear EEG (cEEGrid), and robotic exoskeleton actuation for neurorehabilitation. The review systematically categorizes prior art across five core dimensions: EEG signal acquisition paradigms, upper-limb/hand exoskeleton control, lower-limb/gait exoskeleton control, embedded ML/DL classifiers, and multimodal safety interlocks.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1.1 Summary Matrix of Key Literature (17 Recent Publications)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E2E8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Ref / Author &amp; Year</w:t>
            </w:r>
          </w:p>
        </w:tc>
        <w:tc>
          <w:tcPr>
            <w:tcW w:type="dxa" w:w="1872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Domain &amp; Focus</w:t>
            </w:r>
          </w:p>
        </w:tc>
        <w:tc>
          <w:tcPr>
            <w:tcW w:type="dxa" w:w="1872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Methodology / Signal Paradigm</w:t>
            </w:r>
          </w:p>
        </w:tc>
        <w:tc>
          <w:tcPr>
            <w:tcW w:type="dxa" w:w="1872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Hardware / Classifier</w:t>
            </w:r>
          </w:p>
        </w:tc>
        <w:tc>
          <w:tcPr>
            <w:tcW w:type="dxa" w:w="1872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Key Findings &amp; Benchmark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De la Cruz-Sánchez et al.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Hand Rehabilitation Exoskeleton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Spatiotemporal EEG feature extraction + motor imagery (MI)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3D-Printed Linkage / CSP + SVM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Demonstrated &gt;87.4% decoding accuracy for finger extension/flexion in stroke rehabilitation.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Multi-Level Platform (2026)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Upper-Limb Neurofeedback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Hybrid EEG-EMG co-processing for active patient effort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Dual-modal neurofeedback controller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Combined cortical (EEG) and muscular (EMG) signals to ensure active patient involvement.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IEEE TMRE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Admittance Control Hand Exoskeleton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Series Elastic Actuators (SEA) + EEG-EMG admittance fusion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Microcontroller-driven SEA hand glove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Achieved smooth compliant movement and adaptive force feedback during therapy.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Applied System Innovation (2025)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Elbow Joint Exoskeleton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Single-degree-of-freedom elbow flexion/extension via EEG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Embedded MCU + DC Motor Actuation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Validated real-time EEG control latency (&lt;150 ms) for upper-limb elbow joint exercise.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NeuroFlex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Soft Robotic Glove Rehabilitation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Motor imagery (MI) continuous control of pneumatic soft glove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Soft pneumatic actuators / CNN pipeline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Feasibility proven for stroke patient finger flexion with 84.2% user intent accuracy.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HardwareX (2025)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3D-Printed Force-Assisted Exoskeleton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Force sensor feedback + EEG trigger hybrid decision matrix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Open-source 3D printed linkage (EULR)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Proved ultra-low mechanical BOM cost (~$100) with robust benchtop physical testing.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HardwareX (2023)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Bilateral Wireless Hand Exoskeleton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IMU sensor array + wireless micro-controller sync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Dual-glove 3D printed structure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Successfully enabled mirrored hand movement for hemiparetic stroke therapy.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HERO Exoskeleton (2021)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Textile-Integrated Hand Exoskeleton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Low-cost EEG headband + tendon-driven soft textile glove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Arduino-class MCU / Lightweight classifier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Demonstrated wearable, lightweight (&lt;300g) hand rehabilitation device.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Real-Time BCI (2025)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Stroke Hand Rehabilitation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Latent EEG feature learning from healthy subject transfer models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Latent Space Deep Neural Net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Reduced calibration time by 60% for stroke patients using transfer learning.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King et al. (Nature 2025)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Around-the-Ear (EarEOG/EEG) Wearables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Periauricular electrodes for EOG eye-tracking &amp; blink detection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Concealed around-the-ear electrode array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Validated ear-EEG/EOG for robust discrete event triggers and blink detection.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Knierim et al. (2021, 2023)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OpenBCI cEEGrid Validation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Around-the-ear 16-ch electrode grid with open acquisition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OpenBCI Cyton+Daisy + cEEGrid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Proved cEEGrid captures valid P300, jaw-clench, and workload metrics with high wearability.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Tactile P300 cEEGrid Study (2024)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Tactile BCI Paradigms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P300 event-related potential decoding from periauricular sites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SWLDA / Linear Discriminant Analysis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Achieved 63% classification accuracy (significantly above 25% chance level) on cEEGrid.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recoveriX Clinical Study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Sequential Neurorehabilitation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Sequential upper-limb followed by lower-limb BCI therapy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g.tec 16-channel EEG + FES + Exoskeleton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Clinically established that upper-limb recovery accelerates subsequent lower-limb gait recovery.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Raza &amp; Yusoff (2025)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Deep Learning for MI-EEG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CNN-LSTM hybrid architecture for spatiotemporal EEG classification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Deep Learning Framework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Achieved 93.5% offline classification accuracy on benchmark BCI datasets.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CTNet / EEG-DCNet (2024)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Compact DL for Embedded BCI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Convolutional Transformer &amp; Dilated CNN for real-time EEG decoding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Lightweight quantized neural network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Demonstrated low-parameter count suitable for edge microcontroller deployment.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Attention LL Exoskeleton (2024)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Lower-Limb Gait Assist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Attention-based Motor Imagery BCI for lower-limb exoskeleton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Lower-limb gait exoskeleton testbed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Successfully decoded gait start/stop transitions with high trigger reliability (&gt;88%).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Hybrid BCI EOG/EEG (2020)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Safety-Interlocked Robotic Arm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Multi-blink EOG activate/deactivate + SSVEP/MI command logic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Embedded hybrid signal controller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Proved discrete eye-blink EOG triggers function as foolproof safety-stop interlocks.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1.2 Literature Synthesis &amp; Research Gap Analysis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Around-the-Ear EEG vs. Scalp Cap: </w:t>
      </w:r>
      <w:r>
        <w:rPr>
          <w:rFonts w:ascii="Calibri" w:hAnsi="Calibri"/>
          <w:color w:val="2D3748"/>
          <w:sz w:val="22"/>
        </w:rPr>
        <w:t>While central scalp caps (C3/Cz/C4) provide optimal coverage for Motor Imagery (ERD/ERS), flexible around-the-ear grids (cEEGrid) offer dramatic improvements in patient comfort, rapid setup, and concealment. Recent literature (Knierim et al., King et al.) confirms that cEEGrid accurately decodes P300 event-related potentials, jaw-clench triggers, cognitive workload, and periauricular EOG blinks.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Cross-Limb Shared Pipeline Gap: </w:t>
      </w:r>
      <w:r>
        <w:rPr>
          <w:rFonts w:ascii="Calibri" w:hAnsi="Calibri"/>
          <w:color w:val="2D3748"/>
          <w:sz w:val="22"/>
        </w:rPr>
        <w:t>Existing literature is strictly divided into upper-limb (hand) or lower-limb (gait) systems. Almost no prior work explores a unified, field-swappable microcontroller pipeline capable of driving both synthetic hand and leg actuation targets from a single EEG acquisition unit.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Multimodal Safety Interlock Precedent: </w:t>
      </w:r>
      <w:r>
        <w:rPr>
          <w:rFonts w:ascii="Calibri" w:hAnsi="Calibri"/>
          <w:color w:val="2D3748"/>
          <w:sz w:val="22"/>
        </w:rPr>
        <w:t>Literature heavily emphasizes that single-modality EEG decoding is prone to false positives. Coupling EEG intention triggers with periauricular EOG blink-veto logic ensures immediate (&lt;300 ms) safety cutoff during therapy.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6"/>
        </w:rPr>
        <w:t>2. Design of Proposed Methodology (Evaluation Rubric: 5 Marks)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proposed methodology establishes an end-to-end, real-time BCI pipeline connecting non-invasive periauricular EEG acquisition to an embedded dual-core processor, executing feature extraction and actuation logic for synthetic hand and leg rehabilitation models.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2.1 System Architecture &amp; Processing Pipeline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1. Signal Acquisition Subsystem: </w:t>
      </w:r>
      <w:r>
        <w:rPr>
          <w:rFonts w:ascii="Calibri" w:hAnsi="Calibri"/>
          <w:color w:val="2D3748"/>
          <w:sz w:val="22"/>
        </w:rPr>
        <w:t>Uses the OpenBCI Open-cEEGrid Around-the-Ear EEG Bundle, comprising a 16-channel Cyton+Daisy acquisition board operating at 125/250 Hz sampling rate. Electrodes are arranged around both ears in a comfortable, non-invasive cEEGrid layout, streaming raw 24-bit resolution EEG/EOG data via BrainFlow APIs.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2. Signal Preprocessing &amp; Artifact Conditioning: </w:t>
      </w:r>
      <w:r>
        <w:rPr>
          <w:rFonts w:ascii="Calibri" w:hAnsi="Calibri"/>
          <w:color w:val="2D3748"/>
          <w:sz w:val="22"/>
        </w:rPr>
        <w:t>Raw channels undergo zero-phase bandpass filtering (0.5 – 45 Hz) to isolate EEG alpha, beta, and P300 bands, paired with a 50/60 Hz notch filter for mains noise removal. Periauricular EOG channels undergo threshold peak detection to identify intentional eye-blinks for the safety interlock.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3. Feature Extraction &amp; Machine Learning Classification: </w:t>
      </w:r>
      <w:r>
        <w:rPr>
          <w:rFonts w:ascii="Calibri" w:hAnsi="Calibri"/>
          <w:color w:val="2D3748"/>
          <w:sz w:val="22"/>
        </w:rPr>
        <w:t>Extracts Band Power (mu/beta rhythm ratio), P300 Event-Related Potential peak amplitudes, and Time-Domain Signal Statistics. Features feed into a lightweight Linear Discriminant Analysis (LDA) / Stepwise LDA classifier optimized for low-latency execution on embedded microcontrollers.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4. Embedded Control Layer (ESP32-P4 MCU): </w:t>
      </w:r>
      <w:r>
        <w:rPr>
          <w:rFonts w:ascii="Calibri" w:hAnsi="Calibri"/>
          <w:color w:val="2D3748"/>
          <w:sz w:val="22"/>
        </w:rPr>
        <w:t>The high-performance ESP32-P4 dual-core RISC-V microcontroller (400 MHz, AI-vector extension instructions) processes the classified output state, evaluates safety-interlock conditions, and generates PWM driver signals for the mechanical actuators.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5. Synthetic Model Actuation Subsystem: </w:t>
      </w:r>
      <w:r>
        <w:rPr>
          <w:rFonts w:ascii="Calibri" w:hAnsi="Calibri"/>
          <w:color w:val="2D3748"/>
          <w:sz w:val="22"/>
        </w:rPr>
        <w:t>Drives benchtop synthetic testbeds: (a) a 3D-printed flexor-tendon hand model equipped with servo-driven linkages for finger extension/flexion, and (b) a dual-joint synthetic leg/gait testbed for step/stop cycle simulation. Benchtop testing avoids human safety risk during early validation.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2.2 Safety Interlock &amp; Intent Confirmation Logic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To prevent accidental actuation from spurious EEG spikes, the proposed methodology integrates a dual-layer safety mechanism: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Primary EEG Intention Trigger: </w:t>
      </w:r>
      <w:r>
        <w:rPr>
          <w:rFonts w:ascii="Calibri" w:hAnsi="Calibri"/>
          <w:color w:val="2D3748"/>
          <w:sz w:val="22"/>
        </w:rPr>
        <w:t>Requires a sustained P300 peak or cognitive workload threshold met for a configurable dwell-time (e.g., 500 ms).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Secondary Periauricular EOG Blink-Veto: </w:t>
      </w:r>
      <w:r>
        <w:rPr>
          <w:rFonts w:ascii="Calibri" w:hAnsi="Calibri"/>
          <w:color w:val="2D3748"/>
          <w:sz w:val="22"/>
        </w:rPr>
        <w:t>A double eye-blink detected via cEEGrid periauricular electrodes immediately triggers a hard software reset, cutting motor PWM output within &lt;100 ms to ensure complete operational safety.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6"/>
        </w:rPr>
        <w:t>3. Module Description &amp; System Design (Evaluation Rubric: 5 Marks)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system architecture is structured into five modular, independent functional units, ensuring modular development, isolated testing, and easy maintenance.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Hardware / Tech Stack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Core Functionality &amp; Tasks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Input / Output Interfaces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Module 1: Biosignal Acquisition &amp; Front-End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OpenBCI Cyton+Daisy 16-ch Board + cEEGrid Ear Arrays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Captures 16-ch raw EEG/EOG signals at 250Hz; impedance checking; wireless packet streaming via BrainFlow.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Input: Periauricular biopotential</w:t>
              <w:br/>
              <w:t>Output: Raw 24-bit LSL stream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Module 2: Signal Processing &amp; Classifier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Python BrainFlow / MNE / Scikit-Learn / SWLDA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Applies 0.5-45Hz bandpass, 50Hz notch filter, P300 ERP feature extraction, and real-time LDA classification.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Input: Streamed raw EEG packets</w:t>
              <w:br/>
              <w:t>Output: Discrete Control State (Open/Close/Stop)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Module 3: Embedded Controller Firmware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ESP32-P4 RISC-V MCU (ESP-IDF / FreeRTOS)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Runs real-time control loop, state machine logic, safety interlock monitoring, and PWM output generation.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Input: Serial/UART Control Command</w:t>
              <w:br/>
              <w:t>Output: Multi-channel PWM Actuator signals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Module 4: Synthetic Actuation Testbed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3D-Printed Linkages, High-Torque Servos, PCA9685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Physical benchtop models replicating hand finger flex/extension and leg joint gait cycles for synthetic testing.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Input: PWM Motor control pulses</w:t>
              <w:br/>
              <w:t>Output: Physical mechanical motion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Module 5: Safety &amp; Multimodal Interlock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Periauricular EOG + Limit Switches + Firmware Veto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Monitors eye-blink pulses and mechanical end-stop microswitches to issue instant &lt;100ms motor override.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Input: EOG peak signals + Limit switch interrupts</w:t>
              <w:br/>
              <w:t>Output: Emergency Motor Disable Signal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3.1 Firmware State Machine Architecture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ESP32-P4 embedded controller executes a deterministic finite state machine (FSM) comprising five primary operational states: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STATE 0: INIT_IDLE: </w:t>
      </w:r>
      <w:r>
        <w:rPr>
          <w:rFonts w:ascii="Calibri" w:hAnsi="Calibri"/>
          <w:color w:val="2D3748"/>
          <w:sz w:val="22"/>
        </w:rPr>
        <w:t>System boots, checks sensor connectivity, verifies zero motor load, and enters standby.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STATE 1: ACQUIRING_STREAM: </w:t>
      </w:r>
      <w:r>
        <w:rPr>
          <w:rFonts w:ascii="Calibri" w:hAnsi="Calibri"/>
          <w:color w:val="2D3748"/>
          <w:sz w:val="22"/>
        </w:rPr>
        <w:t>Continuously buffers incoming EEG/EOG packets over serial/SPI and verifies packet integrity.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STATE 2: DECODING_INTENT: </w:t>
      </w:r>
      <w:r>
        <w:rPr>
          <w:rFonts w:ascii="Calibri" w:hAnsi="Calibri"/>
          <w:color w:val="2D3748"/>
          <w:sz w:val="22"/>
        </w:rPr>
        <w:t>Evaluates classifier score against activation thresholds (e.g., P300 amplitude &gt; threshold for 500 ms).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STATE 3: ACTUATING_MODEL: </w:t>
      </w:r>
      <w:r>
        <w:rPr>
          <w:rFonts w:ascii="Calibri" w:hAnsi="Calibri"/>
          <w:color w:val="2D3748"/>
          <w:sz w:val="22"/>
        </w:rPr>
        <w:t>Generates smooth ramped PWM trajectories to actuate synthetic hand/leg servos.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STATE 4: SAFETY_HALT (Override): </w:t>
      </w:r>
      <w:r>
        <w:rPr>
          <w:rFonts w:ascii="Calibri" w:hAnsi="Calibri"/>
          <w:color w:val="2D3748"/>
          <w:sz w:val="22"/>
        </w:rPr>
        <w:t>Triggered asynchronously by EOG blink-veto or mechanical limit switches, locking motors immediately.</w:t>
      </w:r>
    </w:p>
    <w:p>
      <w:pPr>
        <w:keepNext/>
        <w:spacing w:before="280" w:after="120"/>
      </w:pPr>
      <w:r>
        <w:rPr>
          <w:rFonts w:ascii="Calibri" w:hAnsi="Calibri"/>
          <w:b/>
          <w:color w:val="1A365D"/>
          <w:sz w:val="36"/>
        </w:rPr>
        <w:t>4. Current Project Status &amp; Progress Milestones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project is actively progressing across software development, signal processing validation, and hardware procurement phases. Below is the explicit status breakdown across all project verticals: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4.1 Hardware Procurement Status (CNI Center Procurement)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All core specialized hardware components are currently under active procurement through the CNI Center (Center for Networked Intelligence / Robotics Lab):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OpenBCI Open-cEEGrid Around-the-Ear EEG Bundle ($3,299.99): </w:t>
      </w:r>
      <w:r>
        <w:rPr>
          <w:rFonts w:ascii="Calibri" w:hAnsi="Calibri"/>
          <w:color w:val="2D3748"/>
          <w:sz w:val="22"/>
        </w:rPr>
        <w:t>Procurement initiated via CNI Center. Kit includes 16-channel Cyton + Daisy acquisition board, flexible cEEGrid electrode arrays, ear clips, and BrainFlow streaming interface.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ESP32-P4 Embedded Development Testbed: </w:t>
      </w:r>
      <w:r>
        <w:rPr>
          <w:rFonts w:ascii="Calibri" w:hAnsi="Calibri"/>
          <w:color w:val="2D3748"/>
          <w:sz w:val="22"/>
        </w:rPr>
        <w:t>High-performance dual-core RISC-V SoC board with vector extension support ordered for embedded firmware deployment.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Actuation &amp; Mechanical Components: </w:t>
      </w:r>
      <w:r>
        <w:rPr>
          <w:rFonts w:ascii="Calibri" w:hAnsi="Calibri"/>
          <w:color w:val="2D3748"/>
          <w:sz w:val="22"/>
        </w:rPr>
        <w:t>High-torque metal-gear digital servos, PCA9685 16-channel PWM drivers, 3D printing PLA filaments, and benchtop synthetic hand/leg mechanical linkages are being sourced.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4.2 Software &amp; Firmware Section Development Status (Active Work)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The software stack is undergoing active development and benchtop simulation testing. Key completed software achievements include: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Data Acquisition &amp; Streaming Pipeline (Completed): </w:t>
      </w:r>
      <w:r>
        <w:rPr>
          <w:rFonts w:ascii="Calibri" w:hAnsi="Calibri"/>
          <w:color w:val="2D3748"/>
          <w:sz w:val="22"/>
        </w:rPr>
        <w:t>Configured Python BrainFlow API scripts to stream 16-channel synthetic EEG/EOG data matching OpenBCI packet structure at 250 Hz.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Signal Preprocessing Module (Completed): </w:t>
      </w:r>
      <w:r>
        <w:rPr>
          <w:rFonts w:ascii="Calibri" w:hAnsi="Calibri"/>
          <w:color w:val="2D3748"/>
          <w:sz w:val="22"/>
        </w:rPr>
        <w:t>Implemented zero-phase IIR Butterworth bandpass filter (0.5 – 45 Hz) and 50 Hz notch filter. Validated noise removal on sample EEG datasets.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Feature Extraction &amp; Classifier Simulation (In Progress - 75% Complete): </w:t>
      </w:r>
      <w:r>
        <w:rPr>
          <w:rFonts w:ascii="Calibri" w:hAnsi="Calibri"/>
          <w:color w:val="2D3748"/>
          <w:sz w:val="22"/>
        </w:rPr>
        <w:t>Built offline training pipeline using SWLDA and LDA classifiers on benchmark P300 and motor imagery datasets. Achieved &gt;85% classification accuracy in offline script simulation.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ESP32-P4 Firmware Control Logic (In Progress - 60% Complete): </w:t>
      </w:r>
      <w:r>
        <w:rPr>
          <w:rFonts w:ascii="Calibri" w:hAnsi="Calibri"/>
          <w:color w:val="2D3748"/>
          <w:sz w:val="22"/>
        </w:rPr>
        <w:t>Developed C++/ESP-IDF firmware state machine code incorporating PWM generation, serial packet parser, and safety-interlock interrupt handlers.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 xml:space="preserve">Synthetic Model Simulation Interface (In Progress): </w:t>
      </w:r>
      <w:r>
        <w:rPr>
          <w:rFonts w:ascii="Calibri" w:hAnsi="Calibri"/>
          <w:color w:val="2D3748"/>
          <w:sz w:val="22"/>
        </w:rPr>
        <w:t>Constructed a virtual PyBullet physics simulation of 3D-printed flexor-tendon hand actuation to verify motor trajectory smoothing algorithms prior to physical hardware delivery.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8"/>
        </w:rPr>
        <w:t>4.3 Summary Table of Project Milestones &amp; Progress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Phase / Milestone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Key Activities &amp; Work Items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Current Status</w:t>
            </w:r>
          </w:p>
        </w:tc>
        <w:tc>
          <w:tcPr>
            <w:tcW w:type="dxa" w:w="2340"/>
            <w:shd w:fill="1A365D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 / Target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0: Prior-Art &amp; Spec Setup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Literature survey of 20+ papers, system architecture design, component selection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76749"/>
                <w:sz w:val="17"/>
              </w:rPr>
              <w:t>COMPLETED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Pardeep Singh / Aastha Kumari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1: Hardware Procurement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Procuring OpenBCI Open-cEEGrid 16-ch bundle, ESP32-P4 MCU &amp; servos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C26510"/>
                <w:sz w:val="17"/>
              </w:rPr>
              <w:t>IN PROGRESS (Procured by CNI Center)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CNI Center / Institutional Lab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2: SW Acquisition &amp; Filtering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BrainFlow stream integration, 0.5-45Hz bandpass, 50Hz notch filter pipeline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76749"/>
                <w:sz w:val="17"/>
              </w:rPr>
              <w:t>COMPLETED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Software Team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3: Classifier Pipeline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Feature extraction, SWLDA / LDA classifier training on P300/EEG datasets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C26510"/>
                <w:sz w:val="17"/>
              </w:rPr>
              <w:t>IN PROGRESS (75% Complete)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Software Team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4: MCU Firmware &amp; Safety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ESP-IDF C++ state machine, PWM driver, EOG blink-veto interrupt logic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C26510"/>
                <w:sz w:val="17"/>
              </w:rPr>
              <w:t>IN PROGRESS (60% Complete)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Embedded SW Team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5: Benchtop Mechanical Testbed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3D printing synthetic hand model &amp; assembly of servo linkage drive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PENDING (Awaiting HW Procurement)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Mechanical / Hardware Team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2D3748"/>
                <w:sz w:val="17"/>
              </w:rPr>
              <w:t>Phase 6: End-to-End System Integration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Connecting physical cEEGrid acquisition -&gt; ESP32-P4 -&gt; Synthetic Model actuation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UPCOMING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2D3748"/>
                <w:sz w:val="17"/>
              </w:rPr>
              <w:t>Full Team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