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color w:val="000000"/>
        </w:rPr>
        <w:t>Pardeep Singh – 23BRS1123</w:t>
      </w:r>
    </w:p>
    <w:p>
      <w:pPr>
        <w:pStyle w:val="Normal"/>
        <w:spacing w:before="0" w:after="200"/>
        <w:rPr/>
      </w:pPr>
      <w:r>
        <w:rPr>
          <w:color w:val="000000"/>
        </w:rPr>
        <w:t>Aastha Kumari – 23BRS1040</w:t>
      </w:r>
    </w:p>
    <w:p>
      <w:pPr>
        <w:pStyle w:val="Normal"/>
        <w:spacing w:before="0" w:after="200"/>
        <w:rPr/>
      </w:pPr>
      <w:r>
        <w:rPr>
          <w:color w:val="000000"/>
        </w:rPr>
        <w:t>B.Tech CSE (AI &amp; Robotics)</w:t>
      </w:r>
    </w:p>
    <w:p>
      <w:pPr>
        <w:pStyle w:val="Heading2"/>
        <w:spacing w:before="300" w:after="150"/>
        <w:rPr/>
      </w:pPr>
      <w:r>
        <w:rPr>
          <w:b/>
          <w:bCs/>
          <w:color w:val="000000"/>
        </w:rPr>
        <w:t>Project Title</w:t>
      </w:r>
    </w:p>
    <w:p>
      <w:pPr>
        <w:pStyle w:val="Normal"/>
        <w:spacing w:before="0" w:after="200"/>
        <w:rPr/>
      </w:pPr>
      <w:r>
        <w:rPr>
          <w:color w:val="000000"/>
        </w:rPr>
        <w:t>EEG-Based Exoskeleton Control for Upper- and Lower-Limb Neurorehabilitation</w:t>
      </w:r>
    </w:p>
    <w:p>
      <w:pPr>
        <w:pStyle w:val="Heading2"/>
        <w:spacing w:before="300" w:after="150"/>
        <w:rPr/>
      </w:pPr>
      <w:r>
        <w:rPr>
          <w:b/>
          <w:bCs/>
          <w:color w:val="000000"/>
        </w:rPr>
        <w:t>Project Domain</w:t>
      </w:r>
    </w:p>
    <w:p>
      <w:pPr>
        <w:pStyle w:val="Normal"/>
        <w:spacing w:before="0" w:after="200"/>
        <w:rPr/>
      </w:pPr>
      <w:r>
        <w:rPr>
          <w:color w:val="000000"/>
        </w:rPr>
        <w:t>Brain-Computer Interface (BCI) and Embedded Systems for Neurorehabilitation Robotics — combining EEG-based signal acquisition and classification with embedded control of assistive/rehabilitation exoskeleton hardware.</w:t>
      </w:r>
    </w:p>
    <w:p>
      <w:pPr>
        <w:pStyle w:val="Heading2"/>
        <w:spacing w:before="300" w:after="150"/>
        <w:rPr/>
      </w:pPr>
      <w:r>
        <w:rPr>
          <w:b/>
          <w:bCs/>
          <w:color w:val="000000"/>
        </w:rPr>
        <w:t>Problem Statement</w:t>
      </w:r>
    </w:p>
    <w:p>
      <w:pPr>
        <w:pStyle w:val="Normal"/>
        <w:spacing w:before="0" w:after="200"/>
        <w:rPr/>
      </w:pPr>
      <w:r>
        <w:rPr>
          <w:color w:val="000000"/>
        </w:rPr>
        <w:t>Motor impairment following stroke, spinal cord injury, or traumatic brain injury frequently disrupts the corticospinal pathways that translate movement intention into muscle action, even though that intention often remains detectable as EEG activity. This project addresses the need for a low-cost, embedded EEG-driven control pipeline that can decode a usable intention signal and use it to actuate an exoskeleton-style mechanism for rehabilitation. The proposed testbed uses an OpenBCI Open-cEEGrid system (16-channel, around-the-ear EEG acquisition with full open access to raw data) to drive a microcontroller-based classifier and actuation pipeline, initially validated on synthetic (benchtop) hand and leg models, as a precursor stage toward eventual patient-worn hand and leg exoskeletons for stroke, spinal cord injury, and other motor-impairment rehabilitation.</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0"/>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000000"/>
      <w:kern w:val="0"/>
      <w:sz w:val="22"/>
      <w:szCs w:val="22"/>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000000"/>
      <w:kern w:val="0"/>
      <w:sz w:val="22"/>
      <w:szCs w:val="22"/>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000000"/>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ages>1</Pages>
  <Words>165</Words>
  <Characters>1122</Characters>
  <CharactersWithSpaces>1281</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2026-07-17T11:41:43Z</dcterms:created>
  <dc:creator>Un-named</dc:creator>
  <dc:description/>
  <dc:language>en-IN</dc:language>
  <cp:lastModifiedBy/>
  <dcterms:modified xsi:type="dcterms:W3CDTF">2026-07-17T17:13:03Z</dcterms:modified>
  <cp:revision>2</cp:revision>
  <dc:subject/>
  <dc:title/>
</cp:coreProperties>
</file>