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40"/>
        <w:jc w:val="center"/>
      </w:pPr>
      <w:r>
        <w:rPr>
          <w:b/>
          <w:bCs/>
          <w:color w:val="1F3864"/>
          <w:sz w:val="56"/>
          <w:szCs w:val="56"/>
        </w:rPr>
        <w:t xml:space="preserve">Enterprise Data &amp; AI Observability Platform</w:t>
      </w:r>
    </w:p>
    <w:p>
      <w:pPr>
        <w:spacing w:after="600"/>
        <w:jc w:val="center"/>
      </w:pPr>
      <w:r>
        <w:rPr>
          <w:color w:val="404040"/>
          <w:sz w:val="36"/>
          <w:szCs w:val="36"/>
        </w:rPr>
        <w:t xml:space="preserve">Vendor Evaluation Framework &amp; Decision Matrix</w:t>
      </w:r>
    </w:p>
    <w:p>
      <w:pPr>
        <w:spacing w:after="120"/>
        <w:jc w:val="center"/>
      </w:pPr>
      <w:r>
        <w:rPr>
          <w:i/>
          <w:iCs/>
          <w:color w:val="595959"/>
          <w:sz w:val="22"/>
          <w:szCs w:val="22"/>
        </w:rPr>
        <w:t xml:space="preserve">Prepared by: Platform Architecture Team</w:t>
      </w:r>
    </w:p>
    <w:p>
      <w:pPr>
        <w:spacing w:after="120"/>
        <w:jc w:val="center"/>
      </w:pPr>
      <w:r>
        <w:rPr>
          <w:i/>
          <w:iCs/>
          <w:color w:val="595959"/>
          <w:sz w:val="22"/>
          <w:szCs w:val="22"/>
        </w:rPr>
        <w:t xml:space="preserve">Document Version: 1.0</w:t>
      </w:r>
    </w:p>
    <w:p>
      <w:pPr>
        <w:spacing w:after="1200"/>
        <w:jc w:val="center"/>
      </w:pPr>
      <w:r>
        <w:rPr>
          <w:i/>
          <w:iCs/>
          <w:color w:val="595959"/>
          <w:sz w:val="22"/>
          <w:szCs w:val="22"/>
        </w:rPr>
        <w:t xml:space="preserve">Status: Draft for Stakeholder &amp; Vendor Review</w:t>
      </w:r>
    </w:p>
    <w:p>
      <w:pPr>
        <w:pBdr>
          <w:top w:val="single" w:color="1F3864" w:sz="12" w:space="8"/>
          <w:bottom w:val="single" w:color="1F3864" w:sz="12" w:space="8"/>
        </w:pBdr>
        <w:spacing w:after="200" w:before="200"/>
        <w:jc w:val="center"/>
      </w:pPr>
      <w:r>
        <w:rPr>
          <w:b/>
          <w:bCs/>
          <w:color w:val="1F3864"/>
          <w:sz w:val="22"/>
          <w:szCs w:val="22"/>
        </w:rPr>
        <w:t xml:space="preserve">Distribution: Internal Stakeholders &amp; Shortlisted Vendors</w:t>
      </w:r>
    </w:p>
    <w:p>
      <w:pPr>
        <w:pStyle w:val="Heading1"/>
        <w:pageBreakBefore/>
        <w:spacing w:after="200" w:before="360"/>
      </w:pPr>
      <w:r>
        <w:t xml:space="preserve">Table of Contents</w:t>
      </w:r>
    </w:p>
    <w:p>
      <w:pPr>
        <w:spacing w:after="120" w:before="0" w:line="300"/>
      </w:pPr>
      <w:r>
        <w:t xml:space="preserve">1. Executive Summary</w:t>
      </w:r>
    </w:p>
    <w:p>
      <w:pPr>
        <w:spacing w:after="120" w:before="0" w:line="300"/>
      </w:pPr>
      <w:r>
        <w:t xml:space="preserve">2. Current State and Problem Statement</w:t>
      </w:r>
    </w:p>
    <w:p>
      <w:pPr>
        <w:spacing w:after="120" w:before="0" w:line="300"/>
      </w:pPr>
      <w:r>
        <w:t xml:space="preserve">3. Key Personas and Their Observability Needs</w:t>
      </w:r>
    </w:p>
    <w:p>
      <w:pPr>
        <w:spacing w:after="120" w:before="0" w:line="300"/>
      </w:pPr>
      <w:r>
        <w:t xml:space="preserve">4. Capability Framework</w:t>
      </w:r>
    </w:p>
    <w:p>
      <w:pPr>
        <w:spacing w:after="120" w:before="0" w:line="300"/>
      </w:pPr>
      <w:r>
        <w:t xml:space="preserve">5. Functional Requirements</w:t>
      </w:r>
    </w:p>
    <w:p>
      <w:pPr>
        <w:spacing w:after="120" w:before="0" w:line="300"/>
      </w:pPr>
      <w:r>
        <w:t xml:space="preserve">6. Non-Functional Requirements</w:t>
      </w:r>
    </w:p>
    <w:p>
      <w:pPr>
        <w:spacing w:after="120" w:before="0" w:line="300"/>
      </w:pPr>
      <w:r>
        <w:t xml:space="preserve">7. Evaluation Methodology and Scoring</w:t>
      </w:r>
    </w:p>
    <w:p>
      <w:pPr>
        <w:spacing w:after="120" w:before="0" w:line="300"/>
      </w:pPr>
      <w:r>
        <w:t xml:space="preserve">8. Evaluation Plan and Timeline</w:t>
      </w:r>
    </w:p>
    <w:p>
      <w:pPr>
        <w:spacing w:after="120" w:before="0" w:line="300"/>
      </w:pPr>
      <w:r>
        <w:t xml:space="preserve">9. Proof of Value Scenarios</w:t>
      </w:r>
    </w:p>
    <w:p>
      <w:pPr>
        <w:spacing w:after="120" w:before="0" w:line="300"/>
      </w:pPr>
      <w:r>
        <w:t xml:space="preserve">10. Stakeholders and Decision Governance</w:t>
      </w:r>
    </w:p>
    <w:p>
      <w:pPr>
        <w:spacing w:after="120" w:before="0" w:line="300"/>
      </w:pPr>
      <w:r>
        <w:t xml:space="preserve">11. Instructions for Vendors</w:t>
      </w:r>
    </w:p>
    <w:p>
      <w:pPr>
        <w:spacing w:after="120" w:before="0" w:line="300"/>
      </w:pPr>
      <w:r>
        <w:t xml:space="preserve">12. Risks, Assumptions, Dependencies, and Constraints</w:t>
      </w:r>
    </w:p>
    <w:p>
      <w:pPr>
        <w:spacing w:after="120" w:before="0" w:line="300"/>
      </w:pPr>
      <w:r>
        <w:t xml:space="preserve">Appendix A — Glossary</w:t>
      </w:r>
    </w:p>
    <w:p>
      <w:pPr>
        <w:spacing w:after="120" w:before="0" w:line="300"/>
      </w:pPr>
      <w:r>
        <w:t xml:space="preserve">Appendix B — Reference Architecture</w:t>
      </w:r>
    </w:p>
    <w:p>
      <w:pPr>
        <w:spacing w:after="120" w:before="0" w:line="300"/>
      </w:pPr>
      <w:r>
        <w:t xml:space="preserve">Appendix C — Change Log</w:t>
      </w:r>
    </w:p>
    <w:p>
      <w:pPr>
        <w:pStyle w:val="Heading1"/>
        <w:pageBreakBefore/>
        <w:spacing w:after="200" w:before="360"/>
      </w:pPr>
      <w:r>
        <w:t xml:space="preserve">1. Executive Summary</w:t>
      </w:r>
    </w:p>
    <w:p>
      <w:pPr>
        <w:spacing w:after="120" w:before="0" w:line="300"/>
      </w:pPr>
      <w:r>
        <w:t xml:space="preserve">This document establishes the evaluation framework for selecting an end-to-end observability platform for the enterprise Data and AI ecosystem. It defines the business problem, the required capabilities, the functional and non-functional requirements, the scoring methodology, the stakeholder composition, and the staged evaluation plan.</w:t>
      </w:r>
    </w:p>
    <w:p>
      <w:pPr>
        <w:spacing w:after="120" w:before="0" w:line="300"/>
      </w:pPr>
      <w:r>
        <w:t xml:space="preserve">The framework is shared transparently with shortlisted vendors so they understand the criteria against which their solution will be evaluated and can prepare responses, demonstrations, and proofs of value that directly address the enterprise's priorities.</w:t>
      </w:r>
    </w:p>
    <w:p>
      <w:pPr>
        <w:pStyle w:val="Heading2"/>
        <w:spacing w:after="140" w:before="280"/>
      </w:pPr>
      <w:r>
        <w:t xml:space="preserve">1.1 Business Context</w:t>
      </w:r>
    </w:p>
    <w:p>
      <w:pPr>
        <w:spacing w:after="120" w:before="0" w:line="300"/>
      </w:pPr>
      <w:r>
        <w:t xml:space="preserve">The enterprise operates a hybrid data and AI platform supporting more than 250 data products across multiple business units. Operational complexity has grown beyond the point where reactive, tool-fragmented monitoring can sustain platform reliability or cost efficiency. Mean Time To Repair (MTTR) for cross-domain incidents is unacceptably high because telemetry, lineage, cost, and quality signals are scattered across disconnected systems.</w:t>
      </w:r>
    </w:p>
    <w:p>
      <w:pPr>
        <w:pStyle w:val="Heading2"/>
        <w:spacing w:after="140" w:before="280"/>
      </w:pPr>
      <w:r>
        <w:t xml:space="preserve">1.2 Strategic Objectives</w:t>
      </w:r>
    </w:p>
    <w:p>
      <w:pPr>
        <w:pStyle w:val="ListParagraph"/>
        <w:numPr>
          <w:ilvl w:val="0"/>
          <w:numId w:val="2"/>
        </w:numPr>
        <w:spacing w:after="80" w:line="280"/>
      </w:pPr>
      <w:r>
        <w:t xml:space="preserve">Reduce platform MTTR by 50% within 12 months of full deployment.</w:t>
      </w:r>
    </w:p>
    <w:p>
      <w:pPr>
        <w:pStyle w:val="ListParagraph"/>
        <w:numPr>
          <w:ilvl w:val="0"/>
          <w:numId w:val="2"/>
        </w:numPr>
        <w:spacing w:after="80" w:line="280"/>
      </w:pPr>
      <w:r>
        <w:t xml:space="preserve">Provide a single, unified pane of glass spanning ingestion, orchestration, warehouse, lakehouse, ML, and agentic AI workloads.</w:t>
      </w:r>
    </w:p>
    <w:p>
      <w:pPr>
        <w:pStyle w:val="ListParagraph"/>
        <w:numPr>
          <w:ilvl w:val="0"/>
          <w:numId w:val="2"/>
        </w:numPr>
        <w:spacing w:after="80" w:line="280"/>
      </w:pPr>
      <w:r>
        <w:t xml:space="preserve">Embed end-to-end lineage, data quality, schema drift detection, model performance, and cost telemetry into one correlated signal stream.</w:t>
      </w:r>
    </w:p>
    <w:p>
      <w:pPr>
        <w:pStyle w:val="ListParagraph"/>
        <w:numPr>
          <w:ilvl w:val="0"/>
          <w:numId w:val="2"/>
        </w:numPr>
        <w:spacing w:after="80" w:line="280"/>
      </w:pPr>
      <w:r>
        <w:t xml:space="preserve">Enable each persona (Data Engineer, Platform Engineer, DevOps, ML/AI Engineer, Product Team) to self-serve diagnostics without escalation.</w:t>
      </w:r>
    </w:p>
    <w:p>
      <w:pPr>
        <w:pStyle w:val="ListParagraph"/>
        <w:numPr>
          <w:ilvl w:val="0"/>
          <w:numId w:val="2"/>
        </w:numPr>
        <w:spacing w:after="80" w:line="280"/>
      </w:pPr>
      <w:r>
        <w:t xml:space="preserve">Integrate cleanly with the existing enterprise observability estate: Dynatrace, Splunk, BigPanda, DataHub, and Finopsly.</w:t>
      </w:r>
    </w:p>
    <w:p>
      <w:pPr>
        <w:pStyle w:val="ListParagraph"/>
        <w:numPr>
          <w:ilvl w:val="0"/>
          <w:numId w:val="2"/>
        </w:numPr>
        <w:spacing w:after="80" w:line="280"/>
      </w:pPr>
      <w:r>
        <w:t xml:space="preserve">Provide governance-grade audit trails compatible with SOX, PCI-DSS, and GLBA controls.</w:t>
      </w:r>
    </w:p>
    <w:p>
      <w:pPr>
        <w:pStyle w:val="Heading2"/>
        <w:spacing w:after="140" w:before="280"/>
      </w:pPr>
      <w:r>
        <w:t xml:space="preserve">1.3 Document Purpose</w:t>
      </w:r>
    </w:p>
    <w:p>
      <w:pPr>
        <w:spacing w:after="120" w:before="0" w:line="300"/>
      </w:pPr>
      <w:r>
        <w:t xml:space="preserve">This framework serves three audiences:</w:t>
      </w:r>
    </w:p>
    <w:p>
      <w:pPr>
        <w:pStyle w:val="ListParagraph"/>
        <w:numPr>
          <w:ilvl w:val="0"/>
          <w:numId w:val="2"/>
        </w:numPr>
        <w:spacing w:after="80" w:line="280"/>
      </w:pPr>
      <w:r>
        <w:t xml:space="preserve">Internal stakeholders use it to align on requirements, scoring, and decision authority before vendor engagement begins.</w:t>
      </w:r>
    </w:p>
    <w:p>
      <w:pPr>
        <w:pStyle w:val="ListParagraph"/>
        <w:numPr>
          <w:ilvl w:val="0"/>
          <w:numId w:val="2"/>
        </w:numPr>
        <w:spacing w:after="80" w:line="280"/>
      </w:pPr>
      <w:r>
        <w:t xml:space="preserve">Vendors use it to scope their response, prepare technical demonstrations, and design a meaningful proof of value.</w:t>
      </w:r>
    </w:p>
    <w:p>
      <w:pPr>
        <w:pStyle w:val="ListParagraph"/>
        <w:numPr>
          <w:ilvl w:val="0"/>
          <w:numId w:val="2"/>
        </w:numPr>
        <w:spacing w:after="80" w:line="280"/>
      </w:pPr>
      <w:r>
        <w:t xml:space="preserve">Executive sponsors use it as the basis for the final selection recommendation and procurement approval.</w:t>
      </w:r>
    </w:p>
    <w:p>
      <w:pPr>
        <w:pStyle w:val="Heading1"/>
        <w:pageBreakBefore/>
        <w:spacing w:after="200" w:before="360"/>
      </w:pPr>
      <w:r>
        <w:t xml:space="preserve">2. Current State and Problem Statement</w:t>
      </w:r>
    </w:p>
    <w:p>
      <w:pPr>
        <w:pStyle w:val="Heading2"/>
        <w:spacing w:after="140" w:before="280"/>
      </w:pPr>
      <w:r>
        <w:t xml:space="preserve">2.1 Existing Technology Stack</w:t>
      </w:r>
    </w:p>
    <w:p>
      <w:pPr>
        <w:spacing w:after="120" w:before="0" w:line="300"/>
      </w:pPr>
      <w:r>
        <w:t xml:space="preserve">The data and AI platform comprises the following layers. Any observability solution must integrate with all of them as first-class citizens, not via brittle log-scraping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Layer</w:t>
            </w:r>
          </w:p>
        </w:tc>
        <w:tc>
          <w:tcPr>
            <w:tcW w:type="dxa" w:w="4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Technologies in Use</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Workload Profile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Source Systems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Oracle, PostgreSQL (on-prem and cloud)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OLTP, reference data, transactional masters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Ingestion</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Fivetran (managed), Qlik Replicate (CDC), custom Python and Spark pipelines</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Batch, micro-batch, and real-time CDC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Orchestration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Astronomer (managed Airflow)</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DAG-based scheduling, event-driven triggers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Data Warehouse</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Snowflake</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Analytical SQL, semi-structured workloads, dynamic tables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Lakehouse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Databricks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Spark, Delta Lake, notebook and job clusters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AI / ML Platform</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Snowflake Cortex, Databricks MLflow, Mosaic AI</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Model training, inference, agentic workflows, LLM ops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Data Governance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DataHub</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Metadata, lineage, glossary, ownership</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FinOps</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Finopsly</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Cost attribution, chargeback, anomaly detection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Existing Observability</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Dynatrace, Splunk, BigPanda, Observe (under evaluation)</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Infra, logs, alerting and correlation</w:t>
            </w:r>
          </w:p>
        </w:tc>
      </w:tr>
    </w:tbl>
    <w:p>
      <w:pPr>
        <w:pStyle w:val="Heading2"/>
        <w:spacing w:after="140" w:before="280"/>
      </w:pPr>
      <w:r>
        <w:t xml:space="preserve">2.2 Pain Points Driving This Initiative</w:t>
      </w:r>
    </w:p>
    <w:p>
      <w:pPr>
        <w:pStyle w:val="ListParagraph"/>
        <w:numPr>
          <w:ilvl w:val="0"/>
          <w:numId w:val="2"/>
        </w:numPr>
        <w:spacing w:after="80" w:line="280"/>
      </w:pPr>
      <w:r>
        <w:t xml:space="preserve">Incident triage requires manual correlation across at least five tools. A typical Sev-2 incident on a critical data product takes 90+ minutes simply to locate the failing component.</w:t>
      </w:r>
    </w:p>
    <w:p>
      <w:pPr>
        <w:pStyle w:val="ListParagraph"/>
        <w:numPr>
          <w:ilvl w:val="0"/>
          <w:numId w:val="2"/>
        </w:numPr>
        <w:spacing w:after="80" w:line="280"/>
      </w:pPr>
      <w:r>
        <w:t xml:space="preserve">Lineage in DataHub is decoupled from runtime telemetry, so a downstream consumer learning of stale data cannot quickly answer "what upstream task failed and when?"</w:t>
      </w:r>
    </w:p>
    <w:p>
      <w:pPr>
        <w:pStyle w:val="ListParagraph"/>
        <w:numPr>
          <w:ilvl w:val="0"/>
          <w:numId w:val="2"/>
        </w:numPr>
        <w:spacing w:after="80" w:line="280"/>
      </w:pPr>
      <w:r>
        <w:t xml:space="preserve">Cost signals from Finopsly arrive on a daily cycle and are not correlated with the pipeline or query that caused the spend, blocking real-time guardrails.</w:t>
      </w:r>
    </w:p>
    <w:p>
      <w:pPr>
        <w:pStyle w:val="ListParagraph"/>
        <w:numPr>
          <w:ilvl w:val="0"/>
          <w:numId w:val="2"/>
        </w:numPr>
        <w:spacing w:after="80" w:line="280"/>
      </w:pPr>
      <w:r>
        <w:t xml:space="preserve">Data quality, schema drift, and freshness violations are detected in tooling that is invisible to platform and DevOps engineers, leading to repeated escalations.</w:t>
      </w:r>
    </w:p>
    <w:p>
      <w:pPr>
        <w:pStyle w:val="ListParagraph"/>
        <w:numPr>
          <w:ilvl w:val="0"/>
          <w:numId w:val="2"/>
        </w:numPr>
        <w:spacing w:after="80" w:line="280"/>
      </w:pPr>
      <w:r>
        <w:t xml:space="preserve">ML and agentic AI workloads have effectively no observability today — model drift, prompt and tool-call traces, token consumption, and inference latency are tracked ad hoc in notebooks.</w:t>
      </w:r>
    </w:p>
    <w:p>
      <w:pPr>
        <w:pStyle w:val="ListParagraph"/>
        <w:numPr>
          <w:ilvl w:val="0"/>
          <w:numId w:val="2"/>
        </w:numPr>
        <w:spacing w:after="80" w:line="280"/>
      </w:pPr>
      <w:r>
        <w:t xml:space="preserve">Alert noise from existing tools is high; BigPanda correlation rules are tuned for infrastructure events and miss data-plane semantics.</w:t>
      </w:r>
    </w:p>
    <w:p>
      <w:pPr>
        <w:pStyle w:val="Heading2"/>
        <w:spacing w:after="140" w:before="280"/>
      </w:pPr>
      <w:r>
        <w:t xml:space="preserve">2.3 Scope of This Evaluation</w:t>
      </w:r>
    </w:p>
    <w:p>
      <w:pPr>
        <w:pStyle w:val="Heading3"/>
        <w:spacing w:after="100" w:before="220"/>
      </w:pPr>
      <w:r>
        <w:t xml:space="preserve">In Scope</w:t>
      </w:r>
    </w:p>
    <w:p>
      <w:pPr>
        <w:pStyle w:val="ListParagraph"/>
        <w:numPr>
          <w:ilvl w:val="0"/>
          <w:numId w:val="2"/>
        </w:numPr>
        <w:spacing w:after="80" w:line="280"/>
      </w:pPr>
      <w:r>
        <w:t xml:space="preserve">Telemetry collection, storage, correlation, visualization, and alerting across all layers of the data and AI platform.</w:t>
      </w:r>
    </w:p>
    <w:p>
      <w:pPr>
        <w:pStyle w:val="ListParagraph"/>
        <w:numPr>
          <w:ilvl w:val="0"/>
          <w:numId w:val="2"/>
        </w:numPr>
        <w:spacing w:after="80" w:line="280"/>
      </w:pPr>
      <w:r>
        <w:t xml:space="preserve">Lineage at the asset, column, and execution level.</w:t>
      </w:r>
    </w:p>
    <w:p>
      <w:pPr>
        <w:pStyle w:val="ListParagraph"/>
        <w:numPr>
          <w:ilvl w:val="0"/>
          <w:numId w:val="2"/>
        </w:numPr>
        <w:spacing w:after="80" w:line="280"/>
      </w:pPr>
      <w:r>
        <w:t xml:space="preserve">Data quality and reliability signals (freshness, volume, distribution, schema, null rate, referential integrity).</w:t>
      </w:r>
    </w:p>
    <w:p>
      <w:pPr>
        <w:pStyle w:val="ListParagraph"/>
        <w:numPr>
          <w:ilvl w:val="0"/>
          <w:numId w:val="2"/>
        </w:numPr>
        <w:spacing w:after="80" w:line="280"/>
      </w:pPr>
      <w:r>
        <w:t xml:space="preserve">Cost and consumption observability across compute and storage.</w:t>
      </w:r>
    </w:p>
    <w:p>
      <w:pPr>
        <w:pStyle w:val="ListParagraph"/>
        <w:numPr>
          <w:ilvl w:val="0"/>
          <w:numId w:val="2"/>
        </w:numPr>
        <w:spacing w:after="80" w:line="280"/>
      </w:pPr>
      <w:r>
        <w:t xml:space="preserve">ML and LLM/agentic observability (training metrics, drift, evaluation, traces, token economics).</w:t>
      </w:r>
    </w:p>
    <w:p>
      <w:pPr>
        <w:pStyle w:val="ListParagraph"/>
        <w:numPr>
          <w:ilvl w:val="0"/>
          <w:numId w:val="2"/>
        </w:numPr>
        <w:spacing w:after="80" w:line="280"/>
      </w:pPr>
      <w:r>
        <w:t xml:space="preserve">Integration with Dynatrace, Splunk, BigPanda, DataHub, and Finopsly.</w:t>
      </w:r>
    </w:p>
    <w:p>
      <w:pPr>
        <w:pStyle w:val="Heading3"/>
        <w:spacing w:after="100" w:before="220"/>
      </w:pPr>
      <w:r>
        <w:t xml:space="preserve">Out of Scope</w:t>
      </w:r>
    </w:p>
    <w:p>
      <w:pPr>
        <w:pStyle w:val="ListParagraph"/>
        <w:numPr>
          <w:ilvl w:val="0"/>
          <w:numId w:val="2"/>
        </w:numPr>
        <w:spacing w:after="80" w:line="280"/>
      </w:pPr>
      <w:r>
        <w:t xml:space="preserve">Replacement of Dynatrace, Splunk, or BigPanda for general infrastructure or SIEM use cases.</w:t>
      </w:r>
    </w:p>
    <w:p>
      <w:pPr>
        <w:pStyle w:val="ListParagraph"/>
        <w:numPr>
          <w:ilvl w:val="0"/>
          <w:numId w:val="2"/>
        </w:numPr>
        <w:spacing w:after="80" w:line="280"/>
      </w:pPr>
      <w:r>
        <w:t xml:space="preserve">Replacement of DataHub as the system of record for governance metadata.</w:t>
      </w:r>
    </w:p>
    <w:p>
      <w:pPr>
        <w:pStyle w:val="ListParagraph"/>
        <w:numPr>
          <w:ilvl w:val="0"/>
          <w:numId w:val="2"/>
        </w:numPr>
        <w:spacing w:after="80" w:line="280"/>
      </w:pPr>
      <w:r>
        <w:t xml:space="preserve">Replacement of Finopsly as the system of record for chargeback and budget management.</w:t>
      </w:r>
    </w:p>
    <w:p>
      <w:pPr>
        <w:pStyle w:val="ListParagraph"/>
        <w:numPr>
          <w:ilvl w:val="0"/>
          <w:numId w:val="2"/>
        </w:numPr>
        <w:spacing w:after="80" w:line="280"/>
      </w:pPr>
      <w:r>
        <w:t xml:space="preserve">Application performance monitoring for business applications outside the data and AI platform.</w:t>
      </w:r>
    </w:p>
    <w:p>
      <w:pPr>
        <w:pStyle w:val="Heading1"/>
        <w:pageBreakBefore/>
        <w:spacing w:after="200" w:before="360"/>
      </w:pPr>
      <w:r>
        <w:t xml:space="preserve">3. Key Personas and Their Observability Needs</w:t>
      </w:r>
    </w:p>
    <w:p>
      <w:pPr>
        <w:spacing w:after="120" w:before="0" w:line="300"/>
      </w:pPr>
      <w:r>
        <w:t xml:space="preserve">The framework explicitly designs around five primary personas. Each has distinct signals, time horizons, and tolerance for noise. A tool that excels for one persona but ignores another will be scored down on coverage.</w:t>
      </w:r>
    </w:p>
    <w:p>
      <w:pPr>
        <w:pStyle w:val="Heading2"/>
        <w:spacing w:after="140" w:before="280"/>
      </w:pPr>
      <w:r>
        <w:t xml:space="preserve">3.1 Data Engineer</w:t>
      </w:r>
    </w:p>
    <w:p>
      <w:pPr>
        <w:spacing w:after="120" w:before="0" w:line="300"/>
      </w:pPr>
      <w:r>
        <w:t xml:space="preserve">Goal: ship and operate reliable pipelines. Cares about freshness, schema drift, row-count anomalies, DAG-level latency, and upstream root cause.</w:t>
      </w:r>
    </w:p>
    <w:p>
      <w:pPr>
        <w:pStyle w:val="ListParagraph"/>
        <w:numPr>
          <w:ilvl w:val="0"/>
          <w:numId w:val="2"/>
        </w:numPr>
        <w:spacing w:after="80" w:line="280"/>
      </w:pPr>
      <w:r>
        <w:t xml:space="preserve">Primary signals: pipeline run status, dbt or notebook job duration, data quality test results, schema diffs, lineage to upstream failure.</w:t>
      </w:r>
    </w:p>
    <w:p>
      <w:pPr>
        <w:pStyle w:val="ListParagraph"/>
        <w:numPr>
          <w:ilvl w:val="0"/>
          <w:numId w:val="2"/>
        </w:numPr>
        <w:spacing w:after="80" w:line="280"/>
      </w:pPr>
      <w:r>
        <w:t xml:space="preserve">Time horizon: minutes to hours.</w:t>
      </w:r>
    </w:p>
    <w:p>
      <w:pPr>
        <w:pStyle w:val="ListParagraph"/>
        <w:numPr>
          <w:ilvl w:val="0"/>
          <w:numId w:val="2"/>
        </w:numPr>
        <w:spacing w:after="80" w:line="280"/>
      </w:pPr>
      <w:r>
        <w:t xml:space="preserve">Success metric: time to identify and resolve a broken data product.</w:t>
      </w:r>
    </w:p>
    <w:p>
      <w:pPr>
        <w:pStyle w:val="Heading2"/>
        <w:spacing w:after="140" w:before="280"/>
      </w:pPr>
      <w:r>
        <w:t xml:space="preserve">3.2 Platform Engineer</w:t>
      </w:r>
    </w:p>
    <w:p>
      <w:pPr>
        <w:spacing w:after="120" w:before="0" w:line="300"/>
      </w:pPr>
      <w:r>
        <w:t xml:space="preserve">Goal: operate the shared platform within SLOs and cost envelope. Cares about warehouse health, cluster utilization, query queueing, multi-tenant contention, and capacity trends.</w:t>
      </w:r>
    </w:p>
    <w:p>
      <w:pPr>
        <w:pStyle w:val="ListParagraph"/>
        <w:numPr>
          <w:ilvl w:val="0"/>
          <w:numId w:val="2"/>
        </w:numPr>
        <w:spacing w:after="80" w:line="280"/>
      </w:pPr>
      <w:r>
        <w:t xml:space="preserve">Primary signals: warehouse and cluster saturation, query queue depth, credit and DBU burn rate, top-N consumers, noisy-neighbor detection.</w:t>
      </w:r>
    </w:p>
    <w:p>
      <w:pPr>
        <w:pStyle w:val="ListParagraph"/>
        <w:numPr>
          <w:ilvl w:val="0"/>
          <w:numId w:val="2"/>
        </w:numPr>
        <w:spacing w:after="80" w:line="280"/>
      </w:pPr>
      <w:r>
        <w:t xml:space="preserve">Time horizon: real-time for incidents, daily and weekly for capacity.</w:t>
      </w:r>
    </w:p>
    <w:p>
      <w:pPr>
        <w:pStyle w:val="ListParagraph"/>
        <w:numPr>
          <w:ilvl w:val="0"/>
          <w:numId w:val="2"/>
        </w:numPr>
        <w:spacing w:after="80" w:line="280"/>
      </w:pPr>
      <w:r>
        <w:t xml:space="preserve">Success metric: platform SLO attainment and cost-per-data-product trend.</w:t>
      </w:r>
    </w:p>
    <w:p>
      <w:pPr>
        <w:pStyle w:val="Heading2"/>
        <w:spacing w:after="140" w:before="280"/>
      </w:pPr>
      <w:r>
        <w:t xml:space="preserve">3.3 DevOps and SRE Engineer</w:t>
      </w:r>
    </w:p>
    <w:p>
      <w:pPr>
        <w:spacing w:after="120" w:before="0" w:line="300"/>
      </w:pPr>
      <w:r>
        <w:t xml:space="preserve">Goal: integrate the data platform into enterprise reliability tooling. Cares about alerting hygiene, correlation, on-call workflow, and post-incident review.</w:t>
      </w:r>
    </w:p>
    <w:p>
      <w:pPr>
        <w:pStyle w:val="ListParagraph"/>
        <w:numPr>
          <w:ilvl w:val="0"/>
          <w:numId w:val="2"/>
        </w:numPr>
        <w:spacing w:after="80" w:line="280"/>
      </w:pPr>
      <w:r>
        <w:t xml:space="preserve">Primary signals: alerts deduplicated and routed to BigPanda, incident timelines, runbook automation hooks, change-correlated regressions.</w:t>
      </w:r>
    </w:p>
    <w:p>
      <w:pPr>
        <w:pStyle w:val="ListParagraph"/>
        <w:numPr>
          <w:ilvl w:val="0"/>
          <w:numId w:val="2"/>
        </w:numPr>
        <w:spacing w:after="80" w:line="280"/>
      </w:pPr>
      <w:r>
        <w:t xml:space="preserve">Time horizon: real-time.</w:t>
      </w:r>
    </w:p>
    <w:p>
      <w:pPr>
        <w:pStyle w:val="ListParagraph"/>
        <w:numPr>
          <w:ilvl w:val="0"/>
          <w:numId w:val="2"/>
        </w:numPr>
        <w:spacing w:after="80" w:line="280"/>
      </w:pPr>
      <w:r>
        <w:t xml:space="preserve">Success metric: noise ratio, alert-to-ticket conversion, MTTR.</w:t>
      </w:r>
    </w:p>
    <w:p>
      <w:pPr>
        <w:pStyle w:val="Heading2"/>
        <w:spacing w:after="140" w:before="280"/>
      </w:pPr>
      <w:r>
        <w:t xml:space="preserve">3.4 ML and AI Engineer</w:t>
      </w:r>
    </w:p>
    <w:p>
      <w:pPr>
        <w:spacing w:after="120" w:before="0" w:line="300"/>
      </w:pPr>
      <w:r>
        <w:t xml:space="preserve">Goal: ship and operate ML models and agentic systems with confidence. Cares about training metrics, drift, evaluation results, inference latency, token economics, and tool-call traces for agents.</w:t>
      </w:r>
    </w:p>
    <w:p>
      <w:pPr>
        <w:pStyle w:val="ListParagraph"/>
        <w:numPr>
          <w:ilvl w:val="0"/>
          <w:numId w:val="2"/>
        </w:numPr>
        <w:spacing w:after="80" w:line="280"/>
      </w:pPr>
      <w:r>
        <w:t xml:space="preserve">Primary signals: model performance vs. baseline, feature and prediction drift, prompt and response traces, agent tool-call success rates, GPU and serverless inference utilization, evaluation scores against golden sets.</w:t>
      </w:r>
    </w:p>
    <w:p>
      <w:pPr>
        <w:pStyle w:val="ListParagraph"/>
        <w:numPr>
          <w:ilvl w:val="0"/>
          <w:numId w:val="2"/>
        </w:numPr>
        <w:spacing w:after="80" w:line="280"/>
      </w:pPr>
      <w:r>
        <w:t xml:space="preserve">Time horizon: real-time for production inference, daily and weekly for retraining cadence.</w:t>
      </w:r>
    </w:p>
    <w:p>
      <w:pPr>
        <w:pStyle w:val="ListParagraph"/>
        <w:numPr>
          <w:ilvl w:val="0"/>
          <w:numId w:val="2"/>
        </w:numPr>
        <w:spacing w:after="80" w:line="280"/>
      </w:pPr>
      <w:r>
        <w:t xml:space="preserve">Success metric: production model quality SLOs and cost per inference or per agent task.</w:t>
      </w:r>
    </w:p>
    <w:p>
      <w:pPr>
        <w:pStyle w:val="Heading2"/>
        <w:spacing w:after="140" w:before="280"/>
      </w:pPr>
      <w:r>
        <w:t xml:space="preserve">3.5 Product Team Building on the Platform</w:t>
      </w:r>
    </w:p>
    <w:p>
      <w:pPr>
        <w:spacing w:after="120" w:before="0" w:line="300"/>
      </w:pPr>
      <w:r>
        <w:t xml:space="preserve">Goal: deliver and own a data product with confidence. Cares about consumer-facing SLAs, lineage visible to business stakeholders, freshness guarantees, and the ability to answer questions from downstream consumers.</w:t>
      </w:r>
    </w:p>
    <w:p>
      <w:pPr>
        <w:pStyle w:val="ListParagraph"/>
        <w:numPr>
          <w:ilvl w:val="0"/>
          <w:numId w:val="2"/>
        </w:numPr>
        <w:spacing w:after="80" w:line="280"/>
      </w:pPr>
      <w:r>
        <w:t xml:space="preserve">Primary signals: data product SLA dashboard, freshness against contract, contract-test results, consumer-perceived availability.</w:t>
      </w:r>
    </w:p>
    <w:p>
      <w:pPr>
        <w:pStyle w:val="ListParagraph"/>
        <w:numPr>
          <w:ilvl w:val="0"/>
          <w:numId w:val="2"/>
        </w:numPr>
        <w:spacing w:after="80" w:line="280"/>
      </w:pPr>
      <w:r>
        <w:t xml:space="preserve">Time horizon: business-hour cadence with real-time alerting for SLA breaches.</w:t>
      </w:r>
    </w:p>
    <w:p>
      <w:pPr>
        <w:pStyle w:val="ListParagraph"/>
        <w:numPr>
          <w:ilvl w:val="0"/>
          <w:numId w:val="2"/>
        </w:numPr>
        <w:spacing w:after="80" w:line="280"/>
      </w:pPr>
      <w:r>
        <w:t xml:space="preserve">Success metric: data product SLA attainment and consumer satisfaction.</w:t>
      </w:r>
    </w:p>
    <w:p>
      <w:pPr>
        <w:pStyle w:val="Heading2"/>
        <w:spacing w:after="140" w:before="280"/>
      </w:pPr>
      <w:r>
        <w:t xml:space="preserve">3.6 Persona-to-Capability Mapping</w:t>
      </w:r>
    </w:p>
    <w:tbl>
      <w:tblPr>
        <w:tblW w:type="dxa" w:w="1095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gridCol w:w="159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Capability Area</w:t>
            </w:r>
          </w:p>
        </w:tc>
        <w:tc>
          <w:tcPr>
            <w:tcW w:type="dxa" w:w="159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Data Eng</w:t>
            </w:r>
          </w:p>
        </w:tc>
        <w:tc>
          <w:tcPr>
            <w:tcW w:type="dxa" w:w="159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Platform Eng</w:t>
            </w:r>
          </w:p>
        </w:tc>
        <w:tc>
          <w:tcPr>
            <w:tcW w:type="dxa" w:w="159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DevOps</w:t>
            </w:r>
          </w:p>
        </w:tc>
        <w:tc>
          <w:tcPr>
            <w:tcW w:type="dxa" w:w="159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ML/AI Eng</w:t>
            </w:r>
          </w:p>
        </w:tc>
        <w:tc>
          <w:tcPr>
            <w:tcW w:type="dxa" w:w="159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Product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Pipeline / DAG monitoring</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Critical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Data quality &amp; freshness</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Critical</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Critical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Column-level lineage</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Critical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Critical</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Warehouse &amp; cluster telemetry</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Critical</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Useful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Cost &amp; FinOps correlation</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Critical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Alert correlation &amp; routing</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Critical</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Useful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ML drift &amp; evaluation</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Critical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LLM / agent trace observability</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Critical</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Data product SLA dashboard</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Useful</w:t>
            </w:r>
          </w:p>
        </w:tc>
        <w:tc>
          <w:tcPr>
            <w:tcW w:type="dxa" w:w="159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Critical</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Audit &amp; compliance trails</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Critical</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c>
          <w:tcPr>
            <w:tcW w:type="dxa" w:w="159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Important</w:t>
            </w:r>
          </w:p>
        </w:tc>
      </w:tr>
    </w:tbl>
    <w:p>
      <w:pPr>
        <w:pStyle w:val="Heading1"/>
        <w:pageBreakBefore/>
        <w:spacing w:after="200" w:before="360"/>
      </w:pPr>
      <w:r>
        <w:t xml:space="preserve">4. Capability Framework</w:t>
      </w:r>
    </w:p>
    <w:p>
      <w:pPr>
        <w:spacing w:after="120" w:before="0" w:line="300"/>
      </w:pPr>
      <w:r>
        <w:t xml:space="preserve">Capabilities are grouped into eight pillars. Each pillar has a defined set of capabilities, an indication of whether it is mandatory or preferred, and a maturity rubric used during scoring.</w:t>
      </w:r>
    </w:p>
    <w:p>
      <w:pPr>
        <w:pStyle w:val="Heading2"/>
        <w:spacing w:after="140" w:before="280"/>
      </w:pPr>
      <w:r>
        <w:t xml:space="preserve">4.1 Pillar 1 — Telemetry Collection and Coverage</w:t>
      </w:r>
    </w:p>
    <w:p>
      <w:pPr>
        <w:pStyle w:val="ListParagraph"/>
        <w:numPr>
          <w:ilvl w:val="0"/>
          <w:numId w:val="2"/>
        </w:numPr>
        <w:spacing w:after="80" w:line="280"/>
      </w:pPr>
      <w:r>
        <w:t xml:space="preserve">Native connectors for Snowflake (account usage, query history, dynamic tables, Cortex), Databricks (system tables, MLflow, jobs, model serving), Airflow / Astronomer (DAG and task events, OpenLineage), Fivetran, Qlik Replicate, Oracle, PostgreSQL.</w:t>
      </w:r>
    </w:p>
    <w:p>
      <w:pPr>
        <w:pStyle w:val="ListParagraph"/>
        <w:numPr>
          <w:ilvl w:val="0"/>
          <w:numId w:val="2"/>
        </w:numPr>
        <w:spacing w:after="80" w:line="280"/>
      </w:pPr>
      <w:r>
        <w:t xml:space="preserve">Support for OpenTelemetry traces, metrics, and logs for custom pipelines.</w:t>
      </w:r>
    </w:p>
    <w:p>
      <w:pPr>
        <w:pStyle w:val="ListParagraph"/>
        <w:numPr>
          <w:ilvl w:val="0"/>
          <w:numId w:val="2"/>
        </w:numPr>
        <w:spacing w:after="80" w:line="280"/>
      </w:pPr>
      <w:r>
        <w:t xml:space="preserve">Agentless collection where possible; agent footprint, deployment model, and credential scope must be documented.</w:t>
      </w:r>
    </w:p>
    <w:p>
      <w:pPr>
        <w:pStyle w:val="ListParagraph"/>
        <w:numPr>
          <w:ilvl w:val="0"/>
          <w:numId w:val="2"/>
        </w:numPr>
        <w:spacing w:after="80" w:line="280"/>
      </w:pPr>
      <w:r>
        <w:t xml:space="preserve">Coverage of streaming and CDC pipelines, not only batch.</w:t>
      </w:r>
    </w:p>
    <w:p>
      <w:pPr>
        <w:pStyle w:val="Heading2"/>
        <w:spacing w:after="140" w:before="280"/>
      </w:pPr>
      <w:r>
        <w:t xml:space="preserve">4.2 Pillar 2 — Lineage</w:t>
      </w:r>
    </w:p>
    <w:p>
      <w:pPr>
        <w:pStyle w:val="ListParagraph"/>
        <w:numPr>
          <w:ilvl w:val="0"/>
          <w:numId w:val="2"/>
        </w:numPr>
        <w:spacing w:after="80" w:line="280"/>
      </w:pPr>
      <w:r>
        <w:t xml:space="preserve">Asset, column, and execution-level lineage across the full stack.</w:t>
      </w:r>
    </w:p>
    <w:p>
      <w:pPr>
        <w:pStyle w:val="ListParagraph"/>
        <w:numPr>
          <w:ilvl w:val="0"/>
          <w:numId w:val="2"/>
        </w:numPr>
        <w:spacing w:after="80" w:line="280"/>
      </w:pPr>
      <w:r>
        <w:t xml:space="preserve">Reconciliation and bi-directional sync with DataHub (DataHub remains system of record for governance metadata).</w:t>
      </w:r>
    </w:p>
    <w:p>
      <w:pPr>
        <w:pStyle w:val="ListParagraph"/>
        <w:numPr>
          <w:ilvl w:val="0"/>
          <w:numId w:val="2"/>
        </w:numPr>
        <w:spacing w:after="80" w:line="280"/>
      </w:pPr>
      <w:r>
        <w:t xml:space="preserve">Lineage enriched with runtime signals: last successful run, failure status, freshness, owner.</w:t>
      </w:r>
    </w:p>
    <w:p>
      <w:pPr>
        <w:pStyle w:val="ListParagraph"/>
        <w:numPr>
          <w:ilvl w:val="0"/>
          <w:numId w:val="2"/>
        </w:numPr>
        <w:spacing w:after="80" w:line="280"/>
      </w:pPr>
      <w:r>
        <w:t xml:space="preserve">Support for impact analysis ("if I change column X, what breaks?") and root cause analysis ("why is dashboard Y stale?").</w:t>
      </w:r>
    </w:p>
    <w:p>
      <w:pPr>
        <w:pStyle w:val="ListParagraph"/>
        <w:numPr>
          <w:ilvl w:val="0"/>
          <w:numId w:val="2"/>
        </w:numPr>
        <w:spacing w:after="80" w:line="280"/>
      </w:pPr>
      <w:r>
        <w:t xml:space="preserve">Lineage across ML feature pipelines, model training data, and downstream inference outputs.</w:t>
      </w:r>
    </w:p>
    <w:p>
      <w:pPr>
        <w:pStyle w:val="Heading2"/>
        <w:spacing w:after="140" w:before="280"/>
      </w:pPr>
      <w:r>
        <w:t xml:space="preserve">4.3 Pillar 3 — Data Quality and Reliability</w:t>
      </w:r>
    </w:p>
    <w:p>
      <w:pPr>
        <w:pStyle w:val="ListParagraph"/>
        <w:numPr>
          <w:ilvl w:val="0"/>
          <w:numId w:val="2"/>
        </w:numPr>
        <w:spacing w:after="80" w:line="280"/>
      </w:pPr>
      <w:r>
        <w:t xml:space="preserve">Out-of-the-box reliability monitors: freshness, volume, schema, null rate, distribution, uniqueness, referential integrity.</w:t>
      </w:r>
    </w:p>
    <w:p>
      <w:pPr>
        <w:pStyle w:val="ListParagraph"/>
        <w:numPr>
          <w:ilvl w:val="0"/>
          <w:numId w:val="2"/>
        </w:numPr>
        <w:spacing w:after="80" w:line="280"/>
      </w:pPr>
      <w:r>
        <w:t xml:space="preserve">ML-based anomaly detection with explainability and tunable sensitivity.</w:t>
      </w:r>
    </w:p>
    <w:p>
      <w:pPr>
        <w:pStyle w:val="ListParagraph"/>
        <w:numPr>
          <w:ilvl w:val="0"/>
          <w:numId w:val="2"/>
        </w:numPr>
        <w:spacing w:after="80" w:line="280"/>
      </w:pPr>
      <w:r>
        <w:t xml:space="preserve">Custom SQL or Python-based assertions and contract tests.</w:t>
      </w:r>
    </w:p>
    <w:p>
      <w:pPr>
        <w:pStyle w:val="ListParagraph"/>
        <w:numPr>
          <w:ilvl w:val="0"/>
          <w:numId w:val="2"/>
        </w:numPr>
        <w:spacing w:after="80" w:line="280"/>
      </w:pPr>
      <w:r>
        <w:t xml:space="preserve">Data contract enforcement and producer-consumer contract violation detection.</w:t>
      </w:r>
    </w:p>
    <w:p>
      <w:pPr>
        <w:pStyle w:val="ListParagraph"/>
        <w:numPr>
          <w:ilvl w:val="0"/>
          <w:numId w:val="2"/>
        </w:numPr>
        <w:spacing w:after="80" w:line="280"/>
      </w:pPr>
      <w:r>
        <w:t xml:space="preserve">Backfill, replay, and incident annotation workflows.</w:t>
      </w:r>
    </w:p>
    <w:p>
      <w:pPr>
        <w:pStyle w:val="Heading2"/>
        <w:spacing w:after="140" w:before="280"/>
      </w:pPr>
      <w:r>
        <w:t xml:space="preserve">4.4 Pillar 4 — Performance, Cost, and Capacity</w:t>
      </w:r>
    </w:p>
    <w:p>
      <w:pPr>
        <w:pStyle w:val="ListParagraph"/>
        <w:numPr>
          <w:ilvl w:val="0"/>
          <w:numId w:val="2"/>
        </w:numPr>
        <w:spacing w:after="80" w:line="280"/>
      </w:pPr>
      <w:r>
        <w:t xml:space="preserve">Warehouse, cluster, and serverless compute utilization with attribution to job, user, role, warehouse, or tag.</w:t>
      </w:r>
    </w:p>
    <w:p>
      <w:pPr>
        <w:pStyle w:val="ListParagraph"/>
        <w:numPr>
          <w:ilvl w:val="0"/>
          <w:numId w:val="2"/>
        </w:numPr>
        <w:spacing w:after="80" w:line="280"/>
      </w:pPr>
      <w:r>
        <w:t xml:space="preserve">Query performance analytics with regression detection across deploys.</w:t>
      </w:r>
    </w:p>
    <w:p>
      <w:pPr>
        <w:pStyle w:val="ListParagraph"/>
        <w:numPr>
          <w:ilvl w:val="0"/>
          <w:numId w:val="2"/>
        </w:numPr>
        <w:spacing w:after="80" w:line="280"/>
      </w:pPr>
      <w:r>
        <w:t xml:space="preserve">Cost attribution that joins with Finopsly without duplicating its system-of-record role.</w:t>
      </w:r>
    </w:p>
    <w:p>
      <w:pPr>
        <w:pStyle w:val="ListParagraph"/>
        <w:numPr>
          <w:ilvl w:val="0"/>
          <w:numId w:val="2"/>
        </w:numPr>
        <w:spacing w:after="80" w:line="280"/>
      </w:pPr>
      <w:r>
        <w:t xml:space="preserve">Pre-execution cost guardrails and post-execution chargeback signals.</w:t>
      </w:r>
    </w:p>
    <w:p>
      <w:pPr>
        <w:pStyle w:val="ListParagraph"/>
        <w:numPr>
          <w:ilvl w:val="0"/>
          <w:numId w:val="2"/>
        </w:numPr>
        <w:spacing w:after="80" w:line="280"/>
      </w:pPr>
      <w:r>
        <w:t xml:space="preserve">Capacity forecasting and what-if simulation.</w:t>
      </w:r>
    </w:p>
    <w:p>
      <w:pPr>
        <w:pStyle w:val="Heading2"/>
        <w:spacing w:after="140" w:before="280"/>
      </w:pPr>
      <w:r>
        <w:t xml:space="preserve">4.5 Pillar 5 — ML, LLM, and Agentic AI Observability</w:t>
      </w:r>
    </w:p>
    <w:p>
      <w:pPr>
        <w:pStyle w:val="ListParagraph"/>
        <w:numPr>
          <w:ilvl w:val="0"/>
          <w:numId w:val="2"/>
        </w:numPr>
        <w:spacing w:after="80" w:line="280"/>
      </w:pPr>
      <w:r>
        <w:t xml:space="preserve">Model registry integration with Databricks MLflow and Snowflake Model Registry.</w:t>
      </w:r>
    </w:p>
    <w:p>
      <w:pPr>
        <w:pStyle w:val="ListParagraph"/>
        <w:numPr>
          <w:ilvl w:val="0"/>
          <w:numId w:val="2"/>
        </w:numPr>
        <w:spacing w:after="80" w:line="280"/>
      </w:pPr>
      <w:r>
        <w:t xml:space="preserve">Online and offline drift monitoring (feature, prediction, concept drift) with statistical tests.</w:t>
      </w:r>
    </w:p>
    <w:p>
      <w:pPr>
        <w:pStyle w:val="ListParagraph"/>
        <w:numPr>
          <w:ilvl w:val="0"/>
          <w:numId w:val="2"/>
        </w:numPr>
        <w:spacing w:after="80" w:line="280"/>
      </w:pPr>
      <w:r>
        <w:t xml:space="preserve">Evaluation harness for batch and online evals, including golden dataset management.</w:t>
      </w:r>
    </w:p>
    <w:p>
      <w:pPr>
        <w:pStyle w:val="ListParagraph"/>
        <w:numPr>
          <w:ilvl w:val="0"/>
          <w:numId w:val="2"/>
        </w:numPr>
        <w:spacing w:after="80" w:line="280"/>
      </w:pPr>
      <w:r>
        <w:t xml:space="preserve">LLM and agent trace observability: prompts, responses, tool calls, retrieval steps, latency, token usage, cost per call, hallucination and safety signals.</w:t>
      </w:r>
    </w:p>
    <w:p>
      <w:pPr>
        <w:pStyle w:val="ListParagraph"/>
        <w:numPr>
          <w:ilvl w:val="0"/>
          <w:numId w:val="2"/>
        </w:numPr>
        <w:spacing w:after="80" w:line="280"/>
      </w:pPr>
      <w:r>
        <w:t xml:space="preserve">Specifically: support for Snowflake Cortex Agents and Databricks Mosaic AI agent traces.</w:t>
      </w:r>
    </w:p>
    <w:p>
      <w:pPr>
        <w:pStyle w:val="ListParagraph"/>
        <w:numPr>
          <w:ilvl w:val="0"/>
          <w:numId w:val="2"/>
        </w:numPr>
        <w:spacing w:after="80" w:line="280"/>
      </w:pPr>
      <w:r>
        <w:t xml:space="preserve">PII and sensitive-data detection on prompt and response payloads, with redaction before storage.</w:t>
      </w:r>
    </w:p>
    <w:p>
      <w:pPr>
        <w:pStyle w:val="Heading2"/>
        <w:spacing w:after="140" w:before="280"/>
      </w:pPr>
      <w:r>
        <w:t xml:space="preserve">4.6 Pillar 6 — Alerting, Correlation, and Workflow</w:t>
      </w:r>
    </w:p>
    <w:p>
      <w:pPr>
        <w:pStyle w:val="ListParagraph"/>
        <w:numPr>
          <w:ilvl w:val="0"/>
          <w:numId w:val="2"/>
        </w:numPr>
        <w:spacing w:after="80" w:line="280"/>
      </w:pPr>
      <w:r>
        <w:t xml:space="preserve">Native bi-directional integration with BigPanda, PagerDuty, ServiceNow, Slack, and Microsoft Teams.</w:t>
      </w:r>
    </w:p>
    <w:p>
      <w:pPr>
        <w:pStyle w:val="ListParagraph"/>
        <w:numPr>
          <w:ilvl w:val="0"/>
          <w:numId w:val="2"/>
        </w:numPr>
        <w:spacing w:after="80" w:line="280"/>
      </w:pPr>
      <w:r>
        <w:t xml:space="preserve">Alert correlation that understands lineage (a single upstream failure suppresses downstream noise).</w:t>
      </w:r>
    </w:p>
    <w:p>
      <w:pPr>
        <w:pStyle w:val="ListParagraph"/>
        <w:numPr>
          <w:ilvl w:val="0"/>
          <w:numId w:val="2"/>
        </w:numPr>
        <w:spacing w:after="80" w:line="280"/>
      </w:pPr>
      <w:r>
        <w:t xml:space="preserve">Severity, ownership, and routing based on data product or tag, not just infrastructure.</w:t>
      </w:r>
    </w:p>
    <w:p>
      <w:pPr>
        <w:pStyle w:val="ListParagraph"/>
        <w:numPr>
          <w:ilvl w:val="0"/>
          <w:numId w:val="2"/>
        </w:numPr>
        <w:spacing w:after="80" w:line="280"/>
      </w:pPr>
      <w:r>
        <w:t xml:space="preserve">Runbook and automation hooks (webhook, API, Astronomer DAG trigger).</w:t>
      </w:r>
    </w:p>
    <w:p>
      <w:pPr>
        <w:pStyle w:val="ListParagraph"/>
        <w:numPr>
          <w:ilvl w:val="0"/>
          <w:numId w:val="2"/>
        </w:numPr>
        <w:spacing w:after="80" w:line="280"/>
      </w:pPr>
      <w:r>
        <w:t xml:space="preserve">Postmortem and incident review tooling with timeline reconstruction.</w:t>
      </w:r>
    </w:p>
    <w:p>
      <w:pPr>
        <w:pStyle w:val="Heading2"/>
        <w:spacing w:after="140" w:before="280"/>
      </w:pPr>
      <w:r>
        <w:t xml:space="preserve">4.7 Pillar 7 — Governance, Security, and Compliance</w:t>
      </w:r>
    </w:p>
    <w:p>
      <w:pPr>
        <w:pStyle w:val="ListParagraph"/>
        <w:numPr>
          <w:ilvl w:val="0"/>
          <w:numId w:val="2"/>
        </w:numPr>
        <w:spacing w:after="80" w:line="280"/>
      </w:pPr>
      <w:r>
        <w:t xml:space="preserve">SOC 2 Type II, ISO 27001, and where possible PCI-DSS attestation.</w:t>
      </w:r>
    </w:p>
    <w:p>
      <w:pPr>
        <w:pStyle w:val="ListParagraph"/>
        <w:numPr>
          <w:ilvl w:val="0"/>
          <w:numId w:val="2"/>
        </w:numPr>
        <w:spacing w:after="80" w:line="280"/>
      </w:pPr>
      <w:r>
        <w:t xml:space="preserve">Support for SOX and GLBA control evidence (audit trails, immutable logs, access reviews).</w:t>
      </w:r>
    </w:p>
    <w:p>
      <w:pPr>
        <w:pStyle w:val="ListParagraph"/>
        <w:numPr>
          <w:ilvl w:val="0"/>
          <w:numId w:val="2"/>
        </w:numPr>
        <w:spacing w:after="80" w:line="280"/>
      </w:pPr>
      <w:r>
        <w:t xml:space="preserve">Customer-managed keys (BYOK) and tenant isolation.</w:t>
      </w:r>
    </w:p>
    <w:p>
      <w:pPr>
        <w:pStyle w:val="ListParagraph"/>
        <w:numPr>
          <w:ilvl w:val="0"/>
          <w:numId w:val="2"/>
        </w:numPr>
        <w:spacing w:after="80" w:line="280"/>
      </w:pPr>
      <w:r>
        <w:t xml:space="preserve">Granular RBAC and ABAC; SSO via enterprise IdP (SAML, OIDC); SCIM provisioning.</w:t>
      </w:r>
    </w:p>
    <w:p>
      <w:pPr>
        <w:pStyle w:val="ListParagraph"/>
        <w:numPr>
          <w:ilvl w:val="0"/>
          <w:numId w:val="2"/>
        </w:numPr>
        <w:spacing w:after="80" w:line="280"/>
      </w:pPr>
      <w:r>
        <w:t xml:space="preserve">Data residency controls and configurable retention; no egress of raw payloads where not required.</w:t>
      </w:r>
    </w:p>
    <w:p>
      <w:pPr>
        <w:pStyle w:val="ListParagraph"/>
        <w:numPr>
          <w:ilvl w:val="0"/>
          <w:numId w:val="2"/>
        </w:numPr>
        <w:spacing w:after="80" w:line="280"/>
      </w:pPr>
      <w:r>
        <w:t xml:space="preserve">Deployment options: SaaS, single-tenant SaaS, hybrid (control plane SaaS / data plane in-VPC), or fully self-hosted.</w:t>
      </w:r>
    </w:p>
    <w:p>
      <w:pPr>
        <w:pStyle w:val="Heading2"/>
        <w:spacing w:after="140" w:before="280"/>
      </w:pPr>
      <w:r>
        <w:t xml:space="preserve">4.8 Pillar 8 — Extensibility and Developer Experience</w:t>
      </w:r>
    </w:p>
    <w:p>
      <w:pPr>
        <w:pStyle w:val="ListParagraph"/>
        <w:numPr>
          <w:ilvl w:val="0"/>
          <w:numId w:val="2"/>
        </w:numPr>
        <w:spacing w:after="80" w:line="280"/>
      </w:pPr>
      <w:r>
        <w:t xml:space="preserve">Full public API and Terraform provider for as-code configuration of monitors, dashboards, and alert routes.</w:t>
      </w:r>
    </w:p>
    <w:p>
      <w:pPr>
        <w:pStyle w:val="ListParagraph"/>
        <w:numPr>
          <w:ilvl w:val="0"/>
          <w:numId w:val="2"/>
        </w:numPr>
        <w:spacing w:after="80" w:line="280"/>
      </w:pPr>
      <w:r>
        <w:t xml:space="preserve">Webhook and event subscription support.</w:t>
      </w:r>
    </w:p>
    <w:p>
      <w:pPr>
        <w:pStyle w:val="ListParagraph"/>
        <w:numPr>
          <w:ilvl w:val="0"/>
          <w:numId w:val="2"/>
        </w:numPr>
        <w:spacing w:after="80" w:line="280"/>
      </w:pPr>
      <w:r>
        <w:t xml:space="preserve">CLI, SDK (Python and at least one JVM), and IDE integration.</w:t>
      </w:r>
    </w:p>
    <w:p>
      <w:pPr>
        <w:pStyle w:val="ListParagraph"/>
        <w:numPr>
          <w:ilvl w:val="0"/>
          <w:numId w:val="2"/>
        </w:numPr>
        <w:spacing w:after="80" w:line="280"/>
      </w:pPr>
      <w:r>
        <w:t xml:space="preserve">Self-serve onboarding for new data products without platform-team gatekeeping for routine cases.</w:t>
      </w:r>
    </w:p>
    <w:p>
      <w:pPr>
        <w:pStyle w:val="ListParagraph"/>
        <w:numPr>
          <w:ilvl w:val="0"/>
          <w:numId w:val="2"/>
        </w:numPr>
        <w:spacing w:after="80" w:line="280"/>
      </w:pPr>
      <w:r>
        <w:t xml:space="preserve">Embeddable widgets or APIs so data product owners can surface SLAs in their own portals.</w:t>
      </w:r>
    </w:p>
    <w:p>
      <w:pPr>
        <w:pStyle w:val="Heading1"/>
        <w:pageBreakBefore/>
        <w:spacing w:after="200" w:before="360"/>
      </w:pPr>
      <w:r>
        <w:t xml:space="preserve">5. Functional Requirements</w:t>
      </w:r>
    </w:p>
    <w:p>
      <w:pPr>
        <w:spacing w:after="120" w:before="0" w:line="300"/>
      </w:pPr>
      <w:r>
        <w:t xml:space="preserve">Each requirement is classified as Mandatory (M), Important (I), or Preferred (P). Mandatory requirements act as gating criteria; a vendor failing two or more mandatory items will not advance beyond the RFI stage.</w:t>
      </w:r>
    </w:p>
    <w:p>
      <w:pPr>
        <w:pStyle w:val="Heading2"/>
        <w:spacing w:after="140" w:before="280"/>
      </w:pPr>
      <w:r>
        <w:t xml:space="preserve">5.1 Telemetry and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Class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FR-T1</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Native connector for Snowflake (account usage, query history, dynamic tables)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FR-T2</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Native connector for Databricks (system tables, jobs, MLflow, model serving)</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FR-T3</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Native connector for Astronomer / Airflow with OpenLineage support</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FR-T4</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Native connectors for Fivetran and Qlik Replicate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FR-T5</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Connectors for Oracle and PostgreSQL source telemetry (locks, replication lag, slow queries)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FR-T6</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OpenTelemetry (OTel) ingestion for custom pipelines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FR-T7</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Streaming and CDC pipeline observability (not only batch)</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FR-T8</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Agentless collection options documented with credential scope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bl>
    <w:p>
      <w:pPr>
        <w:pStyle w:val="Heading2"/>
        <w:spacing w:after="140" w:before="280"/>
      </w:pPr>
      <w:r>
        <w:t xml:space="preserve">5.2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Class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FR-L1</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Column-level lineage end-to-end across the stack</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FR-L2</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Execution-level lineage (per run, not only logical)</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FR-L3</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Bi-directional sync with DataHub</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FR-L4</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Impact analysis and root cause analysis UI</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FR-L5</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Lineage extending into ML training data and downstream inference outputs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FR-L6</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Lineage extending into BI tools (Tableau, Power BI, Looker, Sigma)</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r>
    </w:tbl>
    <w:p>
      <w:pPr>
        <w:pStyle w:val="Heading2"/>
        <w:spacing w:after="140" w:before="280"/>
      </w:pPr>
      <w:r>
        <w:t xml:space="preserve">5.3 Data Quality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Class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FR-Q1</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Out-of-the-box monitors for freshness, volume, schema, distribution, null rate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FR-Q2</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ML-based anomaly detection with tunable sensitivity and explainability</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FR-Q3</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Custom SQL and Python assertion support</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FR-Q4</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Data contract definition and enforcement</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FR-Q5</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Incident annotation, suppression, and replay workflows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FR-Q6</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Native integration with dbt tests and Databricks DQX or equivalent</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r>
    </w:tbl>
    <w:p>
      <w:pPr>
        <w:pStyle w:val="Heading2"/>
        <w:spacing w:after="140" w:before="280"/>
      </w:pPr>
      <w:r>
        <w:t xml:space="preserve">5.4 Cost, Performance, and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Class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FR-C1</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Snowflake credit and Databricks DBU attribution by warehouse, user, role, query tag, job</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FR-C2</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Query and job performance regression detection across deploys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FR-C3</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Integration with Finopsly without duplicating chargeback system of record</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FR-C4</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Real-time guardrails (alert or kill) on cost thresholds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FR-C5</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Capacity forecasting and what-if simulation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w:t>
            </w:r>
          </w:p>
        </w:tc>
      </w:tr>
    </w:tbl>
    <w:p>
      <w:pPr>
        <w:pStyle w:val="Heading2"/>
        <w:spacing w:after="140" w:before="280"/>
      </w:pPr>
      <w:r>
        <w:t xml:space="preserve">5.5 ML, LLM, and Agentic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Class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FR-M1</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Integration with Databricks MLflow and Snowflake Model Registry</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FR-M2</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Feature, prediction, and concept drift monitoring</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FR-M3</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LLM trace observability (prompt, response, tokens, cost, latency)</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FR-M4</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Agent trace observability (tool calls, retrieval, planning steps)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FR-M5</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Specific support for Snowflake Cortex Agents and Databricks Mosaic AI</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FR-M6</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PII detection and redaction on prompts and responses before storage</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FR-M7</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Evaluation harness with golden dataset management and online evals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FR-M8</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Hallucination, safety, and policy-violation signals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r>
    </w:tbl>
    <w:p>
      <w:pPr>
        <w:pStyle w:val="Heading2"/>
        <w:spacing w:after="140" w:before="280"/>
      </w:pPr>
      <w:r>
        <w:t xml:space="preserve">5.6 Alerting and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Class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FR-A1</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Bi-directional integration with BigPanda</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FR-A2</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Native PagerDuty, ServiceNow, Slack, Teams integration</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FR-A3</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Lineage-aware alert correlation (suppress downstream when upstream failed)</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FR-A4</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Tag and data-product-based routing</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FR-A5</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Webhook and API automation hooks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FR-A6</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Incident timeline and postmortem tooling</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r>
    </w:tbl>
    <w:p>
      <w:pPr>
        <w:pStyle w:val="Heading2"/>
        <w:spacing w:after="140" w:before="280"/>
      </w:pPr>
      <w:r>
        <w:t xml:space="preserve">5.7 Governance, Security,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Class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FR-G1</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SOC 2 Type II and ISO 27001 attestation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FR-G2</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Customer-managed keys / BYOK</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FR-G3</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SSO via SAML and OIDC, SCIM provisioning</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FR-G4</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Granular RBAC; ABAC preferred</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FR-G5</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Immutable audit log of all configuration and access events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FR-G6</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Data residency controls; configurable retention</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FR-G7</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Hybrid or self-hosted deployment option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FR-G8</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Evidence pack supporting SOX, PCI-DSS, GLBA control assertions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bl>
    <w:p>
      <w:pPr>
        <w:pStyle w:val="Heading2"/>
        <w:spacing w:after="140" w:before="280"/>
      </w:pPr>
      <w:r>
        <w:t xml:space="preserve">5.8 Extensibility and Developer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ID</w:t>
            </w:r>
          </w:p>
        </w:tc>
        <w:tc>
          <w:tcPr>
            <w:tcW w:type="dxa" w:w="6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Class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FR-E1</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Public REST or GraphQL API with full coverage of platform features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FR-E2</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Terraform provider for monitors, dashboards, routes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FR-E3</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Python SDK and CLI</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FR-E4</w:t>
            </w:r>
          </w:p>
        </w:tc>
        <w:tc>
          <w:tcPr>
            <w:tcW w:type="dxa" w:w="6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Self-serve data product onboarding without platform-team gating for routine cases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FR-E5</w:t>
            </w:r>
          </w:p>
        </w:tc>
        <w:tc>
          <w:tcPr>
            <w:tcW w:type="dxa" w:w="6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Embeddable widgets or APIs for product-owned portals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w:t>
            </w:r>
          </w:p>
        </w:tc>
      </w:tr>
    </w:tbl>
    <w:p>
      <w:pPr>
        <w:pStyle w:val="Heading1"/>
        <w:pageBreakBefore/>
        <w:spacing w:after="200" w:before="360"/>
      </w:pPr>
      <w:r>
        <w:t xml:space="preserve">6. Non-Functional Requirements</w:t>
      </w:r>
    </w:p>
    <w:p>
      <w:pPr>
        <w:spacing w:after="120" w:before="0" w:line="300"/>
      </w:pPr>
      <w:r>
        <w:t xml:space="preserve">Non-functional requirements govern the operability, scale, and economics of the platform. Vendors must provide quantitative answers for each item; "yes" or "depends" responses without numbers will be treated as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Area</w:t>
            </w:r>
          </w:p>
        </w:tc>
        <w:tc>
          <w:tcPr>
            <w:tcW w:type="dxa" w:w="5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Requirement</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Target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Scale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Concurrent data assets monitored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100,000+</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Scale</w:t>
            </w:r>
          </w:p>
        </w:tc>
        <w:tc>
          <w:tcPr>
            <w:tcW w:type="dxa" w:w="5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Concurrent pipeline runs observed per day</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500,000+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Scale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LLM and agent traces ingested per day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10,000,000+</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Performance</w:t>
            </w:r>
          </w:p>
        </w:tc>
        <w:tc>
          <w:tcPr>
            <w:tcW w:type="dxa" w:w="5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Telemetry ingestion-to-visibility latency (p95)</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 60 seconds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Lineage query latency for a 5-hop graph (p95)</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 3 seconds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Performance</w:t>
            </w:r>
          </w:p>
        </w:tc>
        <w:tc>
          <w:tcPr>
            <w:tcW w:type="dxa" w:w="5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Dashboard render latency (p95)</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 2 seconds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Availability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Platform SLA</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 99.9% monthly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Availability</w:t>
            </w:r>
          </w:p>
        </w:tc>
        <w:tc>
          <w:tcPr>
            <w:tcW w:type="dxa" w:w="5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Recovery Time Objective (RTO)</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 1 hour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Availability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Recovery Point Objective (RPO)</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 15 minutes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Retention</w:t>
            </w:r>
          </w:p>
        </w:tc>
        <w:tc>
          <w:tcPr>
            <w:tcW w:type="dxa" w:w="5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Hot telemetry retention</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 90 days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Retention</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Cold / archive retention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 7 years for SOX-relevant logs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Security</w:t>
            </w:r>
          </w:p>
        </w:tc>
        <w:tc>
          <w:tcPr>
            <w:tcW w:type="dxa" w:w="5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Encryption in transit and at rest</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TLS 1.2+, AES-256, BYOK</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Security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Pen-test cadence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 annual, third-party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Operability</w:t>
            </w:r>
          </w:p>
        </w:tc>
        <w:tc>
          <w:tcPr>
            <w:tcW w:type="dxa" w:w="5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Onboarding a new data source by a Platform Engineer</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 1 day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Operability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Onboarding a new data product by its owner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 2 hours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Cost</w:t>
            </w:r>
          </w:p>
        </w:tc>
        <w:tc>
          <w:tcPr>
            <w:tcW w:type="dxa" w:w="5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Predictable, attributable pricing model</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Mandatory</w:t>
            </w:r>
          </w:p>
        </w:tc>
      </w:tr>
    </w:tbl>
    <w:p>
      <w:pPr>
        <w:pStyle w:val="Heading1"/>
        <w:pageBreakBefore/>
        <w:spacing w:after="200" w:before="360"/>
      </w:pPr>
      <w:r>
        <w:t xml:space="preserve">7. Evaluation Methodology and Scoring</w:t>
      </w:r>
    </w:p>
    <w:p>
      <w:pPr>
        <w:pStyle w:val="Heading2"/>
        <w:spacing w:after="140" w:before="280"/>
      </w:pPr>
      <w:r>
        <w:t xml:space="preserve">7.1 Weighted Scoring Model</w:t>
      </w:r>
    </w:p>
    <w:p>
      <w:pPr>
        <w:spacing w:after="120" w:before="0" w:line="300"/>
      </w:pPr>
      <w:r>
        <w:t xml:space="preserve">Each capability pillar is scored on a 0-5 scale. The final score is a weighted sum. Weights reflect the priorities of the enterprise data and AI platform; they were agreed by the Steering Committee before vendor engagement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740"/>
        <w:gridCol w:w="102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t>
            </w:r>
          </w:p>
        </w:tc>
        <w:tc>
          <w:tcPr>
            <w:tcW w:type="dxa" w:w="77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Pillar</w:t>
            </w:r>
          </w:p>
        </w:tc>
        <w:tc>
          <w:tcPr>
            <w:tcW w:type="dxa" w:w="10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Weight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w:t>
            </w:r>
          </w:p>
        </w:tc>
        <w:tc>
          <w:tcPr>
            <w:tcW w:type="dxa" w:w="7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Telemetry collection and coverage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12%</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2</w:t>
            </w:r>
          </w:p>
        </w:tc>
        <w:tc>
          <w:tcPr>
            <w:tcW w:type="dxa" w:w="7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Lineage</w:t>
            </w:r>
          </w:p>
        </w:tc>
        <w:tc>
          <w:tcPr>
            <w:tcW w:type="dxa" w:w="10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12%</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3</w:t>
            </w:r>
          </w:p>
        </w:tc>
        <w:tc>
          <w:tcPr>
            <w:tcW w:type="dxa" w:w="7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Data quality and reliability</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12%</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4</w:t>
            </w:r>
          </w:p>
        </w:tc>
        <w:tc>
          <w:tcPr>
            <w:tcW w:type="dxa" w:w="7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Performance, cost, and capacity</w:t>
            </w:r>
          </w:p>
        </w:tc>
        <w:tc>
          <w:tcPr>
            <w:tcW w:type="dxa" w:w="10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12%</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5</w:t>
            </w:r>
          </w:p>
        </w:tc>
        <w:tc>
          <w:tcPr>
            <w:tcW w:type="dxa" w:w="7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ML, LLM, and agentic AI observability</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15%</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6</w:t>
            </w:r>
          </w:p>
        </w:tc>
        <w:tc>
          <w:tcPr>
            <w:tcW w:type="dxa" w:w="7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Alerting, correlation, and workflow</w:t>
            </w:r>
          </w:p>
        </w:tc>
        <w:tc>
          <w:tcPr>
            <w:tcW w:type="dxa" w:w="10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10%</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7</w:t>
            </w:r>
          </w:p>
        </w:tc>
        <w:tc>
          <w:tcPr>
            <w:tcW w:type="dxa" w:w="7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Governance, security, and compliance</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10%</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8</w:t>
            </w:r>
          </w:p>
        </w:tc>
        <w:tc>
          <w:tcPr>
            <w:tcW w:type="dxa" w:w="7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Extensibility and developer experience</w:t>
            </w:r>
          </w:p>
        </w:tc>
        <w:tc>
          <w:tcPr>
            <w:tcW w:type="dxa" w:w="10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7%</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9</w:t>
            </w:r>
          </w:p>
        </w:tc>
        <w:tc>
          <w:tcPr>
            <w:tcW w:type="dxa" w:w="7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Total cost of ownership (3-year)</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5%</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10</w:t>
            </w:r>
          </w:p>
        </w:tc>
        <w:tc>
          <w:tcPr>
            <w:tcW w:type="dxa" w:w="7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Vendor viability, support, and roadmap</w:t>
            </w:r>
          </w:p>
        </w:tc>
        <w:tc>
          <w:tcPr>
            <w:tcW w:type="dxa" w:w="10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
            </w:r>
          </w:p>
        </w:tc>
        <w:tc>
          <w:tcPr>
            <w:tcW w:type="dxa" w:w="77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Total</w:t>
            </w:r>
          </w:p>
        </w:tc>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100%</w:t>
            </w:r>
          </w:p>
        </w:tc>
      </w:tr>
    </w:tbl>
    <w:p>
      <w:pPr>
        <w:pStyle w:val="Heading2"/>
        <w:spacing w:after="140" w:before="280"/>
      </w:pPr>
      <w:r>
        <w:t xml:space="preserve">7.2 Scoring Rubric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Score</w:t>
            </w:r>
          </w:p>
        </w:tc>
        <w:tc>
          <w:tcPr>
            <w:tcW w:type="dxa" w:w="8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Definition</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0</w:t>
            </w:r>
          </w:p>
        </w:tc>
        <w:tc>
          <w:tcPr>
            <w:tcW w:type="dxa" w:w="8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Capability absent. No credible plan to deliver.</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1</w:t>
            </w:r>
          </w:p>
        </w:tc>
        <w:tc>
          <w:tcPr>
            <w:tcW w:type="dxa" w:w="8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Capability present only as a workaround, manual process, or roadmap item without a date.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2</w:t>
            </w:r>
          </w:p>
        </w:tc>
        <w:tc>
          <w:tcPr>
            <w:tcW w:type="dxa" w:w="8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Partial capability; significant gaps that require third-party tooling or custom engineering.</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3</w:t>
            </w:r>
          </w:p>
        </w:tc>
        <w:tc>
          <w:tcPr>
            <w:tcW w:type="dxa" w:w="8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Capability meets baseline requirements out of the box, with limited polish.</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4</w:t>
            </w:r>
          </w:p>
        </w:tc>
        <w:tc>
          <w:tcPr>
            <w:tcW w:type="dxa" w:w="8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Capability is mature, integrated, and demonstrated in production at comparable-scale customers.</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5</w:t>
            </w:r>
          </w:p>
        </w:tc>
        <w:tc>
          <w:tcPr>
            <w:tcW w:type="dxa" w:w="8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Capability is best-in-class; demonstrably differentiated and validated by customer references.</w:t>
            </w:r>
          </w:p>
        </w:tc>
      </w:tr>
    </w:tbl>
    <w:p>
      <w:pPr>
        <w:pStyle w:val="Heading2"/>
        <w:spacing w:after="140" w:before="280"/>
      </w:pPr>
      <w:r>
        <w:t xml:space="preserve">7.3 Decision Matrix Template</w:t>
      </w:r>
    </w:p>
    <w:p>
      <w:pPr>
        <w:spacing w:after="120" w:before="0" w:line="300"/>
      </w:pPr>
      <w:r>
        <w:t xml:space="preserve">The following table is used to record scores for each vendor. A separate copy is maintained per vendor; the consolidated comparison rolls these into a single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0"/>
        <w:gridCol w:w="1320"/>
        <w:gridCol w:w="1700"/>
        <w:gridCol w:w="1700"/>
        <w:gridCol w:w="1700"/>
      </w:tblGrid>
      <w:tr>
        <w:trPr>
          <w:tblHeader/>
        </w:trPr>
        <w:tc>
          <w:tcPr>
            <w:tcW w:type="dxa" w:w="29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Pillar</w:t>
            </w:r>
          </w:p>
        </w:tc>
        <w:tc>
          <w:tcPr>
            <w:tcW w:type="dxa" w:w="13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Weight</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Vendor A</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Vendor B</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Vendor C</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Telemetry coverage</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12%</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Lineage</w:t>
            </w:r>
          </w:p>
        </w:tc>
        <w:tc>
          <w:tcPr>
            <w:tcW w:type="dxa" w:w="1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12%</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Data quality</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12%</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Performance / cost</w:t>
            </w:r>
          </w:p>
        </w:tc>
        <w:tc>
          <w:tcPr>
            <w:tcW w:type="dxa" w:w="1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12%</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ML / LLM / agent obs</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Alerting / workflow</w:t>
            </w:r>
          </w:p>
        </w:tc>
        <w:tc>
          <w:tcPr>
            <w:tcW w:type="dxa" w:w="1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10%</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Governance / security</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Extensibility / DX</w:t>
            </w:r>
          </w:p>
        </w:tc>
        <w:tc>
          <w:tcPr>
            <w:tcW w:type="dxa" w:w="1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7%</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TCO (3-yr)</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Vendor viability</w:t>
            </w:r>
          </w:p>
        </w:tc>
        <w:tc>
          <w:tcPr>
            <w:tcW w:type="dxa" w:w="1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5%</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_</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Weighted total</w:t>
            </w:r>
          </w:p>
        </w:tc>
        <w:tc>
          <w:tcPr>
            <w:tcW w:type="dxa" w:w="1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_</w:t>
            </w:r>
          </w:p>
        </w:tc>
      </w:tr>
    </w:tbl>
    <w:p>
      <w:pPr>
        <w:pStyle w:val="Heading2"/>
        <w:spacing w:after="140" w:before="280"/>
      </w:pPr>
      <w:r>
        <w:t xml:space="preserve">7.4 Gating Criteria</w:t>
      </w:r>
    </w:p>
    <w:p>
      <w:pPr>
        <w:spacing w:after="120" w:before="0" w:line="300"/>
      </w:pPr>
      <w:r>
        <w:t xml:space="preserve">A vendor is disqualified, regardless of weighted score, if any of the following hold:</w:t>
      </w:r>
    </w:p>
    <w:p>
      <w:pPr>
        <w:pStyle w:val="ListParagraph"/>
        <w:numPr>
          <w:ilvl w:val="0"/>
          <w:numId w:val="2"/>
        </w:numPr>
        <w:spacing w:after="80" w:line="280"/>
      </w:pPr>
      <w:r>
        <w:t xml:space="preserve">Two or more Mandatory functional requirements scored 0 or 1.</w:t>
      </w:r>
    </w:p>
    <w:p>
      <w:pPr>
        <w:pStyle w:val="ListParagraph"/>
        <w:numPr>
          <w:ilvl w:val="0"/>
          <w:numId w:val="2"/>
        </w:numPr>
        <w:spacing w:after="80" w:line="280"/>
      </w:pPr>
      <w:r>
        <w:t xml:space="preserve">Failure to meet SOC 2 Type II or equivalent.</w:t>
      </w:r>
    </w:p>
    <w:p>
      <w:pPr>
        <w:pStyle w:val="ListParagraph"/>
        <w:numPr>
          <w:ilvl w:val="0"/>
          <w:numId w:val="2"/>
        </w:numPr>
        <w:spacing w:after="80" w:line="280"/>
      </w:pPr>
      <w:r>
        <w:t xml:space="preserve">Inability to demonstrate Snowflake and Databricks coverage in the POV.</w:t>
      </w:r>
    </w:p>
    <w:p>
      <w:pPr>
        <w:pStyle w:val="ListParagraph"/>
        <w:numPr>
          <w:ilvl w:val="0"/>
          <w:numId w:val="2"/>
        </w:numPr>
        <w:spacing w:after="80" w:line="280"/>
      </w:pPr>
      <w:r>
        <w:t xml:space="preserve">No credible LLM or agent trace observability story; this evaluation explicitly assumes agentic workloads grow materially over the next 18 months.</w:t>
      </w:r>
    </w:p>
    <w:p>
      <w:pPr>
        <w:pStyle w:val="ListParagraph"/>
        <w:numPr>
          <w:ilvl w:val="0"/>
          <w:numId w:val="2"/>
        </w:numPr>
        <w:spacing w:after="80" w:line="280"/>
      </w:pPr>
      <w:r>
        <w:t xml:space="preserve">Pricing model that cannot be predicted or attributed at the data product level.</w:t>
      </w:r>
    </w:p>
    <w:p>
      <w:pPr>
        <w:pStyle w:val="Heading1"/>
        <w:pageBreakBefore/>
        <w:spacing w:after="200" w:before="360"/>
      </w:pPr>
      <w:r>
        <w:t xml:space="preserve">8. Evaluation Plan and Timeline</w:t>
      </w:r>
    </w:p>
    <w:p>
      <w:pPr>
        <w:spacing w:after="120" w:before="0" w:line="300"/>
      </w:pPr>
      <w:r>
        <w:t xml:space="preserve">The evaluation runs across five stages. Each stage has explicit entry and exit criteria, deliverables, and stakeholder participation.</w:t>
      </w:r>
    </w:p>
    <w:p>
      <w:pPr>
        <w:pStyle w:val="Heading2"/>
        <w:spacing w:after="140" w:before="280"/>
      </w:pPr>
      <w:r>
        <w:t xml:space="preserve">8.1 Stage 1 — Market Scan (Weeks 1-2)</w:t>
      </w:r>
    </w:p>
    <w:p>
      <w:pPr>
        <w:pStyle w:val="ListParagraph"/>
        <w:numPr>
          <w:ilvl w:val="0"/>
          <w:numId w:val="2"/>
        </w:numPr>
        <w:spacing w:after="80" w:line="280"/>
      </w:pPr>
      <w:r>
        <w:t xml:space="preserve">Identify the long list of candidate vendors based on analyst reports, peer references, and internal experience.</w:t>
      </w:r>
    </w:p>
    <w:p>
      <w:pPr>
        <w:pStyle w:val="ListParagraph"/>
        <w:numPr>
          <w:ilvl w:val="0"/>
          <w:numId w:val="2"/>
        </w:numPr>
        <w:spacing w:after="80" w:line="280"/>
      </w:pPr>
      <w:r>
        <w:t xml:space="preserve">Output: long list of 8-12 vendors with a one-page summary each.</w:t>
      </w:r>
    </w:p>
    <w:p>
      <w:pPr>
        <w:pStyle w:val="Heading2"/>
        <w:spacing w:after="140" w:before="280"/>
      </w:pPr>
      <w:r>
        <w:t xml:space="preserve">8.2 Stage 2 — Request for Information (RFI) (Weeks 3-5)</w:t>
      </w:r>
    </w:p>
    <w:p>
      <w:pPr>
        <w:pStyle w:val="ListParagraph"/>
        <w:numPr>
          <w:ilvl w:val="0"/>
          <w:numId w:val="2"/>
        </w:numPr>
        <w:spacing w:after="80" w:line="280"/>
      </w:pPr>
      <w:r>
        <w:t xml:space="preserve">Issue this framework as the RFI to the long list. Vendors respond against the functional and non-functional requirements.</w:t>
      </w:r>
    </w:p>
    <w:p>
      <w:pPr>
        <w:pStyle w:val="ListParagraph"/>
        <w:numPr>
          <w:ilvl w:val="0"/>
          <w:numId w:val="2"/>
        </w:numPr>
        <w:spacing w:after="80" w:line="280"/>
      </w:pPr>
      <w:r>
        <w:t xml:space="preserve">Apply gating criteria (Section 7.4).</w:t>
      </w:r>
    </w:p>
    <w:p>
      <w:pPr>
        <w:pStyle w:val="ListParagraph"/>
        <w:numPr>
          <w:ilvl w:val="0"/>
          <w:numId w:val="2"/>
        </w:numPr>
        <w:spacing w:after="80" w:line="280"/>
      </w:pPr>
      <w:r>
        <w:t xml:space="preserve">Output: short list of 3-4 vendors invited to deep evaluation.</w:t>
      </w:r>
    </w:p>
    <w:p>
      <w:pPr>
        <w:pStyle w:val="Heading2"/>
        <w:spacing w:after="140" w:before="280"/>
      </w:pPr>
      <w:r>
        <w:t xml:space="preserve">8.3 Stage 3 — Technical Deep Dive and Demonstration (Weeks 6-8)</w:t>
      </w:r>
    </w:p>
    <w:p>
      <w:pPr>
        <w:pStyle w:val="ListParagraph"/>
        <w:numPr>
          <w:ilvl w:val="0"/>
          <w:numId w:val="2"/>
        </w:numPr>
        <w:spacing w:after="80" w:line="280"/>
      </w:pPr>
      <w:r>
        <w:t xml:space="preserve">Each shortlisted vendor delivers a structured demonstration against scripted scenarios that we provide (see Section 9).</w:t>
      </w:r>
    </w:p>
    <w:p>
      <w:pPr>
        <w:pStyle w:val="ListParagraph"/>
        <w:numPr>
          <w:ilvl w:val="0"/>
          <w:numId w:val="2"/>
        </w:numPr>
        <w:spacing w:after="80" w:line="280"/>
      </w:pPr>
      <w:r>
        <w:t xml:space="preserve">Vendors complete the Security and Compliance questionnaire.</w:t>
      </w:r>
    </w:p>
    <w:p>
      <w:pPr>
        <w:pStyle w:val="ListParagraph"/>
        <w:numPr>
          <w:ilvl w:val="0"/>
          <w:numId w:val="2"/>
        </w:numPr>
        <w:spacing w:after="80" w:line="280"/>
      </w:pPr>
      <w:r>
        <w:t xml:space="preserve">Architecture review with vendor solution engineers.</w:t>
      </w:r>
    </w:p>
    <w:p>
      <w:pPr>
        <w:pStyle w:val="ListParagraph"/>
        <w:numPr>
          <w:ilvl w:val="0"/>
          <w:numId w:val="2"/>
        </w:numPr>
        <w:spacing w:after="80" w:line="280"/>
      </w:pPr>
      <w:r>
        <w:t xml:space="preserve">Output: scored decision matrix for each shortlisted vendor.</w:t>
      </w:r>
    </w:p>
    <w:p>
      <w:pPr>
        <w:pStyle w:val="Heading2"/>
        <w:spacing w:after="140" w:before="280"/>
      </w:pPr>
      <w:r>
        <w:t xml:space="preserve">8.4 Stage 4 — Proof of Value (POV) (Weeks 9-14)</w:t>
      </w:r>
    </w:p>
    <w:p>
      <w:pPr>
        <w:pStyle w:val="ListParagraph"/>
        <w:numPr>
          <w:ilvl w:val="0"/>
          <w:numId w:val="2"/>
        </w:numPr>
        <w:spacing w:after="80" w:line="280"/>
      </w:pPr>
      <w:r>
        <w:t xml:space="preserve">Top 2 vendors run a 4-6 week POV in a sandbox connected to a representative subset of Snowflake, Databricks, Astronomer, and one ML and one agentic workload.</w:t>
      </w:r>
    </w:p>
    <w:p>
      <w:pPr>
        <w:pStyle w:val="ListParagraph"/>
        <w:numPr>
          <w:ilvl w:val="0"/>
          <w:numId w:val="2"/>
        </w:numPr>
        <w:spacing w:after="80" w:line="280"/>
      </w:pPr>
      <w:r>
        <w:t xml:space="preserve">Success criteria are pre-agreed (see Section 9.2).</w:t>
      </w:r>
    </w:p>
    <w:p>
      <w:pPr>
        <w:pStyle w:val="ListParagraph"/>
        <w:numPr>
          <w:ilvl w:val="0"/>
          <w:numId w:val="2"/>
        </w:numPr>
        <w:spacing w:after="80" w:line="280"/>
      </w:pPr>
      <w:r>
        <w:t xml:space="preserve">Output: empirical evidence against scored capabilities, real customer references, and refined TCO.</w:t>
      </w:r>
    </w:p>
    <w:p>
      <w:pPr>
        <w:pStyle w:val="Heading2"/>
        <w:spacing w:after="140" w:before="280"/>
      </w:pPr>
      <w:r>
        <w:t xml:space="preserve">8.5 Stage 5 — Final Selection and Commercial Negotiation (Weeks 15-18)</w:t>
      </w:r>
    </w:p>
    <w:p>
      <w:pPr>
        <w:pStyle w:val="ListParagraph"/>
        <w:numPr>
          <w:ilvl w:val="0"/>
          <w:numId w:val="2"/>
        </w:numPr>
        <w:spacing w:after="80" w:line="280"/>
      </w:pPr>
      <w:r>
        <w:t xml:space="preserve">Final scoring, sensitivity analysis, and recommendation paper to the Steering Committee.</w:t>
      </w:r>
    </w:p>
    <w:p>
      <w:pPr>
        <w:pStyle w:val="ListParagraph"/>
        <w:numPr>
          <w:ilvl w:val="0"/>
          <w:numId w:val="2"/>
        </w:numPr>
        <w:spacing w:after="80" w:line="280"/>
      </w:pPr>
      <w:r>
        <w:t xml:space="preserve">Commercial negotiation, contract review (security, data processing addendum, exit clauses).</w:t>
      </w:r>
    </w:p>
    <w:p>
      <w:pPr>
        <w:pStyle w:val="ListParagraph"/>
        <w:numPr>
          <w:ilvl w:val="0"/>
          <w:numId w:val="2"/>
        </w:numPr>
        <w:spacing w:after="80" w:line="280"/>
      </w:pPr>
      <w:r>
        <w:t xml:space="preserve">Output: signed contract and implementation plan.</w:t>
      </w:r>
    </w:p>
    <w:p>
      <w:pPr>
        <w:pStyle w:val="Heading2"/>
        <w:spacing w:after="140" w:before="280"/>
      </w:pPr>
      <w:r>
        <w:t xml:space="preserve">8.6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Stage</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Weeks</w:t>
            </w:r>
          </w:p>
        </w:tc>
        <w:tc>
          <w:tcPr>
            <w:tcW w:type="dxa" w:w="3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Effort (FTE-weeks)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Market scan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1-2</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2</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RFI</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3-5</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4</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Technical deep dive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6-8</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8</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Proof of value</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9-14</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20</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Final selection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15-18</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6</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Total</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18 weeks</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40</w:t>
            </w:r>
          </w:p>
        </w:tc>
      </w:tr>
    </w:tbl>
    <w:p>
      <w:pPr>
        <w:pStyle w:val="Heading1"/>
        <w:pageBreakBefore/>
        <w:spacing w:after="200" w:before="360"/>
      </w:pPr>
      <w:r>
        <w:t xml:space="preserve">9. Proof of Value (POV) Scenarios</w:t>
      </w:r>
    </w:p>
    <w:p>
      <w:pPr>
        <w:spacing w:after="120" w:before="0" w:line="300"/>
      </w:pPr>
      <w:r>
        <w:t xml:space="preserve">The POV uses pre-defined scenarios that exercise the platform end-to-end. Each scenario maps to a measurable success criterion. Vendors are given the scenarios in advance; their performance is measured against the criteria, not against vendor-curated demos.</w:t>
      </w:r>
    </w:p>
    <w:p>
      <w:pPr>
        <w:pStyle w:val="Heading2"/>
        <w:spacing w:after="140" w:before="280"/>
      </w:pPr>
      <w:r>
        <w:t xml:space="preserve">9.1 Scenario Catalog</w:t>
      </w:r>
    </w:p>
    <w:p>
      <w:pPr>
        <w:pStyle w:val="Heading3"/>
        <w:spacing w:after="100" w:before="220"/>
      </w:pPr>
      <w:r>
        <w:t xml:space="preserve">Scenario 1 — Cross-Stack Incident Triage</w:t>
      </w:r>
    </w:p>
    <w:p>
      <w:pPr>
        <w:spacing w:after="120" w:before="0" w:line="300"/>
      </w:pPr>
      <w:r>
        <w:t xml:space="preserve">An upstream Oracle CDC stream stalls in Qlik. The downstream Snowflake table backing a critical dashboard becomes stale by 4 hours. Quality monitors fire; the dashboard owner is paged. The platform must let an on-call engineer reach root cause without leaving the tool.</w:t>
      </w:r>
    </w:p>
    <w:p>
      <w:pPr>
        <w:pStyle w:val="ListParagraph"/>
        <w:numPr>
          <w:ilvl w:val="0"/>
          <w:numId w:val="2"/>
        </w:numPr>
        <w:spacing w:after="80" w:line="280"/>
      </w:pPr>
      <w:r>
        <w:t xml:space="preserve">Success: root cause identified in ≤ 10 minutes by a first-time user with a guided runbook.</w:t>
      </w:r>
    </w:p>
    <w:p>
      <w:pPr>
        <w:pStyle w:val="ListParagraph"/>
        <w:numPr>
          <w:ilvl w:val="0"/>
          <w:numId w:val="2"/>
        </w:numPr>
        <w:spacing w:after="80" w:line="280"/>
      </w:pPr>
      <w:r>
        <w:t xml:space="preserve">Success: lineage visualization clearly shows the failing component and downstream impact radius.</w:t>
      </w:r>
    </w:p>
    <w:p>
      <w:pPr>
        <w:pStyle w:val="Heading3"/>
        <w:spacing w:after="100" w:before="220"/>
      </w:pPr>
      <w:r>
        <w:t xml:space="preserve">Scenario 2 — Cost Anomaly on a Snowflake Warehouse</w:t>
      </w:r>
    </w:p>
    <w:p>
      <w:pPr>
        <w:spacing w:after="120" w:before="0" w:line="300"/>
      </w:pPr>
      <w:r>
        <w:t xml:space="preserve">A new dbt model introduces a Cartesian join that doubles credit consumption on the marketing warehouse overnight.</w:t>
      </w:r>
    </w:p>
    <w:p>
      <w:pPr>
        <w:pStyle w:val="ListParagraph"/>
        <w:numPr>
          <w:ilvl w:val="0"/>
          <w:numId w:val="2"/>
        </w:numPr>
        <w:spacing w:after="80" w:line="280"/>
      </w:pPr>
      <w:r>
        <w:t xml:space="preserve">Success: cost anomaly detected within 30 minutes of completion of the offending run.</w:t>
      </w:r>
    </w:p>
    <w:p>
      <w:pPr>
        <w:pStyle w:val="ListParagraph"/>
        <w:numPr>
          <w:ilvl w:val="0"/>
          <w:numId w:val="2"/>
        </w:numPr>
        <w:spacing w:after="80" w:line="280"/>
      </w:pPr>
      <w:r>
        <w:t xml:space="preserve">Success: attribution drills down to the specific query, model, user, and PR.</w:t>
      </w:r>
    </w:p>
    <w:p>
      <w:pPr>
        <w:pStyle w:val="ListParagraph"/>
        <w:numPr>
          <w:ilvl w:val="0"/>
          <w:numId w:val="2"/>
        </w:numPr>
        <w:spacing w:after="80" w:line="280"/>
      </w:pPr>
      <w:r>
        <w:t xml:space="preserve">Success: integration surfaces the spend in Finopsly without breaking Finopsly's chargeback view.</w:t>
      </w:r>
    </w:p>
    <w:p>
      <w:pPr>
        <w:pStyle w:val="Heading3"/>
        <w:spacing w:after="100" w:before="220"/>
      </w:pPr>
      <w:r>
        <w:t xml:space="preserve">Scenario 3 — Schema Drift Breaking Downstream Consumers</w:t>
      </w:r>
    </w:p>
    <w:p>
      <w:pPr>
        <w:spacing w:after="120" w:before="0" w:line="300"/>
      </w:pPr>
      <w:r>
        <w:t xml:space="preserve">A source PostgreSQL table adds a non-nullable column; Fivetran propagates the change; downstream Databricks notebooks fail.</w:t>
      </w:r>
    </w:p>
    <w:p>
      <w:pPr>
        <w:pStyle w:val="ListParagraph"/>
        <w:numPr>
          <w:ilvl w:val="0"/>
          <w:numId w:val="2"/>
        </w:numPr>
        <w:spacing w:after="80" w:line="280"/>
      </w:pPr>
      <w:r>
        <w:t xml:space="preserve">Success: drift detected at ingestion, not at downstream failure.</w:t>
      </w:r>
    </w:p>
    <w:p>
      <w:pPr>
        <w:pStyle w:val="ListParagraph"/>
        <w:numPr>
          <w:ilvl w:val="0"/>
          <w:numId w:val="2"/>
        </w:numPr>
        <w:spacing w:after="80" w:line="280"/>
      </w:pPr>
      <w:r>
        <w:t xml:space="preserve">Success: downstream owners are pre-notified through tag-based routing.</w:t>
      </w:r>
    </w:p>
    <w:p>
      <w:pPr>
        <w:pStyle w:val="Heading3"/>
        <w:spacing w:after="100" w:before="220"/>
      </w:pPr>
      <w:r>
        <w:t xml:space="preserve">Scenario 4 — ML Model Drift in Production</w:t>
      </w:r>
    </w:p>
    <w:p>
      <w:pPr>
        <w:spacing w:after="120" w:before="0" w:line="300"/>
      </w:pPr>
      <w:r>
        <w:t xml:space="preserve">A churn prediction model deployed on Databricks Model Serving experiences feature drift after a marketing campaign shifts the user mix.</w:t>
      </w:r>
    </w:p>
    <w:p>
      <w:pPr>
        <w:pStyle w:val="ListParagraph"/>
        <w:numPr>
          <w:ilvl w:val="0"/>
          <w:numId w:val="2"/>
        </w:numPr>
        <w:spacing w:after="80" w:line="280"/>
      </w:pPr>
      <w:r>
        <w:t xml:space="preserve">Success: feature and prediction drift detected within 24 hours.</w:t>
      </w:r>
    </w:p>
    <w:p>
      <w:pPr>
        <w:pStyle w:val="ListParagraph"/>
        <w:numPr>
          <w:ilvl w:val="0"/>
          <w:numId w:val="2"/>
        </w:numPr>
        <w:spacing w:after="80" w:line="280"/>
      </w:pPr>
      <w:r>
        <w:t xml:space="preserve">Success: drift dashboards link to the training run, training data, and feature pipeline through lineage.</w:t>
      </w:r>
    </w:p>
    <w:p>
      <w:pPr>
        <w:pStyle w:val="ListParagraph"/>
        <w:numPr>
          <w:ilvl w:val="0"/>
          <w:numId w:val="2"/>
        </w:numPr>
        <w:spacing w:after="80" w:line="280"/>
      </w:pPr>
      <w:r>
        <w:t xml:space="preserve">Success: a clear path to trigger retraining via webhook or DAG.</w:t>
      </w:r>
    </w:p>
    <w:p>
      <w:pPr>
        <w:pStyle w:val="Heading3"/>
        <w:spacing w:after="100" w:before="220"/>
      </w:pPr>
      <w:r>
        <w:t xml:space="preserve">Scenario 5 — Agentic Workflow Trace and Cost</w:t>
      </w:r>
    </w:p>
    <w:p>
      <w:pPr>
        <w:spacing w:after="120" w:before="0" w:line="300"/>
      </w:pPr>
      <w:r>
        <w:t xml:space="preserve">A Snowflake Cortex Agent runs a multi-step provisioning workflow that calls four tools and consults a knowledge base.</w:t>
      </w:r>
    </w:p>
    <w:p>
      <w:pPr>
        <w:pStyle w:val="ListParagraph"/>
        <w:numPr>
          <w:ilvl w:val="0"/>
          <w:numId w:val="2"/>
        </w:numPr>
        <w:spacing w:after="80" w:line="280"/>
      </w:pPr>
      <w:r>
        <w:t xml:space="preserve">Success: full trace of prompts, tool calls, and retrieval steps is captured and queryable.</w:t>
      </w:r>
    </w:p>
    <w:p>
      <w:pPr>
        <w:pStyle w:val="ListParagraph"/>
        <w:numPr>
          <w:ilvl w:val="0"/>
          <w:numId w:val="2"/>
        </w:numPr>
        <w:spacing w:after="80" w:line="280"/>
      </w:pPr>
      <w:r>
        <w:t xml:space="preserve">Success: token cost is attributed per agent task and per tenant.</w:t>
      </w:r>
    </w:p>
    <w:p>
      <w:pPr>
        <w:pStyle w:val="ListParagraph"/>
        <w:numPr>
          <w:ilvl w:val="0"/>
          <w:numId w:val="2"/>
        </w:numPr>
        <w:spacing w:after="80" w:line="280"/>
      </w:pPr>
      <w:r>
        <w:t xml:space="preserve">Success: PII in prompts is redacted before storage.</w:t>
      </w:r>
    </w:p>
    <w:p>
      <w:pPr>
        <w:pStyle w:val="ListParagraph"/>
        <w:numPr>
          <w:ilvl w:val="0"/>
          <w:numId w:val="2"/>
        </w:numPr>
        <w:spacing w:after="80" w:line="280"/>
      </w:pPr>
      <w:r>
        <w:t xml:space="preserve">Success: an evaluation score against a golden set can be tracked over time.</w:t>
      </w:r>
    </w:p>
    <w:p>
      <w:pPr>
        <w:pStyle w:val="Heading3"/>
        <w:spacing w:after="100" w:before="220"/>
      </w:pPr>
      <w:r>
        <w:t xml:space="preserve">Scenario 6 — Data Product SLA Reporting</w:t>
      </w:r>
    </w:p>
    <w:p>
      <w:pPr>
        <w:spacing w:after="120" w:before="0" w:line="300"/>
      </w:pPr>
      <w:r>
        <w:t xml:space="preserve">A product team owns a customer-360 data product with a 6-hour freshness SLA and 99.5% quality SLO.</w:t>
      </w:r>
    </w:p>
    <w:p>
      <w:pPr>
        <w:pStyle w:val="ListParagraph"/>
        <w:numPr>
          <w:ilvl w:val="0"/>
          <w:numId w:val="2"/>
        </w:numPr>
        <w:spacing w:after="80" w:line="280"/>
      </w:pPr>
      <w:r>
        <w:t xml:space="preserve">Success: the product owner can self-serve a public-facing SLA dashboard within 2 hours.</w:t>
      </w:r>
    </w:p>
    <w:p>
      <w:pPr>
        <w:pStyle w:val="ListParagraph"/>
        <w:numPr>
          <w:ilvl w:val="0"/>
          <w:numId w:val="2"/>
        </w:numPr>
        <w:spacing w:after="80" w:line="280"/>
      </w:pPr>
      <w:r>
        <w:t xml:space="preserve">Success: SLA breaches drive both consumer notifications and internal alerts.</w:t>
      </w:r>
    </w:p>
    <w:p>
      <w:pPr>
        <w:pStyle w:val="ListParagraph"/>
        <w:numPr>
          <w:ilvl w:val="0"/>
          <w:numId w:val="2"/>
        </w:numPr>
        <w:spacing w:after="80" w:line="280"/>
      </w:pPr>
      <w:r>
        <w:t xml:space="preserve">Success: the data product owner can answer "why is my SLA red?" without escalating to the platform team.</w:t>
      </w:r>
    </w:p>
    <w:p>
      <w:pPr>
        <w:pStyle w:val="Heading3"/>
        <w:spacing w:after="100" w:before="220"/>
      </w:pPr>
      <w:r>
        <w:t xml:space="preserve">Scenario 7 — DataHub Round-Trip</w:t>
      </w:r>
    </w:p>
    <w:p>
      <w:pPr>
        <w:pStyle w:val="ListParagraph"/>
        <w:numPr>
          <w:ilvl w:val="0"/>
          <w:numId w:val="2"/>
        </w:numPr>
        <w:spacing w:after="80" w:line="280"/>
      </w:pPr>
      <w:r>
        <w:t xml:space="preserve">Lineage emitted by the observability platform appears in DataHub within 15 minutes.</w:t>
      </w:r>
    </w:p>
    <w:p>
      <w:pPr>
        <w:pStyle w:val="ListParagraph"/>
        <w:numPr>
          <w:ilvl w:val="0"/>
          <w:numId w:val="2"/>
        </w:numPr>
        <w:spacing w:after="80" w:line="280"/>
      </w:pPr>
      <w:r>
        <w:t xml:space="preserve">Asset ownership and glossary terms from DataHub are reflected in observability routing and dashboards.</w:t>
      </w:r>
    </w:p>
    <w:p>
      <w:pPr>
        <w:pStyle w:val="Heading3"/>
        <w:spacing w:after="100" w:before="220"/>
      </w:pPr>
      <w:r>
        <w:t xml:space="preserve">Scenario 8 — Compliance Evidence Pull</w:t>
      </w:r>
    </w:p>
    <w:p>
      <w:pPr>
        <w:pStyle w:val="ListParagraph"/>
        <w:numPr>
          <w:ilvl w:val="0"/>
          <w:numId w:val="2"/>
        </w:numPr>
        <w:spacing w:after="80" w:line="280"/>
      </w:pPr>
      <w:r>
        <w:t xml:space="preserve">On-demand export of an immutable evidence pack for a quarter (access events, configuration changes, alert lifecycle) suitable for SOX walk-through testing.</w:t>
      </w:r>
    </w:p>
    <w:p>
      <w:pPr>
        <w:pStyle w:val="Heading2"/>
        <w:spacing w:after="140" w:before="280"/>
      </w:pPr>
      <w:r>
        <w:t xml:space="preserve">9.2 POV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Criterion</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Target</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Scenarios completed end-to-end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 7 of 8</w:t>
            </w:r>
          </w:p>
        </w:tc>
      </w:tr>
      <w:tr>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MTTR for Scenario 1, measured</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 15 minutes for naive user</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False positive rate on quality and cost monitors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 10% over POV window</w:t>
            </w:r>
          </w:p>
        </w:tc>
      </w:tr>
      <w:tr>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Time to onboard a new data product</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 2 hours</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Time to onboard a new data source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 1 day</w:t>
            </w:r>
          </w:p>
        </w:tc>
      </w:tr>
      <w:tr>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Customer references at comparable scale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 2 contactable</w:t>
            </w:r>
          </w:p>
        </w:tc>
      </w:tr>
    </w:tbl>
    <w:p>
      <w:pPr>
        <w:pStyle w:val="Heading1"/>
        <w:pageBreakBefore/>
        <w:spacing w:after="200" w:before="360"/>
      </w:pPr>
      <w:r>
        <w:t xml:space="preserve">10. Stakeholders and Decision Governance</w:t>
      </w:r>
    </w:p>
    <w:p>
      <w:pPr>
        <w:spacing w:after="120" w:before="0" w:line="300"/>
      </w:pPr>
      <w:r>
        <w:t xml:space="preserve">Selection authority sits with the Steering Committee. Day-to-day evaluation work is owned by the Evaluation Working Group, supported by persona-specific subject-matter experts.</w:t>
      </w:r>
    </w:p>
    <w:p>
      <w:pPr>
        <w:pStyle w:val="Heading2"/>
        <w:spacing w:after="140" w:before="280"/>
      </w:pPr>
      <w:r>
        <w:t xml:space="preserve">10.1 Steering Committee</w:t>
      </w:r>
    </w:p>
    <w:p>
      <w:pPr>
        <w:spacing w:after="120" w:before="0" w:line="300"/>
      </w:pPr>
      <w:r>
        <w:t xml:space="preserve">Final decision authority. Meets at key gates: end of RFI, end of POV, and final recommendation.</w:t>
      </w:r>
    </w:p>
    <w:p>
      <w:pPr>
        <w:pStyle w:val="ListParagraph"/>
        <w:numPr>
          <w:ilvl w:val="0"/>
          <w:numId w:val="2"/>
        </w:numPr>
        <w:spacing w:after="80" w:line="280"/>
      </w:pPr>
      <w:r>
        <w:t xml:space="preserve">VP Data &amp; AI Platform (sponsor)</w:t>
      </w:r>
    </w:p>
    <w:p>
      <w:pPr>
        <w:pStyle w:val="ListParagraph"/>
        <w:numPr>
          <w:ilvl w:val="0"/>
          <w:numId w:val="2"/>
        </w:numPr>
        <w:spacing w:after="80" w:line="280"/>
      </w:pPr>
      <w:r>
        <w:t xml:space="preserve">Chief Data Officer or delegate</w:t>
      </w:r>
    </w:p>
    <w:p>
      <w:pPr>
        <w:pStyle w:val="ListParagraph"/>
        <w:numPr>
          <w:ilvl w:val="0"/>
          <w:numId w:val="2"/>
        </w:numPr>
        <w:spacing w:after="80" w:line="280"/>
      </w:pPr>
      <w:r>
        <w:t xml:space="preserve">Chief Information Security Officer or delegate</w:t>
      </w:r>
    </w:p>
    <w:p>
      <w:pPr>
        <w:pStyle w:val="ListParagraph"/>
        <w:numPr>
          <w:ilvl w:val="0"/>
          <w:numId w:val="2"/>
        </w:numPr>
        <w:spacing w:after="80" w:line="280"/>
      </w:pPr>
      <w:r>
        <w:t xml:space="preserve">Head of FinOps</w:t>
      </w:r>
    </w:p>
    <w:p>
      <w:pPr>
        <w:pStyle w:val="ListParagraph"/>
        <w:numPr>
          <w:ilvl w:val="0"/>
          <w:numId w:val="2"/>
        </w:numPr>
        <w:spacing w:after="80" w:line="280"/>
      </w:pPr>
      <w:r>
        <w:t xml:space="preserve">Head of Data Governance</w:t>
      </w:r>
    </w:p>
    <w:p>
      <w:pPr>
        <w:pStyle w:val="ListParagraph"/>
        <w:numPr>
          <w:ilvl w:val="0"/>
          <w:numId w:val="2"/>
        </w:numPr>
        <w:spacing w:after="80" w:line="280"/>
      </w:pPr>
      <w:r>
        <w:t xml:space="preserve">Procurement lead</w:t>
      </w:r>
    </w:p>
    <w:p>
      <w:pPr>
        <w:pStyle w:val="Heading2"/>
        <w:spacing w:after="140" w:before="280"/>
      </w:pPr>
      <w:r>
        <w:t xml:space="preserve">10.2 Evaluation Working Group</w:t>
      </w:r>
    </w:p>
    <w:p>
      <w:pPr>
        <w:spacing w:after="120" w:before="0" w:line="300"/>
      </w:pPr>
      <w:r>
        <w:t xml:space="preserve">Owns the framework, scores responses, conducts POVs, and produces the recommendation.</w:t>
      </w:r>
    </w:p>
    <w:p>
      <w:pPr>
        <w:pStyle w:val="ListParagraph"/>
        <w:numPr>
          <w:ilvl w:val="0"/>
          <w:numId w:val="2"/>
        </w:numPr>
        <w:spacing w:after="80" w:line="280"/>
      </w:pPr>
      <w:r>
        <w:t xml:space="preserve">Platform Architect (chair)</w:t>
      </w:r>
    </w:p>
    <w:p>
      <w:pPr>
        <w:pStyle w:val="ListParagraph"/>
        <w:numPr>
          <w:ilvl w:val="0"/>
          <w:numId w:val="2"/>
        </w:numPr>
        <w:spacing w:after="80" w:line="280"/>
      </w:pPr>
      <w:r>
        <w:t xml:space="preserve">Lead Data Engineer</w:t>
      </w:r>
    </w:p>
    <w:p>
      <w:pPr>
        <w:pStyle w:val="ListParagraph"/>
        <w:numPr>
          <w:ilvl w:val="0"/>
          <w:numId w:val="2"/>
        </w:numPr>
        <w:spacing w:after="80" w:line="280"/>
      </w:pPr>
      <w:r>
        <w:t xml:space="preserve">Lead Platform Engineer (Snowflake)</w:t>
      </w:r>
    </w:p>
    <w:p>
      <w:pPr>
        <w:pStyle w:val="ListParagraph"/>
        <w:numPr>
          <w:ilvl w:val="0"/>
          <w:numId w:val="2"/>
        </w:numPr>
        <w:spacing w:after="80" w:line="280"/>
      </w:pPr>
      <w:r>
        <w:t xml:space="preserve">Lead Platform Engineer (Databricks)</w:t>
      </w:r>
    </w:p>
    <w:p>
      <w:pPr>
        <w:pStyle w:val="ListParagraph"/>
        <w:numPr>
          <w:ilvl w:val="0"/>
          <w:numId w:val="2"/>
        </w:numPr>
        <w:spacing w:after="80" w:line="280"/>
      </w:pPr>
      <w:r>
        <w:t xml:space="preserve">Lead DevOps / SRE</w:t>
      </w:r>
    </w:p>
    <w:p>
      <w:pPr>
        <w:pStyle w:val="ListParagraph"/>
        <w:numPr>
          <w:ilvl w:val="0"/>
          <w:numId w:val="2"/>
        </w:numPr>
        <w:spacing w:after="80" w:line="280"/>
      </w:pPr>
      <w:r>
        <w:t xml:space="preserve">Lead ML Engineer</w:t>
      </w:r>
    </w:p>
    <w:p>
      <w:pPr>
        <w:pStyle w:val="ListParagraph"/>
        <w:numPr>
          <w:ilvl w:val="0"/>
          <w:numId w:val="2"/>
        </w:numPr>
        <w:spacing w:after="80" w:line="280"/>
      </w:pPr>
      <w:r>
        <w:t xml:space="preserve">Lead AI / Agentic Engineer</w:t>
      </w:r>
    </w:p>
    <w:p>
      <w:pPr>
        <w:pStyle w:val="ListParagraph"/>
        <w:numPr>
          <w:ilvl w:val="0"/>
          <w:numId w:val="2"/>
        </w:numPr>
        <w:spacing w:after="80" w:line="280"/>
      </w:pPr>
      <w:r>
        <w:t xml:space="preserve">Data Governance Lead (DataHub)</w:t>
      </w:r>
    </w:p>
    <w:p>
      <w:pPr>
        <w:pStyle w:val="ListParagraph"/>
        <w:numPr>
          <w:ilvl w:val="0"/>
          <w:numId w:val="2"/>
        </w:numPr>
        <w:spacing w:after="80" w:line="280"/>
      </w:pPr>
      <w:r>
        <w:t xml:space="preserve">FinOps Lead (Finopsly)</w:t>
      </w:r>
    </w:p>
    <w:p>
      <w:pPr>
        <w:pStyle w:val="ListParagraph"/>
        <w:numPr>
          <w:ilvl w:val="0"/>
          <w:numId w:val="2"/>
        </w:numPr>
        <w:spacing w:after="80" w:line="280"/>
      </w:pPr>
      <w:r>
        <w:t xml:space="preserve">Security Architect</w:t>
      </w:r>
    </w:p>
    <w:p>
      <w:pPr>
        <w:pStyle w:val="ListParagraph"/>
        <w:numPr>
          <w:ilvl w:val="0"/>
          <w:numId w:val="2"/>
        </w:numPr>
        <w:spacing w:after="80" w:line="280"/>
      </w:pPr>
      <w:r>
        <w:t xml:space="preserve">Two Data Product Owners (rotating)</w:t>
      </w:r>
    </w:p>
    <w:p>
      <w:pPr>
        <w:pStyle w:val="Heading2"/>
        <w:spacing w:after="140" w:before="280"/>
      </w:pPr>
      <w:r>
        <w:t xml:space="preserve">10.3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0"/>
        <w:gridCol w:w="1605"/>
        <w:gridCol w:w="1605"/>
        <w:gridCol w:w="1605"/>
        <w:gridCol w:w="1605"/>
      </w:tblGrid>
      <w:tr>
        <w:trPr>
          <w:tblHeader/>
        </w:trPr>
        <w:tc>
          <w:tcPr>
            <w:tcW w:type="dxa" w:w="29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Activity</w:t>
            </w:r>
          </w:p>
        </w:tc>
        <w:tc>
          <w:tcPr>
            <w:tcW w:type="dxa" w:w="1605"/>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Steering Cmt.</w:t>
            </w:r>
          </w:p>
        </w:tc>
        <w:tc>
          <w:tcPr>
            <w:tcW w:type="dxa" w:w="1605"/>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Working Group</w:t>
            </w:r>
          </w:p>
        </w:tc>
        <w:tc>
          <w:tcPr>
            <w:tcW w:type="dxa" w:w="1605"/>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Persona SMEs</w:t>
            </w:r>
          </w:p>
        </w:tc>
        <w:tc>
          <w:tcPr>
            <w:tcW w:type="dxa" w:w="1605"/>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Vendors</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Define requirements and weights</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Issue RFI</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 (recipient)</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Score RFI responses</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Approve short list</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Run technical deep dive</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Approve POV vendors</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Define POV scenarios and exit criteria</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Execute POV</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Score POV results</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Recommend selection</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r>
      <w:tr>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Approve final selection</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c>
          <w:tcPr>
            <w:tcW w:type="dxa" w:w="160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w:t>
            </w:r>
          </w:p>
        </w:tc>
      </w:tr>
      <w:tr>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Commercial negotiation</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A</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w:t>
            </w:r>
          </w:p>
        </w:tc>
        <w:tc>
          <w:tcPr>
            <w:tcW w:type="dxa" w:w="160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R</w:t>
            </w:r>
          </w:p>
        </w:tc>
      </w:tr>
    </w:tbl>
    <w:p>
      <w:pPr>
        <w:spacing w:after="120" w:before="0" w:line="300"/>
      </w:pPr>
      <w:r>
        <w:t xml:space="preserve">R = Responsible, A = Accountable, C = Consulted, I = Informed.</w:t>
      </w:r>
    </w:p>
    <w:p>
      <w:pPr>
        <w:pStyle w:val="Heading1"/>
        <w:pageBreakBefore/>
        <w:spacing w:after="200" w:before="360"/>
      </w:pPr>
      <w:r>
        <w:t xml:space="preserve">11. Instructions for Vendors</w:t>
      </w:r>
    </w:p>
    <w:p>
      <w:pPr>
        <w:spacing w:after="120" w:before="0" w:line="300"/>
      </w:pPr>
      <w:r>
        <w:t xml:space="preserve">This section is written for vendors directly. It defines what we expect to receive, in what format, and how responses will be treated.</w:t>
      </w:r>
    </w:p>
    <w:p>
      <w:pPr>
        <w:pStyle w:val="Heading2"/>
        <w:spacing w:after="140" w:before="280"/>
      </w:pPr>
      <w:r>
        <w:t xml:space="preserve">11.1 Response Format</w:t>
      </w:r>
    </w:p>
    <w:p>
      <w:pPr>
        <w:pStyle w:val="ListParagraph"/>
        <w:numPr>
          <w:ilvl w:val="0"/>
          <w:numId w:val="2"/>
        </w:numPr>
        <w:spacing w:after="80" w:line="280"/>
      </w:pPr>
      <w:r>
        <w:t xml:space="preserve">A single PDF response keyed to the functional requirement IDs in Section 5 (FR-T1, FR-L1, etc.). For each requirement, indicate one of: Fully meets / Partially meets / Roadmap (with target date) / Not supported.</w:t>
      </w:r>
    </w:p>
    <w:p>
      <w:pPr>
        <w:pStyle w:val="ListParagraph"/>
        <w:numPr>
          <w:ilvl w:val="0"/>
          <w:numId w:val="2"/>
        </w:numPr>
        <w:spacing w:after="80" w:line="280"/>
      </w:pPr>
      <w:r>
        <w:t xml:space="preserve">A completed non-functional requirements table (Section 6) with numeric answers.</w:t>
      </w:r>
    </w:p>
    <w:p>
      <w:pPr>
        <w:pStyle w:val="ListParagraph"/>
        <w:numPr>
          <w:ilvl w:val="0"/>
          <w:numId w:val="2"/>
        </w:numPr>
        <w:spacing w:after="80" w:line="280"/>
      </w:pPr>
      <w:r>
        <w:t xml:space="preserve">A standard architecture diagram for the proposed deployment in our environment.</w:t>
      </w:r>
    </w:p>
    <w:p>
      <w:pPr>
        <w:pStyle w:val="ListParagraph"/>
        <w:numPr>
          <w:ilvl w:val="0"/>
          <w:numId w:val="2"/>
        </w:numPr>
        <w:spacing w:after="80" w:line="280"/>
      </w:pPr>
      <w:r>
        <w:t xml:space="preserve">A separately attached, completed security questionnaire (provided alongside this document).</w:t>
      </w:r>
    </w:p>
    <w:p>
      <w:pPr>
        <w:pStyle w:val="ListParagraph"/>
        <w:numPr>
          <w:ilvl w:val="0"/>
          <w:numId w:val="2"/>
        </w:numPr>
        <w:spacing w:after="80" w:line="280"/>
      </w:pPr>
      <w:r>
        <w:t xml:space="preserve">A pricing proposal that supports per-data-product attribution and a 3-year TCO projection at our stated scale.</w:t>
      </w:r>
    </w:p>
    <w:p>
      <w:pPr>
        <w:pStyle w:val="ListParagraph"/>
        <w:numPr>
          <w:ilvl w:val="0"/>
          <w:numId w:val="2"/>
        </w:numPr>
        <w:spacing w:after="80" w:line="280"/>
      </w:pPr>
      <w:r>
        <w:t xml:space="preserve">Three customer references at comparable scale and complexity, contactable by us during Stage 4.</w:t>
      </w:r>
    </w:p>
    <w:p>
      <w:pPr>
        <w:pStyle w:val="Heading2"/>
        <w:spacing w:after="140" w:before="280"/>
      </w:pPr>
      <w:r>
        <w:t xml:space="preserve">11.2 What Will Not Help Your Response</w:t>
      </w:r>
    </w:p>
    <w:p>
      <w:pPr>
        <w:pStyle w:val="ListParagraph"/>
        <w:numPr>
          <w:ilvl w:val="0"/>
          <w:numId w:val="2"/>
        </w:numPr>
        <w:spacing w:after="80" w:line="280"/>
      </w:pPr>
      <w:r>
        <w:t xml:space="preserve">Marketing material untethered to specific requirement IDs.</w:t>
      </w:r>
    </w:p>
    <w:p>
      <w:pPr>
        <w:pStyle w:val="ListParagraph"/>
        <w:numPr>
          <w:ilvl w:val="0"/>
          <w:numId w:val="2"/>
        </w:numPr>
        <w:spacing w:after="80" w:line="280"/>
      </w:pPr>
      <w:r>
        <w:t xml:space="preserve">Capability claims without a path to demonstrate them in the POV.</w:t>
      </w:r>
    </w:p>
    <w:p>
      <w:pPr>
        <w:pStyle w:val="ListParagraph"/>
        <w:numPr>
          <w:ilvl w:val="0"/>
          <w:numId w:val="2"/>
        </w:numPr>
        <w:spacing w:after="80" w:line="280"/>
      </w:pPr>
      <w:r>
        <w:t xml:space="preserve">Pricing models that cannot be reproduced from a usage forecast.</w:t>
      </w:r>
    </w:p>
    <w:p>
      <w:pPr>
        <w:pStyle w:val="ListParagraph"/>
        <w:numPr>
          <w:ilvl w:val="0"/>
          <w:numId w:val="2"/>
        </w:numPr>
        <w:spacing w:after="80" w:line="280"/>
      </w:pPr>
      <w:r>
        <w:t xml:space="preserve">Generic AI or observability narratives that do not address the specific stack named in Section 2.1.</w:t>
      </w:r>
    </w:p>
    <w:p>
      <w:pPr>
        <w:pStyle w:val="Heading2"/>
        <w:spacing w:after="140" w:before="280"/>
      </w:pPr>
      <w:r>
        <w:t xml:space="preserve">11.3 Confidentiality</w:t>
      </w:r>
    </w:p>
    <w:p>
      <w:pPr>
        <w:spacing w:after="120" w:before="0" w:line="300"/>
      </w:pPr>
      <w:r>
        <w:t xml:space="preserve">This document is shared under a mutual non-disclosure agreement. Vendor responses will be reviewed only by the Steering Committee, the Working Group, and named persona SMEs. Vendor-supplied benchmarks may be shared with other shortlisted vendors only in anonymised form.</w:t>
      </w:r>
    </w:p>
    <w:p>
      <w:pPr>
        <w:pStyle w:val="Heading2"/>
        <w:spacing w:after="140" w:before="280"/>
      </w:pPr>
      <w:r>
        <w:t xml:space="preserve">11.4 Questions Process</w:t>
      </w:r>
    </w:p>
    <w:p>
      <w:pPr>
        <w:pStyle w:val="ListParagraph"/>
        <w:numPr>
          <w:ilvl w:val="0"/>
          <w:numId w:val="2"/>
        </w:numPr>
        <w:spacing w:after="80" w:line="280"/>
      </w:pPr>
      <w:r>
        <w:t xml:space="preserve">All clarifying questions are submitted in writing to the Working Group chair.</w:t>
      </w:r>
    </w:p>
    <w:p>
      <w:pPr>
        <w:pStyle w:val="ListParagraph"/>
        <w:numPr>
          <w:ilvl w:val="0"/>
          <w:numId w:val="2"/>
        </w:numPr>
        <w:spacing w:after="80" w:line="280"/>
      </w:pPr>
      <w:r>
        <w:t xml:space="preserve">Questions and anonymised answers are shared with all shortlisted vendors to ensure a level playing field.</w:t>
      </w:r>
    </w:p>
    <w:p>
      <w:pPr>
        <w:pStyle w:val="ListParagraph"/>
        <w:numPr>
          <w:ilvl w:val="0"/>
          <w:numId w:val="2"/>
        </w:numPr>
        <w:spacing w:after="80" w:line="280"/>
      </w:pPr>
      <w:r>
        <w:t xml:space="preserve">Verbal commitments do not constitute part of the response; only written submissions are scored.</w:t>
      </w:r>
    </w:p>
    <w:p>
      <w:pPr>
        <w:pStyle w:val="Heading1"/>
        <w:pageBreakBefore/>
        <w:spacing w:after="200" w:before="360"/>
      </w:pPr>
      <w:r>
        <w:t xml:space="preserve">12. Risks, Assumptions, Dependencies, and Constraints</w:t>
      </w:r>
    </w:p>
    <w:p>
      <w:pPr>
        <w:pStyle w:val="Heading2"/>
        <w:spacing w:after="140" w:before="280"/>
      </w:pPr>
      <w:r>
        <w:t xml:space="preserve">12.1 Risks</w:t>
      </w:r>
    </w:p>
    <w:p>
      <w:pPr>
        <w:pStyle w:val="ListParagraph"/>
        <w:numPr>
          <w:ilvl w:val="0"/>
          <w:numId w:val="2"/>
        </w:numPr>
        <w:spacing w:after="80" w:line="280"/>
      </w:pPr>
      <w:r>
        <w:t xml:space="preserve">Vendor lock-in on telemetry storage formats. Mitigation: insist on OpenTelemetry and OpenLineage support and exportable data.</w:t>
      </w:r>
    </w:p>
    <w:p>
      <w:pPr>
        <w:pStyle w:val="ListParagraph"/>
        <w:numPr>
          <w:ilvl w:val="0"/>
          <w:numId w:val="2"/>
        </w:numPr>
        <w:spacing w:after="80" w:line="280"/>
      </w:pPr>
      <w:r>
        <w:t xml:space="preserve">Overlap with Dynatrace and Splunk leading to political resistance. Mitigation: explicit scope boundaries (Section 2.3) and integration contracts.</w:t>
      </w:r>
    </w:p>
    <w:p>
      <w:pPr>
        <w:pStyle w:val="ListParagraph"/>
        <w:numPr>
          <w:ilvl w:val="0"/>
          <w:numId w:val="2"/>
        </w:numPr>
        <w:spacing w:after="80" w:line="280"/>
      </w:pPr>
      <w:r>
        <w:t xml:space="preserve">Agentic AI workload patterns are evolving rapidly; today's leaders may not lead in 18 months. Mitigation: contract length capped at 2 years with renewal optionality.</w:t>
      </w:r>
    </w:p>
    <w:p>
      <w:pPr>
        <w:pStyle w:val="ListParagraph"/>
        <w:numPr>
          <w:ilvl w:val="0"/>
          <w:numId w:val="2"/>
        </w:numPr>
        <w:spacing w:after="80" w:line="280"/>
      </w:pPr>
      <w:r>
        <w:t xml:space="preserve">Cost overruns from telemetry volume on Databricks system tables and LLM traces. Mitigation: vendor must quote unit economics and provide sampling and retention controls.</w:t>
      </w:r>
    </w:p>
    <w:p>
      <w:pPr>
        <w:pStyle w:val="Heading2"/>
        <w:spacing w:after="140" w:before="280"/>
      </w:pPr>
      <w:r>
        <w:t xml:space="preserve">12.2 Assumptions</w:t>
      </w:r>
    </w:p>
    <w:p>
      <w:pPr>
        <w:pStyle w:val="ListParagraph"/>
        <w:numPr>
          <w:ilvl w:val="0"/>
          <w:numId w:val="2"/>
        </w:numPr>
        <w:spacing w:after="80" w:line="280"/>
      </w:pPr>
      <w:r>
        <w:t xml:space="preserve">DataHub remains the metadata system of record.</w:t>
      </w:r>
    </w:p>
    <w:p>
      <w:pPr>
        <w:pStyle w:val="ListParagraph"/>
        <w:numPr>
          <w:ilvl w:val="0"/>
          <w:numId w:val="2"/>
        </w:numPr>
        <w:spacing w:after="80" w:line="280"/>
      </w:pPr>
      <w:r>
        <w:t xml:space="preserve">Finopsly remains the chargeback system of record.</w:t>
      </w:r>
    </w:p>
    <w:p>
      <w:pPr>
        <w:pStyle w:val="ListParagraph"/>
        <w:numPr>
          <w:ilvl w:val="0"/>
          <w:numId w:val="2"/>
        </w:numPr>
        <w:spacing w:after="80" w:line="280"/>
      </w:pPr>
      <w:r>
        <w:t xml:space="preserve">BigPanda remains the alert correlation backbone for cross-domain alerts.</w:t>
      </w:r>
    </w:p>
    <w:p>
      <w:pPr>
        <w:pStyle w:val="ListParagraph"/>
        <w:numPr>
          <w:ilvl w:val="0"/>
          <w:numId w:val="2"/>
        </w:numPr>
        <w:spacing w:after="80" w:line="280"/>
      </w:pPr>
      <w:r>
        <w:t xml:space="preserve">OpenLineage and OpenTelemetry will continue to evolve as cross-vendor standards.</w:t>
      </w:r>
    </w:p>
    <w:p>
      <w:pPr>
        <w:pStyle w:val="Heading2"/>
        <w:spacing w:after="140" w:before="280"/>
      </w:pPr>
      <w:r>
        <w:t xml:space="preserve">12.3 Dependencies</w:t>
      </w:r>
    </w:p>
    <w:p>
      <w:pPr>
        <w:pStyle w:val="ListParagraph"/>
        <w:numPr>
          <w:ilvl w:val="0"/>
          <w:numId w:val="2"/>
        </w:numPr>
        <w:spacing w:after="80" w:line="280"/>
      </w:pPr>
      <w:r>
        <w:t xml:space="preserve">Network and security review must approve the deployment model before POV begins.</w:t>
      </w:r>
    </w:p>
    <w:p>
      <w:pPr>
        <w:pStyle w:val="ListParagraph"/>
        <w:numPr>
          <w:ilvl w:val="0"/>
          <w:numId w:val="2"/>
        </w:numPr>
        <w:spacing w:after="80" w:line="280"/>
      </w:pPr>
      <w:r>
        <w:t xml:space="preserve">Snowflake account-usage access and Databricks system-table access must be provisioned for the POV tenant.</w:t>
      </w:r>
    </w:p>
    <w:p>
      <w:pPr>
        <w:pStyle w:val="ListParagraph"/>
        <w:numPr>
          <w:ilvl w:val="0"/>
          <w:numId w:val="2"/>
        </w:numPr>
        <w:spacing w:after="80" w:line="280"/>
      </w:pPr>
      <w:r>
        <w:t xml:space="preserve">Astronomer OpenLineage emission must be enabled cluster-wide.</w:t>
      </w:r>
    </w:p>
    <w:p>
      <w:pPr>
        <w:pStyle w:val="Heading2"/>
        <w:spacing w:after="140" w:before="280"/>
      </w:pPr>
      <w:r>
        <w:t xml:space="preserve">12.4 Constraints</w:t>
      </w:r>
    </w:p>
    <w:p>
      <w:pPr>
        <w:pStyle w:val="ListParagraph"/>
        <w:numPr>
          <w:ilvl w:val="0"/>
          <w:numId w:val="2"/>
        </w:numPr>
        <w:spacing w:after="80" w:line="280"/>
      </w:pPr>
      <w:r>
        <w:t xml:space="preserve">Data residency: production telemetry must remain in our chosen cloud region.</w:t>
      </w:r>
    </w:p>
    <w:p>
      <w:pPr>
        <w:pStyle w:val="ListParagraph"/>
        <w:numPr>
          <w:ilvl w:val="0"/>
          <w:numId w:val="2"/>
        </w:numPr>
        <w:spacing w:after="80" w:line="280"/>
      </w:pPr>
      <w:r>
        <w:t xml:space="preserve">Compliance: SOX-relevant audit data retained for ≥ 7 years.</w:t>
      </w:r>
    </w:p>
    <w:p>
      <w:pPr>
        <w:pStyle w:val="ListParagraph"/>
        <w:numPr>
          <w:ilvl w:val="0"/>
          <w:numId w:val="2"/>
        </w:numPr>
        <w:spacing w:after="80" w:line="280"/>
      </w:pPr>
      <w:r>
        <w:t xml:space="preserve">Budget: capped per agreed envelope (held by Steering Committee, not disclosed in this document).</w:t>
      </w:r>
    </w:p>
    <w:p>
      <w:pPr>
        <w:pStyle w:val="Heading1"/>
        <w:pageBreakBefore/>
        <w:spacing w:after="200" w:before="360"/>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Definition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MTTR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Mean Time To Repair. From incident detection to mitigation.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MTTD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Mean Time To Detect. From incident occurrence to detection.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SLA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Service Level Agreement. External commitment to a consumer.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SLO</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Service Level Objective. Internal target supporting an SLA.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Data Product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 self-contained, owned, versioned data asset with consumers and SLAs.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Data Contract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Machine-enforceable schema, semantics, and quality guarantees between producer and consumer.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Drift (feature)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Statistical change in the distribution of model inputs over time.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Drift (concept)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Change in the relationship between inputs and the target variable.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Agentic AI</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Systems where an LLM plans and executes multi-step actions via tool calls.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OpenTelemetry</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Vendor-neutral telemetry standard for metrics, logs, and traces.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OpenLineage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Vendor-neutral standard for emitting lineage events from data pipelines.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BYOK</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Bring Your Own Key. Customer-managed encryption keys.</w:t>
            </w:r>
          </w:p>
        </w:tc>
      </w:tr>
    </w:tbl>
    <w:p>
      <w:pPr>
        <w:pStyle w:val="Heading1"/>
        <w:pageBreakBefore/>
        <w:spacing w:after="200" w:before="360"/>
      </w:pPr>
      <w:r>
        <w:t xml:space="preserve">Appendix B — Reference Architecture (Target State, Textual)</w:t>
      </w:r>
    </w:p>
    <w:p>
      <w:pPr>
        <w:spacing w:after="120" w:before="0" w:line="300"/>
      </w:pPr>
      <w:r>
        <w:t xml:space="preserve">A target architecture is described textually here; the visual diagram is maintained in a separate Lucidchart asset linked from the Steering Committee workspace.</w:t>
      </w:r>
    </w:p>
    <w:p>
      <w:pPr>
        <w:pStyle w:val="ListParagraph"/>
        <w:numPr>
          <w:ilvl w:val="0"/>
          <w:numId w:val="2"/>
        </w:numPr>
        <w:spacing w:after="80" w:line="280"/>
      </w:pPr>
      <w:r>
        <w:t xml:space="preserve">Collection layer: native connectors plus OpenTelemetry collectors at the edge of each platform (Snowflake, Databricks, Astronomer, Fivetran, Qlik, custom).</w:t>
      </w:r>
    </w:p>
    <w:p>
      <w:pPr>
        <w:pStyle w:val="ListParagraph"/>
        <w:numPr>
          <w:ilvl w:val="0"/>
          <w:numId w:val="2"/>
        </w:numPr>
        <w:spacing w:after="80" w:line="280"/>
      </w:pPr>
      <w:r>
        <w:t xml:space="preserve">Ingestion and storage: vendor-managed control plane, with a customer-VPC data plane for sensitive payloads where supported.</w:t>
      </w:r>
    </w:p>
    <w:p>
      <w:pPr>
        <w:pStyle w:val="ListParagraph"/>
        <w:numPr>
          <w:ilvl w:val="0"/>
          <w:numId w:val="2"/>
        </w:numPr>
        <w:spacing w:after="80" w:line="280"/>
      </w:pPr>
      <w:r>
        <w:t xml:space="preserve">Correlation: lineage graph built from OpenLineage events; correlated with metrics, traces, and quality signals.</w:t>
      </w:r>
    </w:p>
    <w:p>
      <w:pPr>
        <w:pStyle w:val="ListParagraph"/>
        <w:numPr>
          <w:ilvl w:val="0"/>
          <w:numId w:val="2"/>
        </w:numPr>
        <w:spacing w:after="80" w:line="280"/>
      </w:pPr>
      <w:r>
        <w:t xml:space="preserve">Bi-directional sync: DataHub for governance metadata; Finopsly for cost attribution; BigPanda for alert correlation.</w:t>
      </w:r>
    </w:p>
    <w:p>
      <w:pPr>
        <w:pStyle w:val="ListParagraph"/>
        <w:numPr>
          <w:ilvl w:val="0"/>
          <w:numId w:val="2"/>
        </w:numPr>
        <w:spacing w:after="80" w:line="280"/>
      </w:pPr>
      <w:r>
        <w:t xml:space="preserve">Consumption: persona-tailored dashboards, embeddable widgets, API and Terraform for as-code, webhooks to orchestration and ticketing.</w:t>
      </w:r>
    </w:p>
    <w:p>
      <w:pPr>
        <w:pStyle w:val="Heading1"/>
        <w:pageBreakBefore/>
        <w:spacing w:after="200" w:before="360"/>
      </w:pPr>
      <w:r>
        <w:t xml:space="preserve">Appendix C —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960"/>
        <w:gridCol w:w="320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Version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Date</w:t>
            </w:r>
          </w:p>
        </w:tc>
        <w:tc>
          <w:tcPr>
            <w:tcW w:type="dxa" w:w="2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Author</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Change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0.1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Draft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Platform Architecture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Initial outline</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0.5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Internal</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Working Group</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sz w:val="20"/>
                <w:szCs w:val="20"/>
              </w:rPr>
              <w:t xml:space="preserve">Stakeholder review</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Current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Steering Committee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Approved for vendor distribution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Confidential — for internal and shortlisted vendor use under NDA  |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i/>
        <w:iCs/>
        <w:color w:val="595959"/>
        <w:sz w:val="18"/>
        <w:szCs w:val="18"/>
      </w:rPr>
      <w:t xml:space="preserve">Data &amp; AI Observability — Evaluation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 &amp; AI Observability Evaluation Framework</dc:title>
  <dc:creator>Platform Architecture</dc:creator>
  <cp:lastModifiedBy>Un-named</cp:lastModifiedBy>
  <cp:revision>1</cp:revision>
  <dcterms:created xsi:type="dcterms:W3CDTF">2026-05-13T04:34:20.114Z</dcterms:created>
  <dcterms:modified xsi:type="dcterms:W3CDTF">2026-05-13T04:34:20.130Z</dcterms:modified>
</cp:coreProperties>
</file>

<file path=docProps/custom.xml><?xml version="1.0" encoding="utf-8"?>
<Properties xmlns="http://schemas.openxmlformats.org/officeDocument/2006/custom-properties" xmlns:vt="http://schemas.openxmlformats.org/officeDocument/2006/docPropsVTypes"/>
</file>