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TRAVEL &amp; REIMBURSEMENT POLICY</w:t>
      </w:r>
    </w:p>
    <w:p>
      <w:r>
        <w:br/>
        <w:t>1. Domestic Travel</w:t>
        <w:br/>
        <w:t>Employees are eligible for domestic travel for official business purposes.</w:t>
        <w:br/>
        <w:t>Travel must be pre-approved by the reporting manager.</w:t>
        <w:br/>
        <w:br/>
        <w:t>2. Travel Reimbursement Limits</w:t>
        <w:br/>
        <w:t>Flight reimbursement is limited to economy class only.</w:t>
        <w:br/>
        <w:t>Hotel reimbursement limit is INR 5,000 per night.</w:t>
        <w:br/>
        <w:t>Local travel reimbursement limit is INR 2,000 per trip.</w:t>
        <w:br/>
        <w:br/>
        <w:t>3. Meal Allowance</w:t>
        <w:br/>
        <w:t>Employees are eligible for a meal allowance of INR 500 per day during travel.</w:t>
        <w:br/>
        <w:br/>
        <w:t>4. Claim Submission</w:t>
        <w:br/>
        <w:t>All travel reimbursement claims must be submitted within 7 days of travel.</w:t>
        <w:br/>
        <w:t>Original bills and receipts are mandatory for reimbursement.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