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Latency Budget and Re-timed Simulation Results</w:t>
      </w:r>
    </w:p>
    <w:p>
      <w:pPr>
        <w:spacing w:after="0" w:before="280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TABLE I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smallCaps/>
          <w:sz w:val="18"/>
          <w:szCs w:val="18"/>
        </w:rPr>
        <w:t xml:space="preserve">End-to-End Latency Budget of the CNN-LSTM Control Chain</w:t>
      </w:r>
    </w:p>
    <w:tbl>
      <w:tblPr>
        <w:tblW w:type="dxa" w:w="76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2400"/>
      </w:tblGrid>
      <w:tr>
        <w:trPr>
          <w:tblHeader/>
        </w:trPr>
        <w:tc>
          <w:tcPr>
            <w:tcW w:type="dxa" w:w="5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2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Time</w:t>
            </w:r>
          </w:p>
        </w:tc>
      </w:tr>
      <w:tr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PMU observation window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500 ms</w:t>
            </w:r>
          </w:p>
        </w:tc>
      </w:tr>
      <w:tr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Preprocessing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1.9 ms</w:t>
            </w:r>
          </w:p>
        </w:tc>
      </w:tr>
      <w:tr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CNN-LSTM inference (CPU, mean)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17.3 ms</w:t>
            </w:r>
          </w:p>
        </w:tc>
      </w:tr>
      <w:tr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Decision available after onset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519.2 ms</w:t>
            </w:r>
          </w:p>
        </w:tc>
      </w:tr>
      <w:tr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Communication delay (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0–500 ms (examined)</w:t>
            </w:r>
          </w:p>
        </w:tc>
      </w:tr>
      <w:tr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STATCOM response time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&lt; 30 ms</w:t>
            </w:r>
          </w:p>
        </w:tc>
      </w:tr>
      <w:tr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SVC response time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≈ 150 ms</w:t>
            </w:r>
          </w:p>
        </w:tc>
      </w:tr>
      <w:tr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Total to STATCOM corrective action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≈ 549 ms +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</w:p>
        </w:tc>
      </w:tr>
      <w:tr>
        <w:tc>
          <w:tcPr>
            <w:tcW w:type="dxa" w:w="52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Total to SVC corrective action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≈ 669 ms +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</w:p>
        </w:tc>
      </w:tr>
    </w:tbl>
    <w:p>
      <w:pPr>
        <w:spacing w:after="0" w:before="280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TABLE II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smallCaps/>
          <w:sz w:val="18"/>
          <w:szCs w:val="18"/>
        </w:rPr>
        <w:t xml:space="preserve">Event and Corrective-Action Instants Used in Each Figure</w:t>
      </w:r>
    </w:p>
    <w:tbl>
      <w:tblPr>
        <w:tblW w:type="dxa" w:w="936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250"/>
        <w:gridCol w:w="1350"/>
        <w:gridCol w:w="1300"/>
        <w:gridCol w:w="1480"/>
        <w:gridCol w:w="1480"/>
      </w:tblGrid>
      <w:tr>
        <w:trPr>
          <w:tblHeader/>
        </w:trPr>
        <w:tc>
          <w:tcPr>
            <w:tcW w:type="dxa" w:w="2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Figure</w:t>
            </w:r>
          </w:p>
        </w:tc>
        <w:tc>
          <w:tcPr>
            <w:tcW w:type="dxa" w:w="125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Device</w:t>
            </w:r>
          </w:p>
        </w:tc>
        <w:tc>
          <w:tcPr>
            <w:tcW w:type="dxa" w:w="135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Disturbance (s)</w:t>
            </w:r>
          </w:p>
        </w:tc>
        <w:tc>
          <w:tcPr>
            <w:tcW w:type="dxa" w:w="1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Decision (s)</w:t>
            </w:r>
          </w:p>
        </w:tc>
        <w:tc>
          <w:tcPr>
            <w:tcW w:type="dxa" w:w="148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Action, </w:t>
            </w: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=0 (s)</w:t>
            </w:r>
          </w:p>
        </w:tc>
        <w:tc>
          <w:tcPr>
            <w:tcW w:type="dxa" w:w="148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Action, </w:t>
            </w: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=200 ms (s)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Rotor angle, G1/G4/G7/G10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STATCOM</w:t>
            </w:r>
          </w:p>
        </w:tc>
        <w:tc>
          <w:tcPr>
            <w:tcW w:type="dxa" w:w="13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0.10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0.619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0.649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0.849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Rotor angle, G1/G4/G7/G10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SVC</w:t>
            </w:r>
          </w:p>
        </w:tc>
        <w:tc>
          <w:tcPr>
            <w:tcW w:type="dxa" w:w="13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0.10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0.619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0.769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System frequency (G6 trip)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BESS</w:t>
            </w:r>
          </w:p>
        </w:tc>
        <w:tc>
          <w:tcPr>
            <w:tcW w:type="dxa" w:w="13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0.50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1.019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1.019 + ramp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1.219 + ramp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Two-panel Δδ (G10)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STATCOM</w:t>
            </w:r>
          </w:p>
        </w:tc>
        <w:tc>
          <w:tcPr>
            <w:tcW w:type="dxa" w:w="13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0.10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0.619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0.649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0.849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Two-panel Δδ (G10)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SVC</w:t>
            </w:r>
          </w:p>
        </w:tc>
        <w:tc>
          <w:tcPr>
            <w:tcW w:type="dxa" w:w="13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0.10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0.619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0.769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Bus 44 voltage (wind variability)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SVC</w:t>
            </w:r>
          </w:p>
        </w:tc>
        <w:tc>
          <w:tcPr>
            <w:tcW w:type="dxa" w:w="13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0.50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1.019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1.169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1.369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Bus 44 voltage collapse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SVC</w:t>
            </w:r>
          </w:p>
        </w:tc>
        <w:tc>
          <w:tcPr>
            <w:tcW w:type="dxa" w:w="13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0.50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1.019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1.169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1.369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Frequency deviation (9/39/118-bus)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BESS</w:t>
            </w:r>
          </w:p>
        </w:tc>
        <w:tc>
          <w:tcPr>
            <w:tcW w:type="dxa" w:w="13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0.50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1.019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1.019 + ramp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Frequency and ROCOF (UFLS)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BESS</w:t>
            </w:r>
          </w:p>
        </w:tc>
        <w:tc>
          <w:tcPr>
            <w:tcW w:type="dxa" w:w="13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0.50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1.019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1.019 + ramp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1.219 + ramp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Generator and BESS power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BESS</w:t>
            </w:r>
          </w:p>
        </w:tc>
        <w:tc>
          <w:tcPr>
            <w:tcW w:type="dxa" w:w="13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0.50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1.019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1.019 + ramp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1.219 + ramp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G10 NC / CC / PF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STATCOM</w:t>
            </w:r>
          </w:p>
        </w:tc>
        <w:tc>
          <w:tcPr>
            <w:tcW w:type="dxa" w:w="13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0.10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0.619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0.649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0.849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G10 delay sensitivity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STATCOM</w:t>
            </w:r>
          </w:p>
        </w:tc>
        <w:tc>
          <w:tcPr>
            <w:tcW w:type="dxa" w:w="13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0.10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0.619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0.649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0.649 +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STATCOM saturation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STATCOM</w:t>
            </w:r>
          </w:p>
        </w:tc>
        <w:tc>
          <w:tcPr>
            <w:tcW w:type="dxa" w:w="135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0.10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0.619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0.649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 w:before="60"/>
      </w:pPr>
      <w:r>
        <w:rPr>
          <w:rFonts w:ascii="Times New Roman" w:cs="Times New Roman" w:eastAsia="Times New Roman" w:hAnsi="Times New Roman"/>
          <w:i/>
          <w:iCs/>
          <w:sz w:val="16"/>
          <w:szCs w:val="16"/>
        </w:rPr>
        <w:t xml:space="preserve">Action instant = disturbance + 519.2 ms + device response (30 ms STATCOM, 150 ms SVC) + Tcomm.</w:t>
      </w:r>
    </w:p>
    <w:p>
      <w:pPr>
        <w:spacing w:after="0" w:before="280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TABLE III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smallCaps/>
          <w:sz w:val="18"/>
          <w:szCs w:val="18"/>
        </w:rPr>
        <w:t xml:space="preserve">Key Results of the Re-timed Figures</w:t>
      </w:r>
    </w:p>
    <w:tbl>
      <w:tblPr>
        <w:tblW w:type="dxa" w:w="936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000"/>
        <w:gridCol w:w="2000"/>
        <w:gridCol w:w="2060"/>
      </w:tblGrid>
      <w:tr>
        <w:trPr>
          <w:tblHeader/>
        </w:trPr>
        <w:tc>
          <w:tcPr>
            <w:tcW w:type="dxa" w:w="2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Figure</w:t>
            </w:r>
          </w:p>
        </w:tc>
        <w:tc>
          <w:tcPr>
            <w:tcW w:type="dxa" w:w="3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Case</w:t>
            </w:r>
          </w:p>
        </w:tc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Metric</w:t>
            </w:r>
          </w:p>
        </w:tc>
        <w:tc>
          <w:tcPr>
            <w:tcW w:type="dxa" w:w="2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All rotor-angle figures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G10 pre-fault angle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δ0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19.0°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G1 / G4 / G7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Peak δ (Δδ)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26.2° / 34.1° / 39.6° (6.2° / 9.1° / 11.6°)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G10 vs G1 / G4 / G7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Rise during fault (0.10–0.25 s)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4.5° vs 1.9° / 2.4° / 2.8°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Rotor angle (G10)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No control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180° crossing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1.33 s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STATCOM,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=0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Peak δ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75.0°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STATCOM,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=200 ms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Peak δ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106.0°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SVC,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=0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Peak δ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79.8°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Two-panel Δδ (G10)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STATCOM,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=0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Peak Δδ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56.0°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STATCOM,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=200 ms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Peak Δδ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87.0°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SVC,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=0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Peak Δδ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60.8°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System frequency / ROCOF (G6 trip, 650 MW)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No control (governor)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Nadir / UFLS / |ROCOF|max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48.79 Hz / stage 1 (t = 1.30 s) / 1.48 Hz/s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PI-AGC (governor + AGC)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Nadir / UFLS / |ROCOF|max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48.80 Hz / stage 1 (t = 1.30 s) / 1.48 Hz/s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CNN-LSTM + BESS,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=0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Nadir / UFLS / |ROCOF|max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48.89 Hz / stage 1 (t = 1.37 s) / 1.48 Hz/s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CNN-LSTM + BESS,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=200 ms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Nadir / UFLS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48.87 Hz / stage 1 (t = 1.31 s)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No control / PI-AGC / CNN-LSTM + BESS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Back above 49.8 Hz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7.5 / 6.6 / 4.3 s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Frequency deviation (b)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 / 39 / 118-bus, no control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Δf nadir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-1.09 / -1.21 / -1.16 Hz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 / 39 / 118-bus, CNN-LSTM + BESS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Δf nadir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-1.03 / -1.11 / -1.07 Hz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Generator and BESS power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BESS Bus 3 / Bus 29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Full output reached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1.219 s / 1.331 s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BESS total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Delivered in first-swing window (0.50–0.70 s)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 MW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Bus 44 voltage (wind variability)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SG-only baseline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Min. / time &lt; 0.90 p.u.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0.878 p.u. / 1.5 s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50% RES, no control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Min. / time &lt; 0.90 p.u.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0.823 p.u. / 5.0 s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CNN-LSTM + SVC,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=0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Min. / time &lt; 0.90 p.u.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0.838 p.u. / 1.8 s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CNN-LSTM + SVC,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=200 ms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Min. / time &lt; 0.90 p.u.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0.828 p.u. / 1.8 s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Bus 44 voltage collapse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All cases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Pre-disturbance voltage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0.942 p.u.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NC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Min. / at 10 s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0.621 p.u. / 0.621 p.u. (collapse)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CC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Min. / at 10 s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0.782 p.u. / 0.860 p.u.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PF,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=0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Min. / time &lt; 0.90 p.u. / at 10 s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0.894 p.u. / 0.18 s / 0.938 p.u.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PF,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=200 ms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Min. / time &lt; 0.90 p.u.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0.871 p.u. / 0.73 s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G10 NC / CC / PF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NC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Loss of synchronism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1.33 s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CC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Loss of synchronism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1.40 s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PF,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=0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Peak δ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75.0°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PF,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=200 ms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Peak δ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106.0°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STATCOM saturation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Case T alone (148 Mvar)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Peak δ / margin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75.0° / 105°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Combined (168 Mvar demand, capped 150)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Peak δ / margin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79.2° / 101°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Combined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Saturation window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0.640–1.00 s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No control (combined)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180° crossing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1.27 s</w:t>
            </w:r>
          </w:p>
        </w:tc>
      </w:tr>
    </w:tbl>
    <w:p>
      <w:pPr>
        <w:spacing w:after="0" w:before="280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TABLE IV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smallCaps/>
          <w:sz w:val="18"/>
          <w:szCs w:val="18"/>
        </w:rPr>
        <w:t xml:space="preserve">Communication-Delay Sensitivity of G10 Transient Stability</w:t>
      </w:r>
    </w:p>
    <w:tbl>
      <w:tblPr>
        <w:tblW w:type="dxa" w:w="936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2000"/>
        <w:gridCol w:w="2000"/>
        <w:gridCol w:w="1860"/>
      </w:tblGrid>
      <w:tr>
        <w:trPr>
          <w:tblHeader/>
        </w:trPr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/>
            </w: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 (ms)</w:t>
            </w:r>
          </w:p>
        </w:tc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STATCOM action (s)</w:t>
            </w:r>
          </w:p>
        </w:tc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STATCOM peak δ</w:t>
            </w:r>
          </w:p>
        </w:tc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SVC action (s)</w:t>
            </w:r>
          </w:p>
        </w:tc>
        <w:tc>
          <w:tcPr>
            <w:tcW w:type="dxa" w:w="18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SVC peak δ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0.649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75.0° (stable)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0.769</w:t>
            </w:r>
          </w:p>
        </w:tc>
        <w:tc>
          <w:tcPr>
            <w:tcW w:type="dxa" w:w="1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79.8° (stable)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0.699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82.0° (stable)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0.819</w:t>
            </w:r>
          </w:p>
        </w:tc>
        <w:tc>
          <w:tcPr>
            <w:tcW w:type="dxa" w:w="1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87.1° (stable)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0.749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89.4° (stable)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0.869</w:t>
            </w:r>
          </w:p>
        </w:tc>
        <w:tc>
          <w:tcPr>
            <w:tcW w:type="dxa" w:w="1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94.8° (stable)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150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0.799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97.3° (stable)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0.919</w:t>
            </w:r>
          </w:p>
        </w:tc>
        <w:tc>
          <w:tcPr>
            <w:tcW w:type="dxa" w:w="1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103.2° (stable)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200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0.849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106.0° (stable)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0.969</w:t>
            </w:r>
          </w:p>
        </w:tc>
        <w:tc>
          <w:tcPr>
            <w:tcW w:type="dxa" w:w="1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112.8° (stable)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250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0.899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116.1° (stable)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1.019</w:t>
            </w:r>
          </w:p>
        </w:tc>
        <w:tc>
          <w:tcPr>
            <w:tcW w:type="dxa" w:w="1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124.4° (stable)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300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0.949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128.7° (stable)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1.069</w:t>
            </w:r>
          </w:p>
        </w:tc>
        <w:tc>
          <w:tcPr>
            <w:tcW w:type="dxa" w:w="1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Unstable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350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0.999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Unstable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1.119</w:t>
            </w:r>
          </w:p>
        </w:tc>
        <w:tc>
          <w:tcPr>
            <w:tcW w:type="dxa" w:w="1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Unstable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400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1.049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Unstable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1.169</w:t>
            </w:r>
          </w:p>
        </w:tc>
        <w:tc>
          <w:tcPr>
            <w:tcW w:type="dxa" w:w="1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Unstable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450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1.099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Unstable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1.219</w:t>
            </w:r>
          </w:p>
        </w:tc>
        <w:tc>
          <w:tcPr>
            <w:tcW w:type="dxa" w:w="1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Unstable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500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1.149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Unstable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1.269</w:t>
            </w:r>
          </w:p>
        </w:tc>
        <w:tc>
          <w:tcPr>
            <w:tcW w:type="dxa" w:w="186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Unstable</w:t>
            </w:r>
          </w:p>
        </w:tc>
      </w:tr>
    </w:tbl>
    <w:p>
      <w:pPr>
        <w:spacing w:after="120" w:before="60"/>
      </w:pPr>
      <w:r>
        <w:rPr>
          <w:rFonts w:ascii="Times New Roman" w:cs="Times New Roman" w:eastAsia="Times New Roman" w:hAnsi="Times New Roman"/>
          <w:i/>
          <w:iCs/>
          <w:sz w:val="16"/>
          <w:szCs w:val="16"/>
        </w:rPr>
        <w:t xml:space="preserve">Critical Tcomm ≈ 334 ms for STATCOM (action at 0.983 s) and ≈ 299 ms for SVC (action at 1.069 s). All G10 values come from one shared model (g10_model.py).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2026-10-02T10:30:55.039Z</dcterms:created>
  <dcterms:modified xsi:type="dcterms:W3CDTF">2026-10-02T10:30:55.039Z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