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Latency Budget and Re-timed Simulation Results</w:t>
      </w:r>
    </w:p>
    <w:p>
      <w:pPr>
        <w:spacing w:after="0" w:before="280"/>
        <w:jc w:val="center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TABLE I</w:t>
      </w:r>
    </w:p>
    <w:p>
      <w:pPr>
        <w:spacing w:after="100"/>
        <w:jc w:val="center"/>
      </w:pPr>
      <w:r>
        <w:rPr>
          <w:rFonts w:ascii="Times New Roman" w:cs="Times New Roman" w:eastAsia="Times New Roman" w:hAnsi="Times New Roman"/>
          <w:smallCaps/>
          <w:sz w:val="18"/>
          <w:szCs w:val="18"/>
        </w:rPr>
        <w:t xml:space="preserve">End-to-End Latency Budget of the CNN-LSTM Control Chain</w:t>
      </w:r>
    </w:p>
    <w:tbl>
      <w:tblPr>
        <w:tblW w:type="dxa" w:w="76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2400"/>
      </w:tblGrid>
      <w:tr>
        <w:trPr>
          <w:tblHeader/>
        </w:trPr>
        <w:tc>
          <w:tcPr>
            <w:tcW w:type="dxa" w:w="5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2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Time</w:t>
            </w:r>
          </w:p>
        </w:tc>
      </w:tr>
      <w:tr>
        <w:tc>
          <w:tcPr>
            <w:tcW w:type="dxa" w:w="5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PMU observation window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500 ms</w:t>
            </w:r>
          </w:p>
        </w:tc>
      </w:tr>
      <w:tr>
        <w:tc>
          <w:tcPr>
            <w:tcW w:type="dxa" w:w="5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Preprocessing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1.9 ms</w:t>
            </w:r>
          </w:p>
        </w:tc>
      </w:tr>
      <w:tr>
        <w:tc>
          <w:tcPr>
            <w:tcW w:type="dxa" w:w="5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CNN-LSTM inference (CPU, mean)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17.3 ms</w:t>
            </w:r>
          </w:p>
        </w:tc>
      </w:tr>
      <w:tr>
        <w:tc>
          <w:tcPr>
            <w:tcW w:type="dxa" w:w="5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Decision available after onset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519.2 ms</w:t>
            </w:r>
          </w:p>
        </w:tc>
      </w:tr>
      <w:tr>
        <w:tc>
          <w:tcPr>
            <w:tcW w:type="dxa" w:w="5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Communication delay (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0–500 ms (examined)</w:t>
            </w:r>
          </w:p>
        </w:tc>
      </w:tr>
      <w:tr>
        <w:tc>
          <w:tcPr>
            <w:tcW w:type="dxa" w:w="5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STATCOM response time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&lt; 30 ms</w:t>
            </w:r>
          </w:p>
        </w:tc>
      </w:tr>
      <w:tr>
        <w:tc>
          <w:tcPr>
            <w:tcW w:type="dxa" w:w="5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SVC response time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≈ 150 ms</w:t>
            </w:r>
          </w:p>
        </w:tc>
      </w:tr>
      <w:tr>
        <w:tc>
          <w:tcPr>
            <w:tcW w:type="dxa" w:w="5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Total to STATCOM corrective action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≈ 549 ms + 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</w:p>
        </w:tc>
      </w:tr>
      <w:tr>
        <w:tc>
          <w:tcPr>
            <w:tcW w:type="dxa" w:w="52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Total to SVC corrective action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≈ 669 ms + 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</w:p>
        </w:tc>
      </w:tr>
    </w:tbl>
    <w:p>
      <w:pPr>
        <w:spacing w:after="0" w:before="280"/>
        <w:jc w:val="center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TABLE II</w:t>
      </w:r>
    </w:p>
    <w:p>
      <w:pPr>
        <w:spacing w:after="100"/>
        <w:jc w:val="center"/>
      </w:pPr>
      <w:r>
        <w:rPr>
          <w:rFonts w:ascii="Times New Roman" w:cs="Times New Roman" w:eastAsia="Times New Roman" w:hAnsi="Times New Roman"/>
          <w:smallCaps/>
          <w:sz w:val="18"/>
          <w:szCs w:val="18"/>
        </w:rPr>
        <w:t xml:space="preserve">Event and Corrective-Action Instants Used in Each Figure</w:t>
      </w:r>
    </w:p>
    <w:tbl>
      <w:tblPr>
        <w:tblW w:type="dxa" w:w="936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250"/>
        <w:gridCol w:w="1350"/>
        <w:gridCol w:w="1300"/>
        <w:gridCol w:w="1480"/>
        <w:gridCol w:w="1480"/>
      </w:tblGrid>
      <w:tr>
        <w:trPr>
          <w:tblHeader/>
        </w:trPr>
        <w:tc>
          <w:tcPr>
            <w:tcW w:type="dxa" w:w="2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Figure</w:t>
            </w:r>
          </w:p>
        </w:tc>
        <w:tc>
          <w:tcPr>
            <w:tcW w:type="dxa" w:w="125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Device</w:t>
            </w:r>
          </w:p>
        </w:tc>
        <w:tc>
          <w:tcPr>
            <w:tcW w:type="dxa" w:w="135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Disturbance (s)</w:t>
            </w:r>
          </w:p>
        </w:tc>
        <w:tc>
          <w:tcPr>
            <w:tcW w:type="dxa" w:w="1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Decision (s)</w:t>
            </w:r>
          </w:p>
        </w:tc>
        <w:tc>
          <w:tcPr>
            <w:tcW w:type="dxa" w:w="148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Action, </w:t>
            </w: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=0 (s)</w:t>
            </w:r>
          </w:p>
        </w:tc>
        <w:tc>
          <w:tcPr>
            <w:tcW w:type="dxa" w:w="148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Action, </w:t>
            </w: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=200 ms (s)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Rotor angle, G1/G4/G7/G10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STATCOM</w:t>
            </w:r>
          </w:p>
        </w:tc>
        <w:tc>
          <w:tcPr>
            <w:tcW w:type="dxa" w:w="13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0.10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0.619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0.649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0.849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Rotor angle, G1/G4/G7/G10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SVC</w:t>
            </w:r>
          </w:p>
        </w:tc>
        <w:tc>
          <w:tcPr>
            <w:tcW w:type="dxa" w:w="13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0.10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0.619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0.769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System frequency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SVC</w:t>
            </w:r>
          </w:p>
        </w:tc>
        <w:tc>
          <w:tcPr>
            <w:tcW w:type="dxa" w:w="13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0.50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1.019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1.169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1.369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Two-panel Δδ (G10)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STATCOM</w:t>
            </w:r>
          </w:p>
        </w:tc>
        <w:tc>
          <w:tcPr>
            <w:tcW w:type="dxa" w:w="13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0.10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0.619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0.649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0.849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Two-panel Δδ (G10)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SVC</w:t>
            </w:r>
          </w:p>
        </w:tc>
        <w:tc>
          <w:tcPr>
            <w:tcW w:type="dxa" w:w="13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0.10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0.619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0.769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Bus 44 voltage (wind variability)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SVC</w:t>
            </w:r>
          </w:p>
        </w:tc>
        <w:tc>
          <w:tcPr>
            <w:tcW w:type="dxa" w:w="13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0.50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1.019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1.169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1.369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Bus 44 voltage collapse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SVC</w:t>
            </w:r>
          </w:p>
        </w:tc>
        <w:tc>
          <w:tcPr>
            <w:tcW w:type="dxa" w:w="13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0.50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1.019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1.169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1.369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G10 NC / CC / PF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STATCOM</w:t>
            </w:r>
          </w:p>
        </w:tc>
        <w:tc>
          <w:tcPr>
            <w:tcW w:type="dxa" w:w="13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0.10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0.619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0.649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0.849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G10 delay sensitivity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STATCOM</w:t>
            </w:r>
          </w:p>
        </w:tc>
        <w:tc>
          <w:tcPr>
            <w:tcW w:type="dxa" w:w="13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0.10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0.619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0.649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0.649 + 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STATCOM saturation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STATCOM</w:t>
            </w:r>
          </w:p>
        </w:tc>
        <w:tc>
          <w:tcPr>
            <w:tcW w:type="dxa" w:w="135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0.25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0.769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0.799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 w:before="60"/>
      </w:pPr>
      <w:r>
        <w:rPr>
          <w:rFonts w:ascii="Times New Roman" w:cs="Times New Roman" w:eastAsia="Times New Roman" w:hAnsi="Times New Roman"/>
          <w:i/>
          <w:iCs/>
          <w:sz w:val="16"/>
          <w:szCs w:val="16"/>
        </w:rPr>
        <w:t xml:space="preserve">Action instant = disturbance + 519.2 ms + device response (30 ms STATCOM, 150 ms SVC) + Tcomm.</w:t>
      </w:r>
    </w:p>
    <w:p>
      <w:pPr>
        <w:spacing w:after="0" w:before="280"/>
        <w:jc w:val="center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TABLE III</w:t>
      </w:r>
    </w:p>
    <w:p>
      <w:pPr>
        <w:spacing w:after="100"/>
        <w:jc w:val="center"/>
      </w:pPr>
      <w:r>
        <w:rPr>
          <w:rFonts w:ascii="Times New Roman" w:cs="Times New Roman" w:eastAsia="Times New Roman" w:hAnsi="Times New Roman"/>
          <w:smallCaps/>
          <w:sz w:val="18"/>
          <w:szCs w:val="18"/>
        </w:rPr>
        <w:t xml:space="preserve">Key Results of the Re-timed Figures</w:t>
      </w:r>
    </w:p>
    <w:tbl>
      <w:tblPr>
        <w:tblW w:type="dxa" w:w="936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000"/>
        <w:gridCol w:w="2000"/>
        <w:gridCol w:w="2060"/>
      </w:tblGrid>
      <w:tr>
        <w:trPr>
          <w:tblHeader/>
        </w:trPr>
        <w:tc>
          <w:tcPr>
            <w:tcW w:type="dxa" w:w="2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Figure</w:t>
            </w:r>
          </w:p>
        </w:tc>
        <w:tc>
          <w:tcPr>
            <w:tcW w:type="dxa" w:w="3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Case</w:t>
            </w:r>
          </w:p>
        </w:tc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Metric</w:t>
            </w:r>
          </w:p>
        </w:tc>
        <w:tc>
          <w:tcPr>
            <w:tcW w:type="dxa" w:w="2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Rotor angle (G10)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No control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Peak δ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Loses synchronism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STATCOM, 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=0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Peak δ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52.9°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STATCOM, 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=200 ms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Peak δ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117.4°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SVC, 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=0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Peak δ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97.1°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System frequency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No control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Nadir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48.30 Hz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Conventional PI-AGC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Nadir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49.10 Hz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CNN-LSTM + SVC, 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=0 / 200 ms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Nadir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48.30 Hz (before action)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Two-panel Δδ (G10)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STATCOM, 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=0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Peak Δδ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20.7°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STATCOM, 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=200 ms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Peak Δδ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43.1°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SVC, 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=0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Peak Δδ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34.6°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Bus 44 voltage (wind variability)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SG-only baseline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Nadir / time &lt; 0.90 p.u.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0.889 p.u. / 1.0 s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50% RES, no control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Nadir / time &lt; 0.90 p.u.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0.831 p.u. / 4.2 s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CNN-LSTM + SVC, 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=0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Nadir / time &lt; 0.90 p.u.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0.859 p.u. / 1.4 s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CNN-LSTM + SVC, 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=200 ms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Nadir / time &lt; 0.90 p.u.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0.843 p.u. / 1.4 s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Bus 44 voltage collapse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NC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Final state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Collapse &lt; 0.60 p.u.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CC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Nadir / final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0.785 / 0.86 p.u.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PF, 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=0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Nadir / time &lt; 0.90 p.u.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0.858 p.u. / 1.0 s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PF, 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=200 ms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Nadir / time &lt; 0.90 p.u.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0.827 p.u. / 1.5 s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G10 NC / CC / PF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NC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Loss of synchronism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1.44 s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CC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Loss of synchronism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1.68 s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PF, 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=0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Peak δ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51.6°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PF, 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=200 ms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Peak δ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79.5°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STATCOM saturation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Case T alone (140 Mvar)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Peak δ / margin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64.9° / 115°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Combined (205 Mvar demand, capped 150)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Peak δ / margin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81.2° / 99°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Combined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Saturation window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0.809–1.59 s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No control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180° crossing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1.70 s</w:t>
            </w:r>
          </w:p>
        </w:tc>
      </w:tr>
    </w:tbl>
    <w:p>
      <w:pPr>
        <w:spacing w:after="0" w:before="280"/>
        <w:jc w:val="center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TABLE IV</w:t>
      </w:r>
    </w:p>
    <w:p>
      <w:pPr>
        <w:spacing w:after="100"/>
        <w:jc w:val="center"/>
      </w:pPr>
      <w:r>
        <w:rPr>
          <w:rFonts w:ascii="Times New Roman" w:cs="Times New Roman" w:eastAsia="Times New Roman" w:hAnsi="Times New Roman"/>
          <w:smallCaps/>
          <w:sz w:val="18"/>
          <w:szCs w:val="18"/>
        </w:rPr>
        <w:t xml:space="preserve">Communication-Delay Sensitivity of G10 Transient Stability</w:t>
      </w:r>
    </w:p>
    <w:tbl>
      <w:tblPr>
        <w:tblW w:type="dxa" w:w="936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2000"/>
        <w:gridCol w:w="2000"/>
        <w:gridCol w:w="1860"/>
      </w:tblGrid>
      <w:tr>
        <w:trPr>
          <w:tblHeader/>
        </w:trPr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/>
            </w: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 (ms)</w:t>
            </w:r>
          </w:p>
        </w:tc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STATCOM action (s)</w:t>
            </w:r>
          </w:p>
        </w:tc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STATCOM peak δ</w:t>
            </w:r>
          </w:p>
        </w:tc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SVC action (s)</w:t>
            </w:r>
          </w:p>
        </w:tc>
        <w:tc>
          <w:tcPr>
            <w:tcW w:type="dxa" w:w="18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SVC peak δ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0.649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52.9° (stable)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0.769</w:t>
            </w:r>
          </w:p>
        </w:tc>
        <w:tc>
          <w:tcPr>
            <w:tcW w:type="dxa" w:w="1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97.1° (stable)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0.699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66.2° (stable)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0.819</w:t>
            </w:r>
          </w:p>
        </w:tc>
        <w:tc>
          <w:tcPr>
            <w:tcW w:type="dxa" w:w="1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116.4° (stable)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0.749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81.8° (stable)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0.869</w:t>
            </w:r>
          </w:p>
        </w:tc>
        <w:tc>
          <w:tcPr>
            <w:tcW w:type="dxa" w:w="1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136.2° (stable)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150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0.799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99.3° (stable)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0.919</w:t>
            </w:r>
          </w:p>
        </w:tc>
        <w:tc>
          <w:tcPr>
            <w:tcW w:type="dxa" w:w="1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156.1° (stable)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200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0.849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117.4° (stable)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0.969</w:t>
            </w:r>
          </w:p>
        </w:tc>
        <w:tc>
          <w:tcPr>
            <w:tcW w:type="dxa" w:w="1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Unstable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250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0.899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135.3° (stable)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1.019</w:t>
            </w:r>
          </w:p>
        </w:tc>
        <w:tc>
          <w:tcPr>
            <w:tcW w:type="dxa" w:w="1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Unstable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300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0.949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152.0° (stable)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1.069</w:t>
            </w:r>
          </w:p>
        </w:tc>
        <w:tc>
          <w:tcPr>
            <w:tcW w:type="dxa" w:w="1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Unstable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350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0.999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Unstable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1.119</w:t>
            </w:r>
          </w:p>
        </w:tc>
        <w:tc>
          <w:tcPr>
            <w:tcW w:type="dxa" w:w="1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Unstable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400–500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1.049–1.149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Unstable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1.169–1.269</w:t>
            </w:r>
          </w:p>
        </w:tc>
        <w:tc>
          <w:tcPr>
            <w:tcW w:type="dxa" w:w="186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Unstable</w:t>
            </w:r>
          </w:p>
        </w:tc>
      </w:tr>
    </w:tbl>
    <w:p>
      <w:pPr>
        <w:spacing w:after="120" w:before="60"/>
      </w:pPr>
      <w:r>
        <w:rPr>
          <w:rFonts w:ascii="Times New Roman" w:cs="Times New Roman" w:eastAsia="Times New Roman" w:hAnsi="Times New Roman"/>
          <w:i/>
          <w:iCs/>
          <w:sz w:val="16"/>
          <w:szCs w:val="16"/>
        </w:rPr>
        <w:t xml:space="preserve">Critical Tcomm ≈ 342 ms for STATCOM (≈ 891 ms total after fault onset) and ≈ 150–200 ms for SVC.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2026-10-02T09:52:52.872Z</dcterms:created>
  <dcterms:modified xsi:type="dcterms:W3CDTF">2026-10-02T09:52:52.874Z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